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2200"/>
        <w:ind/>
        <w:rPr/>
      </w:pPr>
      <w:r/>
      <w:r/>
    </w:p>
    <w:p>
      <w:pPr>
        <w:pBdr/>
        <w:spacing/>
        <w:ind/>
        <w:jc w:val="center"/>
        <w:rPr/>
      </w:pPr>
      <w:r>
        <w:rPr>
          <w:b/>
          <w:bCs/>
          <w:color w:val="595959"/>
          <w:spacing w:val="20"/>
          <w:sz w:val="22"/>
          <w:szCs w:val="22"/>
        </w:rPr>
        <w:t xml:space="preserve">PRODUCT REQUIREMENTS DOCUMENT</w:t>
      </w:r>
      <w:r/>
    </w:p>
    <w:p>
      <w:pPr>
        <w:pBdr/>
        <w:spacing w:before="200"/>
        <w:ind/>
        <w:jc w:val="center"/>
        <w:rPr/>
      </w:pPr>
      <w:r>
        <w:rPr>
          <w:b/>
          <w:bCs/>
          <w:color w:val="1f3864"/>
          <w:sz w:val="46"/>
          <w:szCs w:val="46"/>
        </w:rPr>
        <w:t xml:space="preserve">End-to-End Credit Card Fraud Detection Platform</w:t>
      </w:r>
      <w:r/>
    </w:p>
    <w:p>
      <w:pPr>
        <w:pBdr/>
        <w:spacing w:before="120"/>
        <w:ind/>
        <w:jc w:val="center"/>
        <w:rPr/>
      </w:pPr>
      <w:r>
        <w:rPr>
          <w:color w:val="2e74b5"/>
          <w:sz w:val="26"/>
          <w:szCs w:val="26"/>
        </w:rPr>
        <w:t xml:space="preserve">A Lakehouse Data Engineering &amp; Machine Learning System on Databricks</w:t>
      </w:r>
      <w:r/>
    </w:p>
    <w:p>
      <w:pPr>
        <w:pBdr/>
        <w:spacing w:before="900"/>
        <w:ind/>
        <w:rPr/>
      </w:pPr>
      <w:r/>
      <w:r/>
    </w:p>
    <w:tbl>
      <w:tblPr>
        <w:jc w:val="center"/>
        <w:tblW w:w="7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4500"/>
      </w:tblGrid>
      <w:tr>
        <w:trPr/>
        <w:tc>
          <w:tcPr>
            <w:shd w:val="clear" w:color="auto" w:fill="f2f2f2"/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Document Type</w:t>
            </w:r>
            <w:r/>
          </w:p>
        </w:tc>
        <w:tc>
          <w:tcPr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680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Product Requirements Document (PRD)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Project Name</w:t>
            </w:r>
            <w:r/>
          </w:p>
        </w:tc>
        <w:tc>
          <w:tcPr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680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Credit Card Fraud Detection — Data Engineering 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Platform</w:t>
            </w:r>
            <w:r/>
          </w:p>
        </w:tc>
        <w:tc>
          <w:tcPr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680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Azure Databricks Free Edition (Lakehouse Platform)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Version</w:t>
            </w:r>
            <w:r/>
          </w:p>
        </w:tc>
        <w:tc>
          <w:tcPr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680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1.0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Status</w:t>
            </w:r>
            <w:r/>
          </w:p>
        </w:tc>
        <w:tc>
          <w:tcPr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680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Final — Implemented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Owner</w:t>
            </w:r>
            <w:r/>
          </w:p>
        </w:tc>
        <w:tc>
          <w:tcPr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680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Malik Mohammed Ammar 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Last Updated</w:t>
            </w:r>
            <w:r/>
          </w:p>
        </w:tc>
        <w:tc>
          <w:tcPr>
            <w:tcBorders/>
            <w:tcMar>
              <w:left w:w="150" w:type="dxa"/>
              <w:top w:w="100" w:type="dxa"/>
              <w:right w:w="150" w:type="dxa"/>
              <w:bottom w:w="100" w:type="dxa"/>
            </w:tcMar>
            <w:tcW w:w="680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July 2026</w:t>
            </w:r>
            <w:r/>
          </w:p>
        </w:tc>
      </w:tr>
    </w:tbl>
    <w:p>
      <w:pPr>
        <w:pBdr/>
        <w:spacing w:before="1600"/>
        <w:ind/>
        <w:rPr/>
      </w:pPr>
      <w:r>
        <w:br w:type="page" w:clear="all"/>
      </w:r>
      <w:r/>
    </w:p>
    <w:p>
      <w:pPr>
        <w:pBdr/>
        <w:spacing/>
        <w:ind/>
        <w:rPr/>
        <w:sectPr>
          <w:footnotePr/>
          <w:endnotePr/>
          <w:type w:val="nextPage"/>
          <w:pgSz w:h="15840" w:orient="portrait" w:w="12240"/>
          <w:pgMar w:top="1440" w:right="1440" w:bottom="1440" w:left="1440" w:header="708" w:footer="708" w:gutter="0"/>
          <w:cols w:num="1" w:sep="0" w:space="1701" w:equalWidth="1"/>
        </w:sectPr>
      </w:pPr>
      <w:r/>
      <w:r/>
    </w:p>
    <w:p>
      <w:pPr>
        <w:pStyle w:val="731"/>
        <w:pBdr>
          <w:bottom w:val="single" w:color="2e74b5" w:sz="6" w:space="4"/>
        </w:pBdr>
        <w:spacing w:after="160" w:before="360"/>
        <w:ind/>
        <w:rPr/>
      </w:pPr>
      <w:r>
        <w:rPr>
          <w:b/>
          <w:bCs/>
          <w:color w:val="1f3864"/>
          <w:sz w:val="30"/>
          <w:szCs w:val="30"/>
        </w:rPr>
        <w:t xml:space="preserve">Table of Contents</w:t>
      </w:r>
      <w:r/>
    </w:p>
    <w:p>
      <w:pPr>
        <w:pBdr/>
        <w:spacing/>
        <w:ind/>
        <w:rPr>
          <w:highlight w:val="none"/>
        </w:rPr>
      </w:pPr>
      <w:r>
        <w:t xml:space="preserve"> </w:t>
      </w:r>
      <w:r/>
    </w:p>
    <w:p w14:paraId="02FF2C6E">
      <w:pPr>
        <w:pStyle w:val="738"/>
        <w:numPr>
          <w:ilvl w:val="0"/>
          <w:numId w:val="3"/>
        </w:numPr>
        <w:pBdr/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 Executive Summary</w:t>
        <w:tab/>
        <w:tab/>
        <w:tab/>
        <w:tab/>
        <w:tab/>
        <w:tab/>
        <w:tab/>
        <w:t xml:space="preserve">           </w:t>
      </w:r>
      <w:r>
        <w:rPr>
          <w:sz w:val="30"/>
          <w:szCs w:val="30"/>
          <w:highlight w:val="none"/>
        </w:rPr>
        <w:t xml:space="preserve"> </w:t>
        <w:tab/>
        <w:tab/>
      </w:r>
      <w:r>
        <w:rPr>
          <w:sz w:val="30"/>
          <w:szCs w:val="30"/>
        </w:rPr>
      </w:r>
      <w:r/>
      <w:r>
        <w:rPr>
          <w:sz w:val="30"/>
          <w:szCs w:val="30"/>
          <w:highlight w:val="none"/>
        </w:rPr>
      </w:r>
    </w:p>
    <w:p w14:paraId="32053A21">
      <w:pPr>
        <w:pStyle w:val="738"/>
        <w:numPr>
          <w:ilvl w:val="0"/>
          <w:numId w:val="3"/>
        </w:numPr>
        <w:pBdr/>
        <w:spacing/>
        <w:ind/>
        <w:rPr>
          <w:sz w:val="30"/>
          <w:szCs w:val="30"/>
        </w:rPr>
      </w:pPr>
      <w:r>
        <w:rPr>
          <w:sz w:val="30"/>
          <w:szCs w:val="30"/>
          <w:highlight w:val="none"/>
        </w:rPr>
        <w:t xml:space="preserve"> Problem Statement</w:t>
      </w:r>
      <w:r>
        <w:rPr>
          <w:sz w:val="30"/>
          <w:szCs w:val="30"/>
        </w:rPr>
      </w:r>
    </w:p>
    <w:p w14:paraId="467E0B4A">
      <w:pPr>
        <w:pStyle w:val="738"/>
        <w:numPr>
          <w:ilvl w:val="0"/>
          <w:numId w:val="3"/>
        </w:numPr>
        <w:pBdr/>
        <w:spacing/>
        <w:ind w:right="270" w:hanging="360" w:left="709"/>
        <w:rPr>
          <w:sz w:val="30"/>
          <w:szCs w:val="30"/>
        </w:rPr>
      </w:pPr>
      <w:r>
        <w:rPr>
          <w:sz w:val="30"/>
          <w:szCs w:val="30"/>
          <w:highlight w:val="none"/>
        </w:rPr>
        <w:t xml:space="preserve"> Goals and Objectives</w:t>
      </w:r>
      <w:r>
        <w:rPr>
          <w:sz w:val="30"/>
          <w:szCs w:val="30"/>
        </w:rPr>
      </w:r>
    </w:p>
    <w:p w14:paraId="38316F98">
      <w:pPr>
        <w:pBdr/>
        <w:spacing/>
        <w:ind w:firstLine="0" w:left="709"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       3.1 Primary Goals </w:t>
      </w:r>
      <w:r>
        <w:rPr>
          <w:sz w:val="30"/>
          <w:szCs w:val="30"/>
        </w:rPr>
      </w:r>
    </w:p>
    <w:p w14:paraId="22D5CDB9">
      <w:pPr>
        <w:pBdr/>
        <w:spacing/>
        <w:ind w:firstLine="0" w:left="709"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       3.2 Non Goals </w:t>
      </w:r>
      <w:r>
        <w:rPr>
          <w:sz w:val="30"/>
          <w:szCs w:val="30"/>
        </w:rPr>
      </w:r>
    </w:p>
    <w:p w14:paraId="5E7DBA89">
      <w:pPr>
        <w:pBdr/>
        <w:spacing/>
        <w:ind w:firstLine="0" w:left="0"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     4.   Stakeholders and Target users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/>
      <w:r>
        <w:rPr>
          <w:sz w:val="30"/>
          <w:szCs w:val="30"/>
          <w:highlight w:val="none"/>
        </w:rPr>
      </w:r>
    </w:p>
    <w:p w14:paraId="0B97920F">
      <w:pPr>
        <w:pBdr/>
        <w:spacing/>
        <w:ind w:firstLine="0" w:left="0"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     </w:t>
      </w:r>
      <w:r>
        <w:rPr>
          <w:sz w:val="30"/>
          <w:szCs w:val="30"/>
          <w:highlight w:val="none"/>
        </w:rPr>
        <w:t xml:space="preserve">5.   Scope </w:t>
      </w:r>
      <w:r>
        <w:rPr>
          <w:sz w:val="30"/>
          <w:szCs w:val="30"/>
          <w:highlight w:val="none"/>
        </w:rPr>
      </w:r>
    </w:p>
    <w:p w14:paraId="61BD23A3">
      <w:pPr>
        <w:pBdr/>
        <w:spacing/>
        <w:ind w:firstLine="0" w:left="0"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ab/>
        <w:t xml:space="preserve">       5.1 In Scope </w:t>
      </w:r>
      <w:r>
        <w:rPr>
          <w:sz w:val="30"/>
          <w:szCs w:val="30"/>
          <w:highlight w:val="none"/>
        </w:rPr>
      </w:r>
    </w:p>
    <w:p w14:paraId="775B96F7">
      <w:pPr>
        <w:pBdr/>
        <w:spacing/>
        <w:ind w:firstLine="0" w:left="709"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       5.2 Out of Scope </w:t>
        <w:tab/>
      </w:r>
      <w:r>
        <w:rPr>
          <w:sz w:val="30"/>
          <w:szCs w:val="30"/>
          <w:highlight w:val="none"/>
        </w:rPr>
      </w:r>
      <w:r/>
    </w:p>
    <w:p w14:paraId="5D572295">
      <w:pPr>
        <w:pBdr/>
        <w:spacing/>
        <w:ind w:firstLine="0" w:left="0"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     6.   System Architecture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43398C66">
      <w:pPr>
        <w:pBdr/>
        <w:tabs>
          <w:tab w:val="left" w:leader="none" w:pos="3045"/>
        </w:tabs>
        <w:spacing/>
        <w:ind w:firstLine="0" w:left="709"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       6.1 Architectural Flow 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213DFAAD">
      <w:pPr>
        <w:pBdr/>
        <w:spacing/>
        <w:ind w:right="0" w:firstLine="0" w:left="1170"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 6.2 Technological Stack 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3C8EE054">
      <w:pPr>
        <w:pBdr/>
        <w:spacing/>
        <w:ind w:firstLine="0" w:left="0"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     7.</w:t>
      </w:r>
      <w:r>
        <w:rPr>
          <w:sz w:val="30"/>
          <w:szCs w:val="30"/>
          <w:highlight w:val="none"/>
        </w:rPr>
        <w:t xml:space="preserve">   Functional Requirements  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72FC1B4A">
      <w:pPr>
        <w:pBdr/>
        <w:spacing/>
        <w:ind w:firstLine="0" w:left="0"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     </w:t>
      </w:r>
      <w:r>
        <w:rPr>
          <w:sz w:val="30"/>
          <w:szCs w:val="30"/>
          <w:highlight w:val="none"/>
        </w:rPr>
        <w:t xml:space="preserve">8.</w:t>
      </w:r>
      <w:r>
        <w:rPr>
          <w:sz w:val="30"/>
          <w:szCs w:val="30"/>
          <w:highlight w:val="none"/>
        </w:rPr>
        <w:t xml:space="preserve">   Non-Functional Requirements </w:t>
      </w:r>
      <w:r>
        <w:rPr>
          <w:sz w:val="30"/>
          <w:szCs w:val="30"/>
          <w:highlight w:val="none"/>
        </w:rPr>
      </w:r>
    </w:p>
    <w:p w14:paraId="49DA89C3">
      <w:pPr>
        <w:pBdr/>
        <w:spacing/>
        <w:ind w:firstLine="0" w:left="0"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     </w:t>
      </w:r>
      <w:r>
        <w:rPr>
          <w:sz w:val="30"/>
          <w:szCs w:val="30"/>
          <w:highlight w:val="none"/>
        </w:rPr>
        <w:t xml:space="preserve">9.</w:t>
      </w:r>
      <w:r>
        <w:t xml:space="preserve">    </w:t>
      </w:r>
      <w:r>
        <w:rPr>
          <w:sz w:val="30"/>
          <w:szCs w:val="30"/>
        </w:rPr>
        <w:t xml:space="preserve">Data Model Summary </w:t>
      </w:r>
      <w:r>
        <w:rPr>
          <w:sz w:val="30"/>
          <w:szCs w:val="30"/>
        </w:rPr>
      </w:r>
    </w:p>
    <w:p w14:paraId="163FB3D8">
      <w:pPr>
        <w:pBdr/>
        <w:spacing/>
        <w:ind w:firstLine="0" w:left="0"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     10. Success Metrics </w:t>
      </w:r>
      <w:r>
        <w:rPr>
          <w:sz w:val="30"/>
          <w:szCs w:val="30"/>
        </w:rPr>
      </w:r>
    </w:p>
    <w:p w14:paraId="5D6F720F">
      <w:pPr>
        <w:pBdr/>
        <w:spacing/>
        <w:ind w:right="0" w:firstLine="1170" w:left="0"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 10.1 Model Performance Achieved </w:t>
      </w:r>
      <w:r>
        <w:rPr>
          <w:sz w:val="30"/>
          <w:szCs w:val="30"/>
        </w:rPr>
      </w:r>
    </w:p>
    <w:p w14:paraId="779ED079">
      <w:pPr>
        <w:pBdr/>
        <w:spacing/>
        <w:ind w:right="0" w:firstLine="0" w:left="247"/>
        <w:rPr>
          <w:sz w:val="30"/>
          <w:szCs w:val="30"/>
        </w:rPr>
      </w:pPr>
      <w:r>
        <w:rPr>
          <w:sz w:val="30"/>
          <w:szCs w:val="30"/>
          <w:highlight w:val="none"/>
        </w:rPr>
        <w:t xml:space="preserve">              10.2 Platform / Optinonal Metrices </w:t>
        <w:tab/>
      </w:r>
      <w:r>
        <w:rPr>
          <w:sz w:val="30"/>
          <w:szCs w:val="30"/>
          <w:highlight w:val="none"/>
        </w:rPr>
      </w:r>
      <w:r/>
    </w:p>
    <w:p w14:paraId="36CD622B">
      <w:pPr>
        <w:pBdr/>
        <w:spacing/>
        <w:ind w:firstLine="0" w:left="0"/>
        <w:rPr>
          <w:sz w:val="30"/>
          <w:szCs w:val="30"/>
        </w:rPr>
      </w:pPr>
      <w:r>
        <w:rPr>
          <w:sz w:val="30"/>
          <w:szCs w:val="30"/>
        </w:rPr>
        <w:t xml:space="preserve">     11.</w:t>
      </w:r>
      <w:r>
        <w:rPr>
          <w:sz w:val="30"/>
          <w:szCs w:val="30"/>
        </w:rPr>
        <w:t xml:space="preserve"> Assumption and Constraints</w:t>
      </w:r>
      <w:r>
        <w:rPr>
          <w:sz w:val="30"/>
          <w:szCs w:val="30"/>
          <w:highlight w:val="none"/>
        </w:rPr>
      </w:r>
    </w:p>
    <w:p w14:paraId="4CDAF121">
      <w:pPr>
        <w:pBdr/>
        <w:spacing/>
        <w:ind w:firstLine="0" w:left="0"/>
        <w:rPr>
          <w:sz w:val="30"/>
          <w:szCs w:val="30"/>
        </w:rPr>
      </w:pPr>
      <w:r>
        <w:rPr>
          <w:sz w:val="30"/>
          <w:szCs w:val="30"/>
        </w:rPr>
        <w:t xml:space="preserve">     12. Risk and Mitigation</w:t>
      </w:r>
      <w:r>
        <w:rPr>
          <w:highlight w:val="none"/>
        </w:rPr>
      </w:r>
    </w:p>
    <w:p w14:paraId="326A74BF">
      <w:pPr>
        <w:pBdr/>
        <w:spacing/>
        <w:ind w:firstLine="0" w:left="0"/>
        <w:rPr>
          <w:sz w:val="30"/>
          <w:szCs w:val="30"/>
        </w:rPr>
      </w:pPr>
      <w:r>
        <w:rPr>
          <w:sz w:val="30"/>
          <w:szCs w:val="30"/>
        </w:rPr>
        <w:t xml:space="preserve">     13. Future Enhancements </w:t>
      </w:r>
      <w:r>
        <w:rPr>
          <w:highlight w:val="none"/>
        </w:rPr>
      </w:r>
    </w:p>
    <w:p w14:paraId="5A4877E4">
      <w:pPr>
        <w:pBdr/>
        <w:spacing/>
        <w:ind w:firstLine="0" w:left="0"/>
        <w:rPr>
          <w:highlight w:val="none"/>
        </w:rPr>
      </w:pPr>
      <w:r>
        <w:rPr>
          <w:sz w:val="30"/>
          <w:szCs w:val="30"/>
        </w:rPr>
        <w:t xml:space="preserve">     14. Appendix  </w:t>
      </w:r>
      <w:r/>
      <w:r/>
    </w:p>
    <w:p w14:paraId="1A2B0061">
      <w:pPr>
        <w:pBdr/>
        <w:spacing/>
        <w:ind w:firstLine="0" w:left="0"/>
        <w:rPr>
          <w:sz w:val="30"/>
          <w:szCs w:val="30"/>
          <w:highlight w:val="none"/>
        </w:rPr>
        <w:sectPr>
          <w:footnotePr/>
          <w:endnotePr/>
          <w:type w:val="nextPage"/>
          <w:pgSz w:h="15840" w:orient="portrait" w:w="12240"/>
          <w:pgMar w:top="1440" w:right="1440" w:bottom="1440" w:left="1440" w:header="708" w:footer="708" w:gutter="0"/>
          <w:cols w:num="1" w:sep="0" w:space="1701" w:equalWidth="1"/>
        </w:sect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31"/>
        <w:pBdr>
          <w:bottom w:val="single" w:color="2e74b5" w:sz="6" w:space="4"/>
        </w:pBdr>
        <w:spacing w:after="160" w:before="360"/>
        <w:ind/>
        <w:rPr/>
      </w:pPr>
      <w:r>
        <w:rPr>
          <w:b/>
          <w:bCs/>
          <w:color w:val="1f3864"/>
          <w:sz w:val="30"/>
          <w:szCs w:val="30"/>
        </w:rPr>
        <w:t xml:space="preserve">1. Executive Summary</w:t>
      </w:r>
      <w:r/>
    </w:p>
    <w:p>
      <w:pPr>
        <w:pBdr/>
        <w:spacing w:after="160" w:line="276" w:lineRule="auto"/>
        <w:ind/>
        <w:rPr/>
      </w:pPr>
      <w:r>
        <w:rPr>
          <w:color w:val="222222"/>
          <w:sz w:val="21"/>
          <w:szCs w:val="21"/>
        </w:rPr>
        <w:t xml:space="preserve">This document defines the product requirements for an end-to-end Credit Card Fraud Detection platform built on the Databricks Lakehouse. The system ingests transaction data incrementally, enforces data quality through a governed medallion architecture, </w:t>
      </w:r>
      <w:r>
        <w:rPr>
          <w:color w:val="222222"/>
          <w:sz w:val="21"/>
          <w:szCs w:val="21"/>
        </w:rPr>
        <w:t xml:space="preserve">engineers behavioral fraud-risk features, trains and registers a machine learning classifier, scores transactions in batch, and surfaces operational and business metrics through a live monitoring dashboard — all orchestrated as a single automated pipeline.</w:t>
      </w:r>
      <w:r/>
    </w:p>
    <w:p>
      <w:pPr>
        <w:pBdr/>
        <w:spacing w:after="160" w:line="276" w:lineRule="auto"/>
        <w:ind/>
        <w:rPr/>
      </w:pPr>
      <w:r>
        <w:rPr>
          <w:color w:val="222222"/>
          <w:sz w:val="21"/>
          <w:szCs w:val="21"/>
        </w:rPr>
        <w:t xml:space="preserve">The platform was designed to reflect how a real financial services data team would approach fraud detection: as a continuously operating system with enforced data contracts, versioned m</w:t>
      </w:r>
      <w:r>
        <w:rPr>
          <w:color w:val="222222"/>
          <w:sz w:val="21"/>
          <w:szCs w:val="21"/>
        </w:rPr>
        <w:t xml:space="preserve">odels, and operational visibility — not as a one-off analytical exercise. It was implemented in full on Databricks Free Edition, demonstrating that production-grade architectural patterns are achievable even on serverless, quota-constrained infrastructure.</w:t>
      </w:r>
      <w:r/>
    </w:p>
    <w:p>
      <w:pPr>
        <w:pStyle w:val="731"/>
        <w:pBdr>
          <w:bottom w:val="single" w:color="2e74b5" w:sz="6" w:space="4"/>
        </w:pBdr>
        <w:spacing w:after="160" w:before="360"/>
        <w:ind/>
        <w:rPr/>
      </w:pPr>
      <w:r>
        <w:rPr>
          <w:b/>
          <w:bCs/>
          <w:color w:val="1f3864"/>
          <w:sz w:val="30"/>
          <w:szCs w:val="30"/>
        </w:rPr>
        <w:t xml:space="preserve">2. Problem Statement</w:t>
      </w:r>
      <w:r/>
    </w:p>
    <w:p>
      <w:pPr>
        <w:pBdr/>
        <w:spacing w:after="160" w:line="276" w:lineRule="auto"/>
        <w:ind/>
        <w:rPr/>
      </w:pPr>
      <w:r>
        <w:rPr>
          <w:color w:val="222222"/>
          <w:sz w:val="21"/>
          <w:szCs w:val="21"/>
        </w:rPr>
        <w:t xml:space="preserve">Financial institutions process high volumes of card transactions in which fraudulent activity represents a very small fraction of the total — typically under 1%. This s</w:t>
      </w:r>
      <w:r>
        <w:rPr>
          <w:color w:val="222222"/>
          <w:sz w:val="21"/>
          <w:szCs w:val="21"/>
        </w:rPr>
        <w:t xml:space="preserve">evere class imbalance makes fraud detection difficult to model correctly and easy to model deceptively: a naive classifier can achieve over 99% accuracy while catching zero fraud. Beyond the modeling challenge, fraud signals are inherently behavioral and t</w:t>
      </w:r>
      <w:r>
        <w:rPr>
          <w:color w:val="222222"/>
          <w:sz w:val="21"/>
          <w:szCs w:val="21"/>
        </w:rPr>
        <w:t xml:space="preserve">ime-dependent (e.g., unusual spend relative to a card's own history, bursts of rapid transactions), meaning raw transaction records alone are insufficient — the data platform itself must compute stateful, rolling features before any model can be effective.</w:t>
      </w:r>
      <w:r/>
    </w:p>
    <w:p>
      <w:pPr>
        <w:pBdr/>
        <w:spacing w:after="160" w:line="276" w:lineRule="auto"/>
        <w:ind/>
        <w:rPr/>
      </w:pPr>
      <w:r>
        <w:rPr>
          <w:color w:val="222222"/>
          <w:sz w:val="21"/>
          <w:szCs w:val="21"/>
        </w:rPr>
        <w:t xml:space="preserve">There is also an operational dimension often overlo</w:t>
      </w:r>
      <w:r>
        <w:rPr>
          <w:color w:val="222222"/>
          <w:sz w:val="21"/>
          <w:szCs w:val="21"/>
        </w:rPr>
        <w:t xml:space="preserve">oked in academic treatments of this problem: transactions arrive continuously, data quality must be enforced automatically at scale, and stakeholders need real-time visibility into fraud rates and system health without needing to query raw tables directly.</w:t>
      </w:r>
      <w:r/>
    </w:p>
    <w:p>
      <w:pPr>
        <w:pStyle w:val="731"/>
        <w:pBdr>
          <w:bottom w:val="single" w:color="2e74b5" w:sz="6" w:space="4"/>
        </w:pBdr>
        <w:spacing w:after="160" w:before="360"/>
        <w:ind/>
        <w:rPr/>
      </w:pPr>
      <w:r>
        <w:rPr>
          <w:b/>
          <w:bCs/>
          <w:color w:val="1f3864"/>
          <w:sz w:val="30"/>
          <w:szCs w:val="30"/>
        </w:rPr>
        <w:t xml:space="preserve">3. Goals and Objectives</w:t>
      </w:r>
      <w:r/>
    </w:p>
    <w:p>
      <w:pPr>
        <w:pStyle w:val="732"/>
        <w:pBdr/>
        <w:spacing w:after="120" w:before="280"/>
        <w:ind/>
        <w:rPr/>
      </w:pPr>
      <w:r>
        <w:rPr>
          <w:b/>
          <w:bCs/>
          <w:color w:val="1f3864"/>
          <w:sz w:val="24"/>
          <w:szCs w:val="24"/>
        </w:rPr>
        <w:t xml:space="preserve">3.1 Primary Goals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Build an incremental, idempotent ingestion pipeline capable of handling continuously arriving transaction files without reprocessing or data loss.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Enforce data quality declaratively at each stage of transformation, with auditable, measurable quality constraints.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Engineer behavioral, time-aware features that reflect genuine fraud-risk signals rather than static thresholds.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Train, evaluate, and govern a machine learning model using metrics appropriate for severe class imbalance.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Automate the entire pipeline end-to-end, from ingestion through scoring, on a scheduled cadence.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Provide real-time operational and business visibility through a live, auto-refreshing dashboard.</w:t>
      </w:r>
      <w:r/>
    </w:p>
    <w:p>
      <w:pPr>
        <w:pStyle w:val="732"/>
        <w:pBdr/>
        <w:spacing w:after="120" w:before="280"/>
        <w:ind/>
        <w:rPr/>
      </w:pPr>
      <w:r>
        <w:rPr>
          <w:b/>
          <w:bCs/>
          <w:color w:val="1f3864"/>
          <w:sz w:val="24"/>
          <w:szCs w:val="24"/>
        </w:rPr>
        <w:t xml:space="preserve">3.2 Non-Goals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Real-time (sub-second) transaction scoring at the point of sale — this platform targets near-real-time batch scoring, not payment-authorization-latency scoring.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Multi-tenant or multi-region deployment — the system is scoped to a single workspace and catalog.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Regulatory compliance certification (e.g., PCI-DSS) — out of scope for this capstone context.</w:t>
      </w:r>
      <w:r/>
    </w:p>
    <w:p>
      <w:pPr>
        <w:pStyle w:val="731"/>
        <w:pBdr>
          <w:bottom w:val="single" w:color="2e74b5" w:sz="6" w:space="4"/>
        </w:pBdr>
        <w:spacing w:after="160" w:before="360"/>
        <w:ind/>
        <w:rPr/>
      </w:pPr>
      <w:r>
        <w:rPr>
          <w:b/>
          <w:bCs/>
          <w:color w:val="1f3864"/>
          <w:sz w:val="30"/>
          <w:szCs w:val="30"/>
        </w:rPr>
        <w:t xml:space="preserve">4. Stakeholders and Target Users</w:t>
      </w:r>
      <w:r/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00"/>
      </w:tblGrid>
      <w:tr>
        <w:trPr/>
        <w:tc>
          <w:tcPr>
            <w:shd w:val="clear" w:color="auto" w:fill="1f3864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Stakeholder</w:t>
            </w:r>
            <w:r/>
          </w:p>
        </w:tc>
        <w:tc>
          <w:tcPr>
            <w:shd w:val="clear" w:color="auto" w:fill="1f3864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Interest / Use Case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Data Engineering Team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Owns ingestion reliability, schema evolution handling, and pipeline orchestration.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ML / Data Science Team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Owns feature design, model training, evaluation, and registry governance.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Fraud Operations Analysts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Consume the dashboard to monitor fraud rate trends and flagged transaction volume.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Engineering Leadership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Reviews pipeline health, model performance, and system reliability at a glance.</w:t>
            </w:r>
            <w:r/>
          </w:p>
        </w:tc>
      </w:tr>
    </w:tbl>
    <w:p>
      <w:pPr>
        <w:pStyle w:val="731"/>
        <w:pBdr>
          <w:bottom w:val="single" w:color="2e74b5" w:sz="6" w:space="4"/>
        </w:pBdr>
        <w:spacing w:after="160" w:before="360"/>
        <w:ind/>
        <w:rPr/>
      </w:pPr>
      <w:r>
        <w:rPr>
          <w:b/>
          <w:bCs/>
          <w:color w:val="1f3864"/>
          <w:sz w:val="30"/>
          <w:szCs w:val="30"/>
        </w:rPr>
        <w:t xml:space="preserve">5. Scope</w:t>
      </w:r>
      <w:r/>
    </w:p>
    <w:p>
      <w:pPr>
        <w:pStyle w:val="732"/>
        <w:pBdr/>
        <w:spacing w:after="120" w:before="280"/>
        <w:ind/>
        <w:rPr/>
      </w:pPr>
      <w:r>
        <w:rPr>
          <w:b/>
          <w:bCs/>
          <w:color w:val="1f3864"/>
          <w:sz w:val="24"/>
          <w:szCs w:val="24"/>
        </w:rPr>
        <w:t xml:space="preserve">5.1 In Scope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Incremental file-based ingestion via Databricks Autoloader into a Bronze Delta table.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Declarative data cleaning and validation via a Lakeflow Declarative Pipeline (Silver layer).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Behavioral feature engineering using Spark window functions (Gold layer).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Model training, experiment tracking, and model registry via MLflow and Unity Catalog.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Batch scoring of the full feature table using the latest registered model.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End-to-end orchestration via Databricks Workflows on a scheduled trigger.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An operational dashboard covering fraud trends, model health, and pipeline freshness.</w:t>
      </w:r>
      <w:r/>
    </w:p>
    <w:p>
      <w:pPr>
        <w:pStyle w:val="732"/>
        <w:pBdr/>
        <w:spacing w:after="120" w:before="280"/>
        <w:ind/>
        <w:rPr/>
      </w:pPr>
      <w:r>
        <w:rPr>
          <w:b/>
          <w:bCs/>
          <w:color w:val="1f3864"/>
          <w:sz w:val="24"/>
          <w:szCs w:val="24"/>
        </w:rPr>
        <w:t xml:space="preserve">5.2 Out of Scope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Streaming/real-time point-of-sale scoring infrastructure.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Integration with external card-network or banking systems.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Automated model retraining triggers based on drift detection (identified as a future enhancement).</w:t>
      </w:r>
      <w:r/>
    </w:p>
    <w:p w14:paraId="2C9F5C5F">
      <w:pPr>
        <w:pStyle w:val="731"/>
        <w:pBdr>
          <w:bottom w:val="single" w:color="2e74b5" w:sz="6" w:space="3"/>
        </w:pBdr>
        <w:spacing w:after="160" w:before="360"/>
        <w:ind/>
        <w:rPr/>
      </w:pPr>
      <w:r>
        <w:rPr>
          <w:b/>
          <w:bCs/>
          <w:color w:val="1f3864"/>
          <w:sz w:val="30"/>
          <w:szCs w:val="30"/>
          <w:highlight w:val="none"/>
        </w:rPr>
      </w:r>
      <w:r>
        <w:rPr>
          <w:b/>
          <w:bCs/>
          <w:color w:val="1f3864"/>
          <w:sz w:val="30"/>
          <w:szCs w:val="30"/>
          <w:highlight w:val="none"/>
        </w:rPr>
      </w:r>
      <w:r>
        <w:rPr>
          <w:b/>
          <w:bCs/>
          <w:color w:val="1f3864"/>
          <w:sz w:val="30"/>
          <w:szCs w:val="30"/>
          <w:highlight w:val="none"/>
        </w:rPr>
      </w:r>
    </w:p>
    <w:p w14:paraId="7E52B179">
      <w:pPr>
        <w:pStyle w:val="731"/>
        <w:pBdr>
          <w:bottom w:val="single" w:color="2e74b5" w:sz="6" w:space="3"/>
        </w:pBdr>
        <w:spacing w:after="160" w:before="360"/>
        <w:ind/>
        <w:rPr>
          <w:b/>
          <w:bCs/>
          <w:color w:val="1f3864"/>
          <w:sz w:val="30"/>
          <w:szCs w:val="30"/>
          <w:highlight w:val="none"/>
        </w:rPr>
      </w:pPr>
      <w:r>
        <w:rPr>
          <w:b/>
          <w:bCs/>
          <w:color w:val="1f3864"/>
          <w:sz w:val="30"/>
          <w:szCs w:val="30"/>
          <w:highlight w:val="none"/>
        </w:rPr>
      </w:r>
      <w:r>
        <w:rPr>
          <w:b/>
          <w:bCs/>
          <w:color w:val="1f3864"/>
          <w:sz w:val="30"/>
          <w:szCs w:val="30"/>
          <w:highlight w:val="none"/>
        </w:rPr>
      </w:r>
      <w:r>
        <w:rPr>
          <w:b/>
          <w:bCs/>
          <w:color w:val="1f3864"/>
          <w:sz w:val="30"/>
          <w:szCs w:val="30"/>
          <w:highlight w:val="none"/>
        </w:rPr>
      </w:r>
    </w:p>
    <w:p w14:paraId="3AA00DD0">
      <w:pPr>
        <w:pStyle w:val="731"/>
        <w:pBdr>
          <w:bottom w:val="single" w:color="2e74b5" w:sz="6" w:space="3"/>
        </w:pBdr>
        <w:spacing w:after="160" w:before="360"/>
        <w:ind/>
        <w:rPr>
          <w:b/>
          <w:bCs/>
          <w:color w:val="1f3864"/>
          <w:sz w:val="30"/>
          <w:szCs w:val="30"/>
          <w:highlight w:val="none"/>
        </w:rPr>
      </w:pPr>
      <w:r>
        <w:rPr>
          <w:b/>
          <w:bCs/>
          <w:color w:val="1f3864"/>
          <w:sz w:val="30"/>
          <w:szCs w:val="30"/>
          <w:highlight w:val="none"/>
        </w:rPr>
      </w:r>
      <w:r>
        <w:rPr>
          <w:b/>
          <w:bCs/>
          <w:color w:val="1f3864"/>
          <w:sz w:val="30"/>
          <w:szCs w:val="30"/>
          <w:highlight w:val="none"/>
        </w:rPr>
      </w:r>
      <w:r>
        <w:rPr>
          <w:b/>
          <w:bCs/>
          <w:color w:val="1f3864"/>
          <w:sz w:val="30"/>
          <w:szCs w:val="30"/>
          <w:highlight w:val="none"/>
        </w:rPr>
      </w:r>
    </w:p>
    <w:p w14:paraId="6245E94D">
      <w:pPr>
        <w:pStyle w:val="731"/>
        <w:pBdr>
          <w:bottom w:val="single" w:color="2e74b5" w:sz="6" w:space="3"/>
        </w:pBdr>
        <w:spacing w:after="160" w:before="360"/>
        <w:ind/>
        <w:rPr>
          <w:b/>
          <w:bCs/>
          <w:color w:val="1f3864"/>
          <w:sz w:val="30"/>
          <w:szCs w:val="30"/>
          <w:highlight w:val="none"/>
        </w:rPr>
      </w:pPr>
      <w:r>
        <w:rPr>
          <w:b/>
          <w:bCs/>
          <w:color w:val="1f3864"/>
          <w:sz w:val="30"/>
          <w:szCs w:val="30"/>
          <w:highlight w:val="none"/>
        </w:rPr>
      </w:r>
      <w:r>
        <w:rPr>
          <w:b/>
          <w:bCs/>
          <w:color w:val="1f3864"/>
          <w:sz w:val="30"/>
          <w:szCs w:val="30"/>
          <w:highlight w:val="none"/>
        </w:rPr>
      </w:r>
      <w:r>
        <w:rPr>
          <w:b/>
          <w:bCs/>
          <w:color w:val="1f3864"/>
          <w:sz w:val="30"/>
          <w:szCs w:val="30"/>
          <w:highlight w:val="none"/>
        </w:rPr>
      </w:r>
    </w:p>
    <w:p>
      <w:pPr>
        <w:pStyle w:val="731"/>
        <w:pBdr>
          <w:bottom w:val="single" w:color="2e74b5" w:sz="6" w:space="4"/>
        </w:pBdr>
        <w:spacing w:after="160" w:before="360"/>
        <w:ind/>
        <w:rPr>
          <w:b/>
          <w:bCs/>
          <w:color w:val="1f3864"/>
          <w:sz w:val="30"/>
          <w:szCs w:val="30"/>
          <w:highlight w:val="none"/>
        </w:rPr>
      </w:pPr>
      <w:r>
        <w:rPr>
          <w:b/>
          <w:bCs/>
          <w:color w:val="1f3864"/>
          <w:sz w:val="30"/>
          <w:szCs w:val="30"/>
        </w:rPr>
        <w:t xml:space="preserve">6. System Architecture</w:t>
      </w:r>
      <w:r/>
    </w:p>
    <w:p>
      <w:pPr>
        <w:pBdr/>
        <w:spacing w:after="160" w:line="276" w:lineRule="auto"/>
        <w:ind/>
        <w:rPr/>
      </w:pPr>
      <w:r>
        <w:rPr>
          <w:color w:val="222222"/>
          <w:sz w:val="21"/>
          <w:szCs w:val="21"/>
        </w:rPr>
        <w:t xml:space="preserve">The platform follows a medallion (Bronze/Silver/Gold) lakehouse architecture, with each layer representing an increasing level of data trust and refinement.</w:t>
      </w:r>
      <w:r/>
    </w:p>
    <w:p>
      <w:pPr>
        <w:pStyle w:val="732"/>
        <w:pBdr/>
        <w:spacing w:after="120" w:before="280"/>
        <w:ind/>
        <w:rPr/>
      </w:pPr>
      <w:r>
        <w:rPr>
          <w:b/>
          <w:bCs/>
          <w:color w:val="1f3864"/>
          <w:sz w:val="24"/>
          <w:szCs w:val="24"/>
        </w:rPr>
        <w:t xml:space="preserve">6.1 Architectural Flow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Landing Zone (Unity Catalog Volume) — Simulated upstream transaction files arrive incrementally.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Bronze Layer — Databricks Autoloader ingests new files incrementally and idempotently into a Delta table, with schema evolution support and a rescued-data column for malformed records.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Silver Layer — A Lakeflow Declarative Pipeline applies declarative data quality expectations, deduplication, and type validation.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Gold Layer — Spark window functions compute behavioral fraud-risk features (rolling amount z-score, time-since-last-transaction, rolling transaction counts).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Model Training &amp; Registry — A classifier is trained on Gold features, tracked in MLflow, and registered with a full signature in the Unity Catalog Model Registry.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Batch Scoring — The latest registered model scores the full Gold table; results land in a dedicated scored-transactions Gold table.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Orchestration — Databricks Workflows chains all stages into a single scheduled, dependency-aware job.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Monitoring — A published AI/BI dashboard refreshes automatically, providing business and operational visibility.</w:t>
      </w:r>
      <w:r/>
    </w:p>
    <w:p>
      <w:pPr>
        <w:pStyle w:val="732"/>
        <w:pBdr/>
        <w:spacing w:after="120" w:before="280"/>
        <w:ind/>
        <w:rPr/>
      </w:pPr>
      <w:r>
        <w:rPr>
          <w:b/>
          <w:bCs/>
          <w:color w:val="1f3864"/>
          <w:sz w:val="24"/>
          <w:szCs w:val="24"/>
        </w:rPr>
        <w:t xml:space="preserve">6.2 Technology Stack</w:t>
      </w:r>
      <w:r/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00"/>
      </w:tblGrid>
      <w:tr>
        <w:trPr/>
        <w:tc>
          <w:tcPr>
            <w:shd w:val="clear" w:color="auto" w:fill="1f3864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  <w:r/>
          </w:p>
        </w:tc>
        <w:tc>
          <w:tcPr>
            <w:shd w:val="clear" w:color="auto" w:fill="1f3864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Compute Platform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Databricks Free Edition (Serverless)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Storage Format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Delta Lake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Ingestion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Databricks Autoloader (cloudFiles)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Data Quality / Transformation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Lakeflow Declarative Pipelines (Delta Live Tables)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Governance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Unity Catalog (Catalogs, Schemas, Volumes, Model Registry)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ML Tracking &amp; Registry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MLflow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Modeling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scikit-learn (Random Forest, class-weighted)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Orchestration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Databricks Workflows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Monitoring / BI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Databricks AI/BI Dashboards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Processing Engine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Apache Spark (PySpark)</w:t>
            </w:r>
            <w:r/>
          </w:p>
        </w:tc>
      </w:tr>
    </w:tbl>
    <w:p w14:paraId="01582387">
      <w:pPr>
        <w:pStyle w:val="731"/>
        <w:pBdr>
          <w:bottom w:val="single" w:color="2e74b5" w:sz="6" w:space="3"/>
        </w:pBdr>
        <w:spacing w:after="160" w:before="360"/>
        <w:ind/>
        <w:rPr/>
      </w:pPr>
      <w:r>
        <w:rPr>
          <w:b/>
          <w:bCs/>
          <w:color w:val="1f3864"/>
          <w:sz w:val="30"/>
          <w:szCs w:val="30"/>
          <w:highlight w:val="none"/>
        </w:rPr>
      </w:r>
      <w:r>
        <w:rPr>
          <w:b/>
          <w:bCs/>
          <w:color w:val="1f3864"/>
          <w:sz w:val="30"/>
          <w:szCs w:val="30"/>
          <w:highlight w:val="none"/>
        </w:rPr>
      </w:r>
      <w:r>
        <w:rPr>
          <w:b/>
          <w:bCs/>
          <w:color w:val="1f3864"/>
          <w:sz w:val="30"/>
          <w:szCs w:val="30"/>
          <w:highlight w:val="none"/>
        </w:rPr>
      </w:r>
    </w:p>
    <w:p w14:paraId="6E720445">
      <w:pPr>
        <w:pStyle w:val="731"/>
        <w:pBdr>
          <w:bottom w:val="single" w:color="2e74b5" w:sz="6" w:space="3"/>
        </w:pBdr>
        <w:spacing w:after="160" w:before="360"/>
        <w:ind/>
        <w:rPr>
          <w:b/>
          <w:bCs/>
          <w:color w:val="1f3864"/>
          <w:sz w:val="30"/>
          <w:szCs w:val="30"/>
          <w:highlight w:val="none"/>
        </w:rPr>
      </w:pPr>
      <w:r>
        <w:rPr>
          <w:b/>
          <w:bCs/>
          <w:color w:val="1f3864"/>
          <w:sz w:val="30"/>
          <w:szCs w:val="30"/>
          <w:highlight w:val="none"/>
        </w:rPr>
      </w:r>
      <w:r>
        <w:rPr>
          <w:b/>
          <w:bCs/>
          <w:color w:val="1f3864"/>
          <w:sz w:val="30"/>
          <w:szCs w:val="30"/>
          <w:highlight w:val="none"/>
        </w:rPr>
      </w:r>
      <w:r>
        <w:rPr>
          <w:b/>
          <w:bCs/>
          <w:color w:val="1f3864"/>
          <w:sz w:val="30"/>
          <w:szCs w:val="30"/>
          <w:highlight w:val="none"/>
        </w:rPr>
      </w:r>
    </w:p>
    <w:p>
      <w:pPr>
        <w:pStyle w:val="731"/>
        <w:pBdr>
          <w:bottom w:val="single" w:color="2e74b5" w:sz="6" w:space="4"/>
        </w:pBdr>
        <w:spacing w:after="160" w:before="360"/>
        <w:ind/>
        <w:rPr>
          <w:b/>
          <w:bCs/>
          <w:color w:val="1f3864"/>
          <w:sz w:val="30"/>
          <w:szCs w:val="30"/>
          <w:highlight w:val="none"/>
        </w:rPr>
      </w:pPr>
      <w:r>
        <w:rPr>
          <w:b/>
          <w:bCs/>
          <w:color w:val="1f3864"/>
          <w:sz w:val="30"/>
          <w:szCs w:val="30"/>
        </w:rPr>
        <w:t xml:space="preserve">7. Functional Requirements</w:t>
      </w:r>
      <w:r/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0"/>
        <w:gridCol w:w="6900"/>
        <w:gridCol w:w="1400"/>
      </w:tblGrid>
      <w:tr>
        <w:trPr/>
        <w:tc>
          <w:tcPr>
            <w:shd w:val="clear" w:color="auto" w:fill="1f3864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  <w:r/>
          </w:p>
        </w:tc>
        <w:tc>
          <w:tcPr>
            <w:shd w:val="clear" w:color="auto" w:fill="1f3864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  <w:r/>
          </w:p>
        </w:tc>
        <w:tc>
          <w:tcPr>
            <w:shd w:val="clear" w:color="auto" w:fill="1f3864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FR-1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System shall incrementally ingest new transaction files without reprocessing previously ingested files.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Must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FR-2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System shall capture and expose malformed or schema-drifted records rather than silently dropping or failing on them.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Must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FR-3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System shall enforce data quality rules declaratively, with measurable pass/fail rates per rule.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Must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FR-4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System shall deduplicate transaction records using a defined, documented key strategy.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Must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FR-5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System shall compute rolling, time-aware behavioral features per card entity.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Must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FR-6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System shall track all model training runs with parameters, metrics, and artifacts.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Must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FR-7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System shall evaluate models using precision, recall, and AUPRC, not accuracy alone.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Must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FR-8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System shall register models in a governed model registry with input/output signatures.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Must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FR-9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System shall score transactions using the latest registered model version dynamically.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Should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FR-10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System shall execute all pipeline stages as a single orchestrated, scheduled workflow.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Must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0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FR-11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System shall provide a dashboard reflecting fraud trends, model health, and data freshness.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Must</w:t>
            </w:r>
            <w:r/>
          </w:p>
        </w:tc>
      </w:tr>
    </w:tbl>
    <w:p>
      <w:pPr>
        <w:pStyle w:val="731"/>
        <w:pBdr>
          <w:bottom w:val="single" w:color="2e74b5" w:sz="6" w:space="4"/>
        </w:pBdr>
        <w:spacing w:after="160" w:before="360"/>
        <w:ind/>
        <w:rPr/>
      </w:pPr>
      <w:r>
        <w:rPr>
          <w:b/>
          <w:bCs/>
          <w:color w:val="1f3864"/>
          <w:sz w:val="30"/>
          <w:szCs w:val="30"/>
        </w:rPr>
        <w:t xml:space="preserve">8. Non-Functional Requirements</w:t>
      </w:r>
      <w:r/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00"/>
      </w:tblGrid>
      <w:tr>
        <w:trPr/>
        <w:tc>
          <w:tcPr>
            <w:shd w:val="clear" w:color="auto" w:fill="1f3864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  <w:r/>
          </w:p>
        </w:tc>
        <w:tc>
          <w:tcPr>
            <w:shd w:val="clear" w:color="auto" w:fill="1f3864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Reliability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Ingestion must be idempotent; re-running a job must not duplicate or corrupt data.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Auditability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Every scored record must retain the model version and timestamp used to produce it.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Governance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All tables, volumes, and models must be organized under Unity Catalog namespaces.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Observability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Pipeline freshness and data quality must be visible without querying raw tables.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Resource Efficiency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Ingestion and scoring must run as triggered/batch jobs, not continuous streams, to operate within serverless compute quotas.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Maintainability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9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Table names and model references must be fully qualified and explicit, independent of default catalog/schema context.</w:t>
            </w:r>
            <w:r/>
          </w:p>
        </w:tc>
      </w:tr>
    </w:tbl>
    <w:p w14:paraId="51C4B612">
      <w:pPr>
        <w:pStyle w:val="731"/>
        <w:pBdr>
          <w:bottom w:val="single" w:color="2e74b5" w:sz="6" w:space="3"/>
        </w:pBdr>
        <w:spacing w:after="160" w:before="360"/>
        <w:ind/>
        <w:rPr/>
      </w:pPr>
      <w:r>
        <w:rPr>
          <w:b/>
          <w:bCs/>
          <w:color w:val="1f3864"/>
          <w:sz w:val="30"/>
          <w:szCs w:val="30"/>
          <w:highlight w:val="none"/>
        </w:rPr>
      </w:r>
      <w:r>
        <w:rPr>
          <w:b/>
          <w:bCs/>
          <w:color w:val="1f3864"/>
          <w:sz w:val="30"/>
          <w:szCs w:val="30"/>
          <w:highlight w:val="none"/>
        </w:rPr>
      </w:r>
      <w:r>
        <w:rPr>
          <w:b/>
          <w:bCs/>
          <w:color w:val="1f3864"/>
          <w:sz w:val="30"/>
          <w:szCs w:val="30"/>
          <w:highlight w:val="none"/>
        </w:rPr>
      </w:r>
    </w:p>
    <w:p w14:paraId="53C2FBC0">
      <w:pPr>
        <w:pStyle w:val="731"/>
        <w:pBdr>
          <w:bottom w:val="single" w:color="2e74b5" w:sz="6" w:space="3"/>
        </w:pBdr>
        <w:spacing w:after="160" w:before="360"/>
        <w:ind/>
        <w:rPr>
          <w:b/>
          <w:bCs/>
          <w:color w:val="1f3864"/>
          <w:sz w:val="30"/>
          <w:szCs w:val="30"/>
          <w:highlight w:val="none"/>
        </w:rPr>
      </w:pPr>
      <w:r>
        <w:rPr>
          <w:b/>
          <w:bCs/>
          <w:color w:val="1f3864"/>
          <w:sz w:val="30"/>
          <w:szCs w:val="30"/>
          <w:highlight w:val="none"/>
        </w:rPr>
      </w:r>
      <w:r>
        <w:rPr>
          <w:b/>
          <w:bCs/>
          <w:color w:val="1f3864"/>
          <w:sz w:val="30"/>
          <w:szCs w:val="30"/>
          <w:highlight w:val="none"/>
        </w:rPr>
      </w:r>
      <w:r>
        <w:rPr>
          <w:b/>
          <w:bCs/>
          <w:color w:val="1f3864"/>
          <w:sz w:val="30"/>
          <w:szCs w:val="30"/>
          <w:highlight w:val="none"/>
        </w:rPr>
      </w:r>
    </w:p>
    <w:p w14:paraId="3D83297F">
      <w:pPr>
        <w:pStyle w:val="731"/>
        <w:pBdr>
          <w:bottom w:val="single" w:color="2e74b5" w:sz="6" w:space="3"/>
        </w:pBdr>
        <w:spacing w:after="160" w:before="360"/>
        <w:ind/>
        <w:rPr>
          <w:b/>
          <w:bCs/>
          <w:color w:val="1f3864"/>
          <w:sz w:val="30"/>
          <w:szCs w:val="30"/>
          <w:highlight w:val="none"/>
        </w:rPr>
      </w:pPr>
      <w:r>
        <w:rPr>
          <w:b/>
          <w:bCs/>
          <w:color w:val="1f3864"/>
          <w:sz w:val="30"/>
          <w:szCs w:val="30"/>
          <w:highlight w:val="none"/>
        </w:rPr>
      </w:r>
      <w:r>
        <w:rPr>
          <w:b/>
          <w:bCs/>
          <w:color w:val="1f3864"/>
          <w:sz w:val="30"/>
          <w:szCs w:val="30"/>
          <w:highlight w:val="none"/>
        </w:rPr>
      </w:r>
      <w:r>
        <w:rPr>
          <w:b/>
          <w:bCs/>
          <w:color w:val="1f3864"/>
          <w:sz w:val="30"/>
          <w:szCs w:val="30"/>
          <w:highlight w:val="none"/>
        </w:rPr>
      </w:r>
    </w:p>
    <w:p>
      <w:pPr>
        <w:pStyle w:val="731"/>
        <w:pBdr>
          <w:bottom w:val="single" w:color="2e74b5" w:sz="6" w:space="4"/>
        </w:pBdr>
        <w:spacing w:after="160" w:before="360"/>
        <w:ind/>
        <w:rPr>
          <w:b/>
          <w:bCs/>
          <w:color w:val="1f3864"/>
          <w:sz w:val="30"/>
          <w:szCs w:val="30"/>
          <w:highlight w:val="none"/>
        </w:rPr>
      </w:pPr>
      <w:r>
        <w:rPr>
          <w:b/>
          <w:bCs/>
          <w:color w:val="1f3864"/>
          <w:sz w:val="30"/>
          <w:szCs w:val="30"/>
        </w:rPr>
        <w:t xml:space="preserve">9. Data Model Summary</w:t>
      </w:r>
      <w:r/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1400"/>
        <w:gridCol w:w="5100"/>
      </w:tblGrid>
      <w:tr>
        <w:trPr/>
        <w:tc>
          <w:tcPr>
            <w:shd w:val="clear" w:color="auto" w:fill="1f3864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  <w:r/>
          </w:p>
        </w:tc>
        <w:tc>
          <w:tcPr>
            <w:shd w:val="clear" w:color="auto" w:fill="1f3864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  <w:r/>
          </w:p>
        </w:tc>
        <w:tc>
          <w:tcPr>
            <w:shd w:val="clear" w:color="auto" w:fill="1f3864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1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bronze.transactions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Bronze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Raw ingested transactions with ingestion metadata and rescued-data tracking.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silver.transactions_silver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Silver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Validated, deduplicated, type-conformed transaction records.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gold.transactions_gold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Gold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Feature-engineered table with behavioral fraud-risk signals.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gold.scored_transactions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Gold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Model predictions, fraud probabilities, model version, and scoring timestamp.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ml.fraud_classifier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Model Registry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Versioned, signed fraud classification model.</w:t>
            </w:r>
            <w:r/>
          </w:p>
        </w:tc>
      </w:tr>
    </w:tbl>
    <w:p>
      <w:pPr>
        <w:pStyle w:val="731"/>
        <w:pBdr>
          <w:bottom w:val="single" w:color="2e74b5" w:sz="6" w:space="4"/>
        </w:pBdr>
        <w:spacing w:after="160" w:before="360"/>
        <w:ind/>
        <w:rPr>
          <w:b/>
          <w:bCs/>
          <w:color w:val="1f3864"/>
          <w:sz w:val="30"/>
          <w:szCs w:val="30"/>
          <w:highlight w:val="none"/>
        </w:rPr>
      </w:pPr>
      <w:r>
        <w:rPr>
          <w:b/>
          <w:bCs/>
          <w:color w:val="1f3864"/>
          <w:sz w:val="30"/>
          <w:szCs w:val="30"/>
        </w:rPr>
        <w:t xml:space="preserve">10. Success Metrics</w:t>
      </w:r>
      <w:r/>
    </w:p>
    <w:p>
      <w:pPr>
        <w:pStyle w:val="732"/>
        <w:pBdr/>
        <w:spacing w:after="120" w:before="280"/>
        <w:ind/>
        <w:rPr/>
      </w:pPr>
      <w:r>
        <w:rPr>
          <w:b/>
          <w:bCs/>
          <w:color w:val="1f3864"/>
          <w:sz w:val="24"/>
          <w:szCs w:val="24"/>
        </w:rPr>
        <w:t xml:space="preserve">10.1 Model Performance (Achieved)</w:t>
      </w:r>
      <w:r/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00"/>
      </w:tblGrid>
      <w:tr>
        <w:trPr/>
        <w:tc>
          <w:tcPr>
            <w:shd w:val="clear" w:color="auto" w:fill="1f3864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  <w:r/>
          </w:p>
        </w:tc>
        <w:tc>
          <w:tcPr>
            <w:shd w:val="clear" w:color="auto" w:fill="1f3864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Precision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Recall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0.786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AUPRC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0.929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False Positives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0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False Negatives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1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3 (of 14 fraud cases)</w:t>
            </w:r>
            <w:r/>
          </w:p>
        </w:tc>
      </w:tr>
    </w:tbl>
    <w:p>
      <w:pPr>
        <w:pStyle w:val="732"/>
        <w:pBdr/>
        <w:spacing w:after="120" w:before="280"/>
        <w:ind/>
        <w:rPr/>
      </w:pPr>
      <w:r>
        <w:rPr>
          <w:b/>
          <w:bCs/>
          <w:color w:val="1f3864"/>
          <w:sz w:val="24"/>
          <w:szCs w:val="24"/>
        </w:rPr>
        <w:t xml:space="preserve">10.2 Platform / Operational Metrics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Ingestion idempotency verified: re-ingestion produces zero duplicate rows.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Data quality expectations enforced with zero unexplained data loss (all drops root-caused and documented).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End-to-end orchestrated pipeline executes successfully across all dependent stages.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Dashboard freshness indicator accurately reflects time since last successful ingestion.</w:t>
      </w:r>
      <w:r/>
    </w:p>
    <w:p>
      <w:pPr>
        <w:pStyle w:val="731"/>
        <w:pBdr>
          <w:bottom w:val="single" w:color="2e74b5" w:sz="6" w:space="4"/>
        </w:pBdr>
        <w:spacing w:after="160" w:before="360"/>
        <w:ind/>
        <w:rPr/>
      </w:pPr>
      <w:r>
        <w:rPr>
          <w:b/>
          <w:bCs/>
          <w:color w:val="1f3864"/>
          <w:sz w:val="30"/>
          <w:szCs w:val="30"/>
        </w:rPr>
        <w:t xml:space="preserve">11. Assumptions and Constraints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The source dataset (Kaggle credit card transactions) does not contain a true card or transaction identifier; a derived proxy key is used for grouping and deduplication, which is a documented modeling limitation rather than a production-equivalent design.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Databricks Free Edition provides only serverless compute with fair-use quotas, which constrains the system to triggered/batch execution rather than continuous streaming.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Model retraining is currently manually triggered rather than automated on a drift-detection schedule.</w:t>
      </w:r>
      <w:r/>
    </w:p>
    <w:p>
      <w:pPr>
        <w:pStyle w:val="731"/>
        <w:pBdr>
          <w:bottom w:val="single" w:color="2e74b5" w:sz="6" w:space="4"/>
        </w:pBdr>
        <w:spacing w:after="160" w:before="360"/>
        <w:ind/>
        <w:rPr/>
      </w:pPr>
      <w:r>
        <w:rPr>
          <w:b/>
          <w:bCs/>
          <w:color w:val="1f3864"/>
          <w:sz w:val="30"/>
          <w:szCs w:val="30"/>
        </w:rPr>
        <w:t xml:space="preserve">12. Risks and Mitigations</w:t>
      </w:r>
      <w:r/>
    </w:p>
    <w:tbl>
      <w:tblPr>
        <w:tblW w:w="9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0"/>
        <w:gridCol w:w="5500"/>
      </w:tblGrid>
      <w:tr>
        <w:trPr/>
        <w:tc>
          <w:tcPr>
            <w:shd w:val="clear" w:color="auto" w:fill="1f3864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  <w:r/>
          </w:p>
        </w:tc>
        <w:tc>
          <w:tcPr>
            <w:shd w:val="clear" w:color="auto" w:fill="1f3864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5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Proxy grouping key may not generalize to real card-level behavior.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5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Documented explicitly as a limitation; architecture supports direct substitution of a true card ID with no structural change.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Full-table batch rescoring does not scale indefinitely as data volume grows.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5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Identified as a future enhancement to move to incremental MERGE-based scoring.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Compute quota exhaustion on Free Edition could pause the workspace.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5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All ingestion and scoring jobs use triggered (available-now) execution rather than continuous streaming.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Model performance may degrade over time without retraining.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5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Model registry versioning supports controlled retraining and rollback; automated drift-based retraining flagged as future work.</w:t>
            </w:r>
            <w:r/>
          </w:p>
        </w:tc>
      </w:tr>
    </w:tbl>
    <w:p>
      <w:pPr>
        <w:pStyle w:val="731"/>
        <w:pBdr>
          <w:bottom w:val="single" w:color="2e74b5" w:sz="6" w:space="4"/>
        </w:pBdr>
        <w:spacing w:after="160" w:before="360"/>
        <w:ind/>
        <w:rPr>
          <w:b/>
          <w:bCs/>
          <w:color w:val="1f3864"/>
          <w:sz w:val="30"/>
          <w:szCs w:val="30"/>
          <w:highlight w:val="none"/>
        </w:rPr>
      </w:pPr>
      <w:r>
        <w:rPr>
          <w:b/>
          <w:bCs/>
          <w:color w:val="1f3864"/>
          <w:sz w:val="30"/>
          <w:szCs w:val="30"/>
        </w:rPr>
        <w:t xml:space="preserve">13. Future Enhancements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Incremental (MERGE-based) scoring instead of full-table batch rescoring.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Automated model retraining triggered by performance or data drift detection.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Real-time streaming feature computation for lower-latency fraud scoring.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Integration of a Unity Catalog Feature Store in place of a plain Gold feature table.</w:t>
      </w:r>
      <w:r/>
    </w:p>
    <w:p>
      <w:pPr>
        <w:pStyle w:val="738"/>
        <w:numPr>
          <w:ilvl w:val="0"/>
          <w:numId w:val="2"/>
        </w:numPr>
        <w:pBdr/>
        <w:spacing w:after="80"/>
        <w:ind/>
        <w:rPr/>
      </w:pPr>
      <w:r>
        <w:rPr>
          <w:color w:val="222222"/>
          <w:sz w:val="21"/>
          <w:szCs w:val="21"/>
        </w:rPr>
        <w:t xml:space="preserve">Slowly Changing Dimension modeling for card/merchant reference entities.</w:t>
      </w:r>
      <w:r/>
    </w:p>
    <w:p>
      <w:pPr>
        <w:pStyle w:val="731"/>
        <w:pBdr>
          <w:bottom w:val="single" w:color="2e74b5" w:sz="6" w:space="4"/>
        </w:pBdr>
        <w:spacing w:after="160" w:before="360"/>
        <w:ind/>
        <w:rPr/>
      </w:pPr>
      <w:r>
        <w:rPr>
          <w:b/>
          <w:bCs/>
          <w:color w:val="1f3864"/>
          <w:sz w:val="30"/>
          <w:szCs w:val="30"/>
        </w:rPr>
        <w:t xml:space="preserve">14. Appendix</w:t>
      </w:r>
      <w:r/>
    </w:p>
    <w:p>
      <w:pPr>
        <w:pStyle w:val="732"/>
        <w:pBdr/>
        <w:spacing w:after="120" w:before="280"/>
        <w:ind/>
        <w:rPr/>
      </w:pPr>
      <w:r>
        <w:rPr>
          <w:b/>
          <w:bCs/>
          <w:color w:val="1f3864"/>
          <w:sz w:val="24"/>
          <w:szCs w:val="24"/>
        </w:rPr>
        <w:t xml:space="preserve">14.1 Glossary</w:t>
      </w:r>
      <w:r/>
    </w:p>
    <w:tbl>
      <w:tblPr>
        <w:tblW w:w="9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500"/>
      </w:tblGrid>
      <w:tr>
        <w:trPr/>
        <w:tc>
          <w:tcPr>
            <w:shd w:val="clear" w:color="auto" w:fill="1f3864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  <w:r/>
          </w:p>
        </w:tc>
        <w:tc>
          <w:tcPr>
            <w:shd w:val="clear" w:color="auto" w:fill="1f3864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5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Autoloader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5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Databricks feature for incremental, scalable ingestion of new files from cloud storage.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Delta Lake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5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Open-source storage layer providing ACID transactions on top of data lake storage.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Medallion Architecture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5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A data design pattern organizing data into Bronze (raw), Silver (validated), and Gold (business-ready) layers.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AUPRC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5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Area Under the Precision-Recall Curve; the preferred metric for evaluating models on imbalanced datasets.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Lakeflow Declarative Pipelines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5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Databricks' declarative framework (formerly Delta Live Tables) for building data pipelines with built-in quality expectations and lineage.</w:t>
            </w:r>
            <w:r/>
          </w:p>
        </w:tc>
      </w:tr>
      <w:tr>
        <w:trPr/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Unity Catalog</w:t>
            </w:r>
            <w:r/>
          </w:p>
        </w:tc>
        <w:tc>
          <w:tcPr>
            <w:shd w:val="clear" w:color="auto" w:fill="f2f2f2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5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Databricks' unified governance layer for data and AI assets.</w:t>
            </w:r>
            <w:r/>
          </w:p>
        </w:tc>
      </w:tr>
    </w:tbl>
    <w:p w14:paraId="12D6DDD1">
      <w:pPr>
        <w:pBdr/>
        <w:spacing/>
        <w:ind/>
        <w:rPr/>
      </w:pP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bfbfbf" w:sz="4" w:space="4"/>
      </w:pBdr>
      <w:spacing/>
      <w:ind/>
      <w:jc w:val="right"/>
      <w:rPr/>
    </w:pPr>
    <w:r>
      <w:rPr>
        <w:i/>
        <w:iCs/>
        <w:color w:val="595959"/>
        <w:sz w:val="16"/>
        <w:szCs w:val="16"/>
      </w:rPr>
      <w:t xml:space="preserve">Fraud Detection Platform — PRD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60" w:left="4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260" w:left="82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517AA15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0">
    <w:name w:val="Title"/>
    <w:qFormat/>
    <w:pPr>
      <w:pBdr/>
      <w:spacing/>
      <w:ind/>
    </w:pPr>
    <w:rPr>
      <w:sz w:val="56"/>
      <w:szCs w:val="56"/>
    </w:rPr>
  </w:style>
  <w:style w:type="paragraph" w:styleId="731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32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33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4">
    <w:name w:val="Heading 4"/>
    <w:qFormat/>
    <w:pPr>
      <w:pBdr/>
      <w:spacing/>
      <w:ind/>
    </w:pPr>
    <w:rPr>
      <w:i/>
      <w:iCs/>
      <w:color w:val="2e74b5"/>
    </w:rPr>
  </w:style>
  <w:style w:type="paragraph" w:styleId="735">
    <w:name w:val="Heading 5"/>
    <w:qFormat/>
    <w:pPr>
      <w:pBdr/>
      <w:spacing/>
      <w:ind/>
    </w:pPr>
    <w:rPr>
      <w:color w:val="2e74b5"/>
    </w:rPr>
  </w:style>
  <w:style w:type="paragraph" w:styleId="736">
    <w:name w:val="Heading 6"/>
    <w:qFormat/>
    <w:pPr>
      <w:pBdr/>
      <w:spacing/>
      <w:ind/>
    </w:pPr>
    <w:rPr>
      <w:color w:val="1f4d78"/>
    </w:rPr>
  </w:style>
  <w:style w:type="paragraph" w:styleId="737">
    <w:name w:val="Strong"/>
    <w:qFormat/>
    <w:pPr>
      <w:pBdr/>
      <w:spacing/>
      <w:ind/>
    </w:pPr>
    <w:rPr>
      <w:b/>
      <w:bCs/>
    </w:rPr>
  </w:style>
  <w:style w:type="paragraph" w:styleId="738">
    <w:name w:val="List Paragraph"/>
    <w:qFormat/>
    <w:pPr>
      <w:pBdr/>
      <w:spacing/>
      <w:ind/>
    </w:pPr>
  </w:style>
  <w:style w:type="character" w:styleId="73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1">
    <w:name w:val="footnote text"/>
    <w:link w:val="7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2">
    <w:name w:val="Footnote Text Char"/>
    <w:link w:val="74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4">
    <w:name w:val="endnote text"/>
    <w:link w:val="7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5">
    <w:name w:val="Endnote Text Char"/>
    <w:link w:val="74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2026-07-16T07:30:49Z</dcterms:created>
  <dcterms:modified xsi:type="dcterms:W3CDTF">2026-07-16T07:51:48Z</dcterms:modified>
</cp:coreProperties>
</file>