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2799"/>
        <w:gridCol w:w="1046"/>
        <w:gridCol w:w="4781"/>
      </w:tblGrid>
      <w:tr w:rsidR="002808EC" w:rsidTr="002808EC">
        <w:trPr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6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EVENTUAL 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BKP Show And Competition </w:t>
            </w:r>
            <w:r>
              <w:rPr>
                <w:sz w:val="24"/>
                <w:szCs w:val="24"/>
              </w:rPr>
              <w:t xml:space="preserve">(BKP </w:t>
            </w:r>
            <w:proofErr w:type="spellStart"/>
            <w:r>
              <w:rPr>
                <w:sz w:val="24"/>
                <w:szCs w:val="24"/>
              </w:rPr>
              <w:t>Show n</w:t>
            </w:r>
            <w:proofErr w:type="spellEnd"/>
            <w:r>
              <w:rPr>
                <w:sz w:val="24"/>
                <w:szCs w:val="24"/>
              </w:rPr>
              <w:t xml:space="preserve"> Co)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Hariyanto</w:t>
            </w:r>
            <w:proofErr w:type="spellEnd"/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Febby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Arifianti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Velly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Andita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Dwi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Nurhaliza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 BKP Show and Competition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keinginan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kreativitas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bermanfaat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Selain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diharapkan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dorongan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keaktifan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bermanfaat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mereka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lain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manfaat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khususnya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masa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depan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Tri Dharma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color w:val="000000"/>
                <w:sz w:val="24"/>
                <w:szCs w:val="24"/>
              </w:rPr>
              <w:t>Konstitusi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KM-</w:t>
            </w:r>
            <w:proofErr w:type="spellStart"/>
            <w:r>
              <w:rPr>
                <w:color w:val="000000"/>
                <w:sz w:val="24"/>
                <w:szCs w:val="24"/>
              </w:rPr>
              <w:t>Polije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GBHPKO 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AD/ART </w:t>
            </w:r>
            <w:proofErr w:type="spellStart"/>
            <w:r>
              <w:rPr>
                <w:color w:val="000000"/>
                <w:sz w:val="24"/>
                <w:szCs w:val="24"/>
              </w:rPr>
              <w:t>Ormawa</w:t>
            </w:r>
            <w:proofErr w:type="spellEnd"/>
          </w:p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color w:val="000000"/>
                <w:sz w:val="24"/>
                <w:szCs w:val="24"/>
              </w:rPr>
              <w:t>Aspirasi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BKP Show and Competition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Dikjur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hampir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Guna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apresiasi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Dikjur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motivasi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berani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menunjukkan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dimiliki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keaktifan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apresiasi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Dikjur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berlangsung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kompak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lain.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Terwujudnya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hubungan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harmonis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Alumni, </w:t>
            </w:r>
            <w:proofErr w:type="spellStart"/>
            <w:r>
              <w:rPr>
                <w:color w:val="000000"/>
                <w:sz w:val="24"/>
                <w:szCs w:val="24"/>
              </w:rPr>
              <w:t>beserta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menunjukkan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kreativitas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Terciptanya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keakraban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  <w:p w:rsidR="002808EC" w:rsidRDefault="002808EC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Peningkatan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eksistensi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di </w:t>
            </w:r>
            <w:proofErr w:type="spellStart"/>
            <w:r>
              <w:rPr>
                <w:color w:val="000000"/>
                <w:sz w:val="24"/>
                <w:szCs w:val="24"/>
              </w:rPr>
              <w:t>dunia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solidaritas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diantara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Peningkatan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efektivitas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jangka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pendek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jangka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panjang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Aula </w:t>
            </w:r>
            <w:proofErr w:type="spellStart"/>
            <w:r>
              <w:rPr>
                <w:color w:val="000000"/>
                <w:sz w:val="24"/>
                <w:szCs w:val="24"/>
              </w:rPr>
              <w:t>Soetrisno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Widjaja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 </w:t>
            </w:r>
            <w:proofErr w:type="spellStart"/>
            <w:r>
              <w:rPr>
                <w:color w:val="000000"/>
                <w:sz w:val="24"/>
                <w:szCs w:val="24"/>
              </w:rPr>
              <w:t>Oktober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Strengths</w:t>
            </w:r>
          </w:p>
          <w:p w:rsidR="002808EC" w:rsidRDefault="002808EC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kekeluargaan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forum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menunjukkan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dimiliki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2808EC" w:rsidRDefault="002808EC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Minimnya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menunjukkan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Rendahnya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partisipasi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mahasiswa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melibatkan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kepercayaan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mereka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pentingnya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dibutuhkan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dimasa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depan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rPr>
                <w:sz w:val="24"/>
                <w:szCs w:val="24"/>
              </w:rPr>
            </w:pP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2808EC" w:rsidRDefault="002808EC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terlibat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mengembangkan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menunjukkan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dimiliki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kesempatan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mengasah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mereka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akses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menjalin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kebersamaan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rPr>
                <w:sz w:val="24"/>
                <w:szCs w:val="24"/>
              </w:rPr>
            </w:pP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Threats</w:t>
            </w:r>
          </w:p>
          <w:p w:rsidR="002808EC" w:rsidRDefault="002808EC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partisipasi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antusiasme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Keengganan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sama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kreativitas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terbatas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Ketidaktersediaan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waktu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memadai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menyediakan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akurat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terpercaya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Persaingan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lain yang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ancaman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keberlangsungan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SnC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5.973.000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yang </w:t>
            </w:r>
            <w:proofErr w:type="spellStart"/>
            <w:r>
              <w:rPr>
                <w:color w:val="000000"/>
                <w:sz w:val="24"/>
                <w:szCs w:val="24"/>
              </w:rPr>
              <w:t>sering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color w:val="000000"/>
                <w:sz w:val="24"/>
                <w:szCs w:val="24"/>
              </w:rPr>
              <w:t>Ketidaktahuan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absen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dirapatkan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color w:val="000000"/>
                <w:sz w:val="24"/>
                <w:szCs w:val="24"/>
              </w:rPr>
              <w:t>Kesulitan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menemukan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memadai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menyediakan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fasilitas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dibutuhkan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4. </w:t>
            </w:r>
            <w:proofErr w:type="spellStart"/>
            <w:r>
              <w:rPr>
                <w:color w:val="000000"/>
                <w:sz w:val="24"/>
                <w:szCs w:val="24"/>
              </w:rPr>
              <w:t>Terbatasnya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waktu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tersedia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menyediakan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memperbarui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ketika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kendala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.</w:t>
            </w:r>
            <w:proofErr w:type="gramEnd"/>
          </w:p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2808EC" w:rsidRDefault="002808EC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Tingkat </w:t>
            </w:r>
            <w:proofErr w:type="spellStart"/>
            <w:r>
              <w:rPr>
                <w:color w:val="000000"/>
                <w:sz w:val="24"/>
                <w:szCs w:val="24"/>
              </w:rPr>
              <w:t>partisipasi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color w:val="000000"/>
                <w:sz w:val="24"/>
                <w:szCs w:val="24"/>
              </w:rPr>
              <w:t>berlangsungnya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BKP Show and Competition.</w:t>
            </w:r>
          </w:p>
          <w:p w:rsidR="002808EC" w:rsidRDefault="002808EC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Feedback </w:t>
            </w:r>
            <w:proofErr w:type="spellStart"/>
            <w:r>
              <w:rPr>
                <w:color w:val="000000"/>
                <w:sz w:val="24"/>
                <w:szCs w:val="24"/>
              </w:rPr>
              <w:t>positif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BKP Show and Competition.</w:t>
            </w:r>
          </w:p>
          <w:p w:rsidR="002808EC" w:rsidRDefault="002808EC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terlaksana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808EC" w:rsidTr="002808EC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2808EC" w:rsidRDefault="002808EC">
            <w:pPr>
              <w:widowControl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Total </w:t>
            </w:r>
            <w:proofErr w:type="spellStart"/>
            <w:r>
              <w:rPr>
                <w:color w:val="000000"/>
                <w:sz w:val="24"/>
                <w:szCs w:val="24"/>
              </w:rPr>
              <w:t>absensi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mencapai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90%</w:t>
            </w:r>
          </w:p>
          <w:p w:rsidR="002808EC" w:rsidRDefault="002808EC">
            <w:pPr>
              <w:widowControl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Didapatkannya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</w:p>
        </w:tc>
      </w:tr>
    </w:tbl>
    <w:p w:rsidR="002808EC" w:rsidRDefault="002808EC" w:rsidP="002808EC">
      <w:pPr>
        <w:widowControl/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2808EC" w:rsidRDefault="002808EC" w:rsidP="002808EC">
      <w:pPr>
        <w:widowControl/>
        <w:spacing w:after="240"/>
        <w:rPr>
          <w:sz w:val="24"/>
          <w:szCs w:val="24"/>
        </w:rPr>
      </w:pPr>
    </w:p>
    <w:p w:rsidR="002808EC" w:rsidRDefault="002808EC" w:rsidP="002808EC">
      <w:pPr>
        <w:widowControl/>
        <w:spacing w:after="240"/>
        <w:rPr>
          <w:sz w:val="24"/>
          <w:szCs w:val="24"/>
        </w:rPr>
      </w:pPr>
    </w:p>
    <w:p w:rsidR="002808EC" w:rsidRDefault="002808EC" w:rsidP="002808EC">
      <w:pPr>
        <w:widowControl/>
        <w:spacing w:after="240"/>
        <w:rPr>
          <w:sz w:val="24"/>
          <w:szCs w:val="24"/>
        </w:rPr>
      </w:pPr>
    </w:p>
    <w:tbl>
      <w:tblPr>
        <w:tblW w:w="9360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2808EC" w:rsidTr="002808EC">
        <w:trPr>
          <w:trHeight w:val="475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2808EC" w:rsidRDefault="002808EC" w:rsidP="002808EC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</w:t>
      </w:r>
    </w:p>
    <w:p w:rsidR="002808EC" w:rsidRDefault="002808EC" w:rsidP="002808EC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PROGRAM KERJA BKP SHOW AND COMPETITION</w:t>
      </w:r>
    </w:p>
    <w:p w:rsidR="002808EC" w:rsidRDefault="002808EC" w:rsidP="002808EC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14 OKTOBER 2023</w:t>
      </w:r>
    </w:p>
    <w:p w:rsidR="002808EC" w:rsidRDefault="002808EC" w:rsidP="002808EC">
      <w:pPr>
        <w:widowControl/>
        <w:rPr>
          <w:sz w:val="24"/>
          <w:szCs w:val="24"/>
        </w:rPr>
      </w:pPr>
    </w:p>
    <w:tbl>
      <w:tblPr>
        <w:tblW w:w="9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3630"/>
        <w:gridCol w:w="1275"/>
        <w:gridCol w:w="1080"/>
        <w:gridCol w:w="1635"/>
        <w:gridCol w:w="1455"/>
      </w:tblGrid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HUMAS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100.000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Lampu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100.000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Musik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280.000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480.000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DEKORASI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100.000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100.000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Balon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Bungkus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68.000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168.000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KESEKRETARIATAN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800.000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205.000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1.025.000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492.000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1.920.000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Pembina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Tamu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Undangan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119.000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51.000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51.000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Snack Pembina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Tamu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Undangan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49.000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Bintang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21.000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205.000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800.000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.TOTAL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3.753.000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Jilid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 (5 </w:t>
            </w: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x 15 </w:t>
            </w: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25.000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180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22.500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Tamu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undangan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Undangan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121.000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CINDERAMATA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Cinderamata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Cinderamata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Tamu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300.000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9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ADMINISTRASI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2808EC" w:rsidTr="002808EC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:rsidR="002808EC" w:rsidRDefault="002808E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Trophy </w:t>
            </w:r>
            <w:proofErr w:type="spellStart"/>
            <w:r>
              <w:rPr>
                <w:color w:val="000000"/>
                <w:sz w:val="24"/>
                <w:szCs w:val="24"/>
              </w:rPr>
              <w:t>Pemenang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30.000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90.000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90.000</w:t>
            </w:r>
          </w:p>
        </w:tc>
      </w:tr>
      <w:tr w:rsidR="002808EC" w:rsidTr="002808EC">
        <w:trPr>
          <w:trHeight w:val="315"/>
          <w:jc w:val="center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808EC" w:rsidRDefault="002808E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5.973.000</w:t>
            </w:r>
          </w:p>
        </w:tc>
      </w:tr>
    </w:tbl>
    <w:p w:rsidR="002808EC" w:rsidRDefault="002808EC" w:rsidP="002808EC">
      <w:pPr>
        <w:widowControl/>
        <w:rPr>
          <w:sz w:val="24"/>
          <w:szCs w:val="24"/>
        </w:rPr>
      </w:pPr>
    </w:p>
    <w:p w:rsidR="00D0285A" w:rsidRDefault="00D0285A"/>
    <w:sectPr w:rsidR="00D02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D2" w:rsidRDefault="00CF14D2" w:rsidP="002808EC">
      <w:r>
        <w:separator/>
      </w:r>
    </w:p>
  </w:endnote>
  <w:endnote w:type="continuationSeparator" w:id="0">
    <w:p w:rsidR="00CF14D2" w:rsidRDefault="00CF14D2" w:rsidP="0028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EC" w:rsidRDefault="002808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EC" w:rsidRDefault="002808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EC" w:rsidRDefault="002808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D2" w:rsidRDefault="00CF14D2" w:rsidP="002808EC">
      <w:r>
        <w:separator/>
      </w:r>
    </w:p>
  </w:footnote>
  <w:footnote w:type="continuationSeparator" w:id="0">
    <w:p w:rsidR="00CF14D2" w:rsidRDefault="00CF14D2" w:rsidP="00280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EC" w:rsidRDefault="002808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EC" w:rsidRPr="00E15BCE" w:rsidRDefault="002808EC" w:rsidP="002808EC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5BB0C395" wp14:editId="274C1814">
          <wp:simplePos x="0" y="0"/>
          <wp:positionH relativeFrom="column">
            <wp:posOffset>5006340</wp:posOffset>
          </wp:positionH>
          <wp:positionV relativeFrom="paragraph">
            <wp:posOffset>171450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52D55FA" wp14:editId="67484CA2">
          <wp:simplePos x="0" y="0"/>
          <wp:positionH relativeFrom="column">
            <wp:posOffset>-146685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2808EC" w:rsidRPr="00E15BCE" w:rsidRDefault="002808EC" w:rsidP="002808EC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  <w:bookmarkStart w:id="0" w:name="_GoBack"/>
    <w:bookmarkEnd w:id="0"/>
  </w:p>
  <w:p w:rsidR="002808EC" w:rsidRPr="00E15BCE" w:rsidRDefault="002808EC" w:rsidP="002808EC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2808EC" w:rsidRPr="00EB1562" w:rsidRDefault="002808EC" w:rsidP="002808EC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2808EC" w:rsidRPr="00E15BCE" w:rsidRDefault="002808EC" w:rsidP="002808EC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2808EC" w:rsidRDefault="002808EC" w:rsidP="002808EC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2808EC" w:rsidRDefault="002808EC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D26960" wp14:editId="72214709">
              <wp:simplePos x="0" y="0"/>
              <wp:positionH relativeFrom="column">
                <wp:posOffset>12700</wp:posOffset>
              </wp:positionH>
              <wp:positionV relativeFrom="paragraph">
                <wp:posOffset>635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1pt;margin-top:.05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YGXVOtwAAAAEAQAADwAAAGRycy9kb3ducmV2LnhtbEyPzW7CMBCE75X6DtZW4lachP4R&#10;4iCE2p4QUqFSxW2JlyQiXkexScLb15za486MZr7NlqNpRE+dqy0riKcRCOLC6ppLBd/7j8c3EM4j&#10;a2wsk4IrOVjm93cZptoO/EX9zpcilLBLUUHlfZtK6YqKDLqpbYmDd7KdQR/OrpS6wyGUm0YmUfQi&#10;DdYcFipsaV1Rcd5djILPAYfVLH7vN+fT+nrYP29/NjEpNXkYVwsQnkb/F4YbfkCHPDAd7YW1E42C&#10;JHzib7II5vwpmYM4KnhNQOaZ/A+f/wIAAP//AwBQSwECLQAUAAYACAAAACEAtoM4kv4AAADhAQAA&#10;EwAAAAAAAAAAAAAAAAAAAAAAW0NvbnRlbnRfVHlwZXNdLnhtbFBLAQItABQABgAIAAAAIQA4/SH/&#10;1gAAAJQBAAALAAAAAAAAAAAAAAAAAC8BAABfcmVscy8ucmVsc1BLAQItABQABgAIAAAAIQD4tZ+T&#10;SwIAAHkGAAAOAAAAAAAAAAAAAAAAAC4CAABkcnMvZTJvRG9jLnhtbFBLAQItABQABgAIAAAAIQBg&#10;ZdU63AAAAAQBAAAPAAAAAAAAAAAAAAAAAKUEAABkcnMvZG93bnJldi54bWxQSwUGAAAAAAQABADz&#10;AAAAr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EC" w:rsidRDefault="00280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0728"/>
    <w:multiLevelType w:val="multilevel"/>
    <w:tmpl w:val="58288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8C41976"/>
    <w:multiLevelType w:val="multilevel"/>
    <w:tmpl w:val="DF66E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1BA7C94"/>
    <w:multiLevelType w:val="multilevel"/>
    <w:tmpl w:val="2DEAE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A137496"/>
    <w:multiLevelType w:val="multilevel"/>
    <w:tmpl w:val="F7AE5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B6074BE"/>
    <w:multiLevelType w:val="multilevel"/>
    <w:tmpl w:val="F4888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BF1139F"/>
    <w:multiLevelType w:val="multilevel"/>
    <w:tmpl w:val="F9140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3467590"/>
    <w:multiLevelType w:val="multilevel"/>
    <w:tmpl w:val="EE2C9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61510F6"/>
    <w:multiLevelType w:val="multilevel"/>
    <w:tmpl w:val="CF9E6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6AED5CBA"/>
    <w:multiLevelType w:val="multilevel"/>
    <w:tmpl w:val="140C8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8EC"/>
    <w:rsid w:val="002808EC"/>
    <w:rsid w:val="00CF14D2"/>
    <w:rsid w:val="00D0285A"/>
    <w:rsid w:val="00D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8E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0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8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08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8E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0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8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0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6283</Characters>
  <Application>Microsoft Office Word</Application>
  <DocSecurity>0</DocSecurity>
  <Lines>52</Lines>
  <Paragraphs>14</Paragraphs>
  <ScaleCrop>false</ScaleCrop>
  <Company>HP</Company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2023-02-27T04:43:00Z</dcterms:created>
  <dcterms:modified xsi:type="dcterms:W3CDTF">2023-02-27T04:44:00Z</dcterms:modified>
</cp:coreProperties>
</file>