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Calibri" w:cs="Calibri" w:eastAsia="Calibri" w:hAnsi="Calibri"/>
          <w:b w:val="1"/>
          <w:bCs w:val="1"/>
          <w:i w:val="0"/>
          <w:iCs w:val="0"/>
          <w:smallCaps w:val="1"/>
          <w:strike w:val="0"/>
          <w:color w:val="5c666c"/>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5c666c"/>
          <w:sz w:val="24"/>
          <w:szCs w:val="24"/>
          <w:u w:val="none"/>
          <w:shd w:fill="auto" w:val="clear"/>
          <w:vertAlign w:val="baseline"/>
          <w:rtl w:val="0"/>
        </w:rPr>
        <w:t xml:space="preserve">Data Mining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c666c"/>
          <w:sz w:val="22"/>
          <w:szCs w:val="22"/>
          <w:u w:val="none"/>
          <w:shd w:fill="auto" w:val="clear"/>
          <w:vertAlign w:val="baseline"/>
          <w:rtl w:val="0"/>
        </w:rPr>
        <w:t xml:space="preserve">Master in Data Science and Advanced Analytics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1"/>
          <w:bCs w:val="1"/>
          <w:i w:val="0"/>
          <w:iCs w:val="0"/>
          <w:smallCaps w:val="0"/>
          <w:strike w:val="0"/>
          <w:color w:val="5c666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c666c"/>
          <w:sz w:val="22"/>
          <w:szCs w:val="22"/>
          <w:u w:val="none"/>
          <w:shd w:fill="auto" w:val="clear"/>
          <w:vertAlign w:val="baseline"/>
          <w:rtl w:val="0"/>
        </w:rPr>
        <w:t xml:space="preserve">NOVA Information Management School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c666c"/>
          <w:sz w:val="22"/>
          <w:szCs w:val="22"/>
          <w:u w:val="none"/>
          <w:shd w:fill="auto" w:val="clear"/>
          <w:vertAlign w:val="baseline"/>
          <w:rtl w:val="0"/>
        </w:rPr>
        <w:t xml:space="preserve">Universidade Nova de Lisboa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5c666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rFonts w:ascii="Calibri" w:cs="Calibri" w:eastAsia="Calibri" w:hAnsi="Calibri"/>
        </w:rPr>
      </w:pPr>
      <w:r w:rsidDel="00000000" w:rsidR="00000000" w:rsidRPr="00000000">
        <w:rPr>
          <w:rtl w:val="0"/>
        </w:rPr>
        <w:t xml:space="preserve">Amazing International Airlines Inc.</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b w:val="1"/>
          <w:bCs w:val="1"/>
          <w:sz w:val="32"/>
          <w:szCs w:val="32"/>
          <w:rtl w:val="0"/>
        </w:rPr>
        <w:t xml:space="preserve">Group 25</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Muhammad Khuzaima Bashir, 20250441</w:t>
      </w:r>
    </w:p>
    <w:p w:rsidR="00000000" w:rsidDel="00000000" w:rsidP="00000000" w:rsidRDefault="00000000" w:rsidRPr="00000000" w14:paraId="0000001D">
      <w:pPr>
        <w:jc w:val="center"/>
        <w:rPr/>
      </w:pPr>
      <w:r w:rsidDel="00000000" w:rsidR="00000000" w:rsidRPr="00000000">
        <w:rPr>
          <w:rtl w:val="0"/>
        </w:rPr>
        <w:t xml:space="preserve">Muhammad Ammar, 20250440</w:t>
      </w:r>
    </w:p>
    <w:p w:rsidR="00000000" w:rsidDel="00000000" w:rsidP="00000000" w:rsidRDefault="00000000" w:rsidRPr="00000000" w14:paraId="0000001E">
      <w:pPr>
        <w:jc w:val="center"/>
        <w:rPr/>
      </w:pPr>
      <w:r w:rsidDel="00000000" w:rsidR="00000000" w:rsidRPr="00000000">
        <w:rPr>
          <w:rtl w:val="0"/>
        </w:rPr>
        <w:t xml:space="preserve">Student3 Name, 20003333</w:t>
      </w:r>
    </w:p>
    <w:p w:rsidR="00000000" w:rsidDel="00000000" w:rsidP="00000000" w:rsidRDefault="00000000" w:rsidRPr="00000000" w14:paraId="0000001F">
      <w:pPr>
        <w:jc w:val="center"/>
        <w:rPr/>
      </w:pPr>
      <w:r w:rsidDel="00000000" w:rsidR="00000000" w:rsidRPr="00000000">
        <w:rPr>
          <w:rtl w:val="0"/>
        </w:rPr>
        <w:t xml:space="preserve">Student4 Name, 20004444</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Fall/Spring Semester 202</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0"/>
        </w:tabs>
        <w:spacing w:after="0" w:before="0"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Calibri" w:cs="Calibri" w:eastAsia="Calibri" w:hAnsi="Calibri"/>
          <w:b w:val="1"/>
          <w:bCs w:val="1"/>
          <w:i w:val="0"/>
          <w:iCs w:val="0"/>
          <w:smallCaps w:val="0"/>
          <w:strike w:val="0"/>
          <w:color w:val="5c666c"/>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5c666c"/>
          <w:sz w:val="32"/>
          <w:szCs w:val="3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1094570582"/>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5,1,"</w:instrText>
            <w:fldChar w:fldCharType="separate"/>
          </w:r>
          <w:hyperlink w:anchor="_ge9i7ovi3rv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ge9i7ovi3rv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_ge9i7ovi3rvx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q9jp6q027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qq9jp6q027d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_qq9jp6q027dj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Heading Level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00" w:before="0" w:line="240" w:lineRule="auto"/>
            <w:ind w:left="0"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nqkzc2oc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unqkzc2oc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_unqkzc2oc9m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2 Title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3"/>
            </w:tabs>
            <w:spacing w:after="100" w:before="0" w:line="240"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6un914vls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w:t>
            </w:r>
          </w:hyperlink>
          <w:hyperlink w:anchor="_q6un914vlsw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_q6un914vlsw5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3 title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505"/>
            </w:tabs>
            <w:spacing w:after="100" w:before="0" w:line="276" w:lineRule="auto"/>
            <w:ind w:left="720" w:right="1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wq1zfhkss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2.1.1.1.</w:t>
            </w:r>
          </w:hyperlink>
          <w:hyperlink w:anchor="_pwq1zfhkss0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_pwq1zfhkss0f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4 title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4fiskcqdp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s4fiskcqdpe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_s4fiskcqdpex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Another Section Heading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htv9cm50l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Bibliographical References  (</w:t>
            </w:r>
          </w:hyperlink>
          <w:hyperlink w:anchor="_xhtv9cm50lox">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Optional, Not included in page limit</w:t>
            </w:r>
          </w:hyperlink>
          <w:hyperlink w:anchor="_xhtv9cm50l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n87h6fi6r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w:t>
            </w:r>
          </w:hyperlink>
          <w:hyperlink w:anchor="_mn87h6fi6r9x">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Optional, Not included in page limit</w:t>
            </w:r>
          </w:hyperlink>
          <w:hyperlink w:anchor="_mn87h6fi6r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ytnxmza2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Annexes (</w:t>
            </w:r>
          </w:hyperlink>
          <w:hyperlink w:anchor="_zytnxmza2lb">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Optional, Not included in page limit</w:t>
            </w:r>
          </w:hyperlink>
          <w:hyperlink w:anchor="_zytnxmza2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5</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5"/>
        <w:rPr/>
        <w:sectPr>
          <w:footerReference r:id="rId6"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32">
      <w:pPr>
        <w:pStyle w:val="Heading1"/>
        <w:numPr>
          <w:ilvl w:val="0"/>
          <w:numId w:val="1"/>
        </w:numPr>
        <w:ind w:left="360" w:hanging="360"/>
        <w:rPr/>
      </w:pPr>
      <w:bookmarkStart w:colFirst="0" w:colLast="0" w:name="_ge9i7ovi3rvx" w:id="0"/>
      <w:bookmarkEnd w:id="0"/>
      <w:r w:rsidDel="00000000" w:rsidR="00000000" w:rsidRPr="00000000">
        <w:rPr>
          <w:rtl w:val="0"/>
        </w:rPr>
        <w:t xml:space="preserve">Introduction </w:t>
      </w:r>
    </w:p>
    <w:p w:rsidR="00000000" w:rsidDel="00000000" w:rsidP="00000000" w:rsidRDefault="00000000" w:rsidRPr="00000000" w14:paraId="00000033">
      <w:pPr>
        <w:spacing w:after="240" w:before="240" w:lineRule="auto"/>
        <w:rPr/>
      </w:pPr>
      <w:r w:rsidDel="00000000" w:rsidR="00000000" w:rsidRPr="00000000">
        <w:rPr>
          <w:rtl w:val="0"/>
        </w:rPr>
        <w:t xml:space="preserve">Phase 1 of this project focused on building a clear and reliable understanding of AIAI’s customer and flight data in order to surface meaningful patterns in engagement, travel behaviour, and value contribution. The analysis highlighted substantial heterogeneity across the customer base. Some customers demonstrate sustained and consistent engagement over long periods, others show short bursts of activity, and a large proportion remain minimally active. These differences are not superficial and have direct implications for how customers should be analysed and grouped. A key outcome of this phase was the recognition that customer segmentation could not be treated as a purely technical modelling exercise applied to an existing dataset. The structure of the data itself, particularly the mismatch in granularity between customer attributes and flight activity, needed to be addressed to avoid producing clusters driven by artefacts rather than genuine behavioural differences.</w:t>
      </w:r>
    </w:p>
    <w:p w:rsidR="00000000" w:rsidDel="00000000" w:rsidP="00000000" w:rsidRDefault="00000000" w:rsidRPr="00000000" w14:paraId="00000034">
      <w:pPr>
        <w:spacing w:after="240" w:before="240" w:lineRule="auto"/>
        <w:rPr/>
      </w:pPr>
      <w:r w:rsidDel="00000000" w:rsidR="00000000" w:rsidRPr="00000000">
        <w:rPr>
          <w:rtl w:val="0"/>
        </w:rPr>
        <w:t xml:space="preserve">Data preparation therefore focused on constructing a customer level dataset that accurately reflects both behaviour and timing. Customer and flight datasets were integrated using a left join on the loyalty identifier to ensure that all customers, including those with low or no activity, remained represented. Targeted consistency checks were applied to remove logically invalid records, such as flight entries with zero travel distance, which are unlikely to represent real behaviour. Preserving temporal dynamics was a further priority. Rather than aggregating flight data directly, activity was first structured at a year month level to retain month wise and seasonal patterns before controlled aggregation. Building on this foundation, feature engineering is captured when customers travel through seasonal indicators and how they travel through normalised behavioural measures that account for tenure and activity span. Together, these steps ensured that the dataset used for segmentation provides a robust and behaviourally meaningful foundation for the analysis presented in this report.</w:t>
      </w:r>
    </w:p>
    <w:p w:rsidR="00000000" w:rsidDel="00000000" w:rsidP="00000000" w:rsidRDefault="00000000" w:rsidRPr="00000000" w14:paraId="00000035">
      <w:pPr>
        <w:pStyle w:val="Heading1"/>
        <w:numPr>
          <w:ilvl w:val="0"/>
          <w:numId w:val="2"/>
        </w:numPr>
        <w:ind w:left="720" w:hanging="360"/>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This section describes the analytical approach used to construct and evaluate customer segments for AIAI. The methodology was designed to balance statistical rigor with business interpretability, ensuring that the resulting segments are both analytically defensible and practically actionable.</w:t>
      </w:r>
    </w:p>
    <w:p w:rsidR="00000000" w:rsidDel="00000000" w:rsidP="00000000" w:rsidRDefault="00000000" w:rsidRPr="00000000" w14:paraId="00000037">
      <w:pPr>
        <w:pStyle w:val="Heading2"/>
        <w:numPr>
          <w:ilvl w:val="1"/>
          <w:numId w:val="2"/>
        </w:numPr>
        <w:spacing w:after="80" w:before="280" w:lineRule="auto"/>
        <w:ind w:left="1440" w:hanging="360"/>
        <w:rPr/>
      </w:pPr>
      <w:bookmarkStart w:colFirst="0" w:colLast="0" w:name="_z6pvo4id2alg" w:id="1"/>
      <w:bookmarkEnd w:id="1"/>
      <w:r w:rsidDel="00000000" w:rsidR="00000000" w:rsidRPr="00000000">
        <w:rPr>
          <w:rtl w:val="0"/>
        </w:rPr>
        <w:t xml:space="preserve">Data integration</w:t>
      </w:r>
    </w:p>
    <w:p w:rsidR="00000000" w:rsidDel="00000000" w:rsidP="00000000" w:rsidRDefault="00000000" w:rsidRPr="00000000" w14:paraId="00000038">
      <w:pPr>
        <w:spacing w:after="240" w:before="240" w:lineRule="auto"/>
        <w:rPr/>
      </w:pPr>
      <w:r w:rsidDel="00000000" w:rsidR="00000000" w:rsidRPr="00000000">
        <w:rPr>
          <w:rtl w:val="0"/>
        </w:rPr>
        <w:t xml:space="preserve">Customer level and flight level datasets were combined using the loyalty identifier as the common key. A left join strategy was applied to ensure that all customers were retained in the analysis, including those with no recorded flight activity. This decision was important to avoid biasing the segmentation toward already active or engaged customers. Prior to merging, key fields were explicitly aligned in terms of data type and format to prevent silent join errors and ensure record level consistency.</w:t>
      </w:r>
    </w:p>
    <w:p w:rsidR="00000000" w:rsidDel="00000000" w:rsidP="00000000" w:rsidRDefault="00000000" w:rsidRPr="00000000" w14:paraId="00000039">
      <w:pPr>
        <w:pStyle w:val="Heading2"/>
        <w:numPr>
          <w:ilvl w:val="1"/>
          <w:numId w:val="2"/>
        </w:numPr>
        <w:spacing w:after="80" w:before="280" w:lineRule="auto"/>
        <w:ind w:left="1440" w:hanging="360"/>
        <w:rPr/>
      </w:pPr>
      <w:bookmarkStart w:colFirst="0" w:colLast="0" w:name="_nxfwliqf0ost" w:id="2"/>
      <w:bookmarkEnd w:id="2"/>
      <w:r w:rsidDel="00000000" w:rsidR="00000000" w:rsidRPr="00000000">
        <w:rPr>
          <w:rtl w:val="0"/>
        </w:rPr>
        <w:t xml:space="preserve">Data validation and consistency checks</w:t>
      </w:r>
    </w:p>
    <w:p w:rsidR="00000000" w:rsidDel="00000000" w:rsidP="00000000" w:rsidRDefault="00000000" w:rsidRPr="00000000" w14:paraId="0000003A">
      <w:pPr>
        <w:spacing w:after="240" w:before="240" w:lineRule="auto"/>
        <w:rPr/>
      </w:pPr>
      <w:r w:rsidDel="00000000" w:rsidR="00000000" w:rsidRPr="00000000">
        <w:rPr>
          <w:rtl w:val="0"/>
        </w:rPr>
        <w:t xml:space="preserve">After integration, targeted validation checks were performed to identify logically invalid records that could distort downstream analysis. The focus was placed on structural inconsistencies rather than missing values alone. In particular, flight records with zero recorded travel distance were identified as invalid, as a completed flight necessarily implies a positive distance. These records were removed prior to aggregation to prevent erroneous values from propagating into customer level summaries and behavioural features. This conservative approach prioritised analytical integrity over maximising dataset size.</w:t>
      </w:r>
    </w:p>
    <w:p w:rsidR="00000000" w:rsidDel="00000000" w:rsidP="00000000" w:rsidRDefault="00000000" w:rsidRPr="00000000" w14:paraId="0000003B">
      <w:pPr>
        <w:pStyle w:val="Heading2"/>
        <w:numPr>
          <w:ilvl w:val="1"/>
          <w:numId w:val="2"/>
        </w:numPr>
        <w:spacing w:after="80" w:before="280" w:lineRule="auto"/>
        <w:ind w:left="1440" w:hanging="360"/>
        <w:rPr/>
      </w:pPr>
      <w:bookmarkStart w:colFirst="0" w:colLast="0" w:name="_mk6xzj3e5qld" w:id="3"/>
      <w:bookmarkEnd w:id="3"/>
      <w:r w:rsidDel="00000000" w:rsidR="00000000" w:rsidRPr="00000000">
        <w:rPr>
          <w:rtl w:val="0"/>
        </w:rPr>
        <w:t xml:space="preserve">Temporal feature engineering</w:t>
      </w:r>
    </w:p>
    <w:p w:rsidR="00000000" w:rsidDel="00000000" w:rsidP="00000000" w:rsidRDefault="00000000" w:rsidRPr="00000000" w14:paraId="0000003C">
      <w:pPr>
        <w:spacing w:after="240" w:before="240" w:lineRule="auto"/>
        <w:rPr/>
      </w:pPr>
      <w:r w:rsidDel="00000000" w:rsidR="00000000" w:rsidRPr="00000000">
        <w:rPr>
          <w:rtl w:val="0"/>
        </w:rPr>
        <w:t xml:space="preserve">Based on the monthly structure, temporal features were constructed to capture when customers travel rather than relying on raw calendar fields. Monthly flight indicators and counts were aggregated into seasonal flight volumes, allowing broader travel patterns to be identified while reducing dimensionality. A peak season indicator was introduced to capture summer travel behaviour, which serves as a proxy for leisure oriented travel in the absence of explicit trip purpose data. In addition, a dominant travel season was derived for each customer to provide a concise and interpretable summary of their primary temporal travel pattern.</w:t>
      </w:r>
    </w:p>
    <w:p w:rsidR="00000000" w:rsidDel="00000000" w:rsidP="00000000" w:rsidRDefault="00000000" w:rsidRPr="00000000" w14:paraId="0000003D">
      <w:pPr>
        <w:pStyle w:val="Heading2"/>
        <w:numPr>
          <w:ilvl w:val="1"/>
          <w:numId w:val="2"/>
        </w:numPr>
        <w:spacing w:after="80" w:before="280" w:lineRule="auto"/>
        <w:ind w:left="1440" w:hanging="360"/>
        <w:rPr/>
      </w:pPr>
      <w:bookmarkStart w:colFirst="0" w:colLast="0" w:name="_dq6hg3r1iur7" w:id="4"/>
      <w:bookmarkEnd w:id="4"/>
      <w:r w:rsidDel="00000000" w:rsidR="00000000" w:rsidRPr="00000000">
        <w:rPr>
          <w:rtl w:val="0"/>
        </w:rPr>
        <w:t xml:space="preserve">Behavioural feature engineering</w:t>
      </w:r>
    </w:p>
    <w:p w:rsidR="00000000" w:rsidDel="00000000" w:rsidP="00000000" w:rsidRDefault="00000000" w:rsidRPr="00000000" w14:paraId="0000003E">
      <w:pPr>
        <w:spacing w:after="240" w:before="240" w:lineRule="auto"/>
        <w:rPr/>
      </w:pPr>
      <w:r w:rsidDel="00000000" w:rsidR="00000000" w:rsidRPr="00000000">
        <w:rPr>
          <w:rtl w:val="0"/>
        </w:rPr>
        <w:t xml:space="preserve">Behavioural features were designed to capture how customers travel rather than simply how much they travel. Raw activity totals were normalised into per unit and ratio based measures to account for differences in tenure and activity span. These features include travel frequency per active month, value per flight, loyalty point redemption behaviour, average distance per flight, and the proportion of flights taken with companions. Normalisation allows customers with different engagement histories to be compared on a like for like basis and improves the stability and interpretability of clustering results.</w:t>
      </w:r>
    </w:p>
    <w:p w:rsidR="00000000" w:rsidDel="00000000" w:rsidP="00000000" w:rsidRDefault="00000000" w:rsidRPr="00000000" w14:paraId="0000003F">
      <w:pPr>
        <w:pStyle w:val="Heading2"/>
        <w:keepNext w:val="0"/>
        <w:keepLines w:val="0"/>
        <w:numPr>
          <w:ilvl w:val="1"/>
          <w:numId w:val="2"/>
        </w:numPr>
        <w:spacing w:after="80" w:before="280" w:line="276" w:lineRule="auto"/>
        <w:ind w:left="1440" w:hanging="360"/>
        <w:rPr/>
      </w:pPr>
      <w:bookmarkStart w:colFirst="0" w:colLast="0" w:name="_wspor5i7oj2u" w:id="5"/>
      <w:bookmarkEnd w:id="5"/>
      <w:r w:rsidDel="00000000" w:rsidR="00000000" w:rsidRPr="00000000">
        <w:rPr>
          <w:rtl w:val="0"/>
        </w:rPr>
        <w:t xml:space="preserve">Data transformation and representation</w:t>
      </w:r>
    </w:p>
    <w:p w:rsidR="00000000" w:rsidDel="00000000" w:rsidP="00000000" w:rsidRDefault="00000000" w:rsidRPr="00000000" w14:paraId="00000040">
      <w:pPr>
        <w:spacing w:after="240" w:before="240" w:lineRule="auto"/>
        <w:rPr/>
      </w:pPr>
      <w:r w:rsidDel="00000000" w:rsidR="00000000" w:rsidRPr="00000000">
        <w:rPr>
          <w:rtl w:val="0"/>
        </w:rPr>
        <w:t xml:space="preserve">Several transformation steps were applied to ensure that features were suitable for clustering and comparable across customers. Continuous variables exhibiting strong right skew, particularly those related to value accumulation and distance travelled, were log transformed to reduce the influence of extreme values. This prevents a small number of high value customers from disproportionately shaping distance based similarity calculations and improves cluster stability.</w:t>
      </w:r>
    </w:p>
    <w:p w:rsidR="00000000" w:rsidDel="00000000" w:rsidP="00000000" w:rsidRDefault="00000000" w:rsidRPr="00000000" w14:paraId="00000041">
      <w:pPr>
        <w:spacing w:after="240" w:before="240" w:lineRule="auto"/>
        <w:rPr/>
      </w:pPr>
      <w:r w:rsidDel="00000000" w:rsidR="00000000" w:rsidRPr="00000000">
        <w:rPr>
          <w:rtl w:val="0"/>
        </w:rPr>
        <w:t xml:space="preserve">Binning was applied to selected continuous features where relative position was more meaningful than precise numeric differences. This approach was especially relevant for tenure and value related attributes, allowing customers to be grouped into interpretable bands that better reflect behavioural stages rather than raw numeric variation.</w:t>
      </w:r>
    </w:p>
    <w:p w:rsidR="00000000" w:rsidDel="00000000" w:rsidP="00000000" w:rsidRDefault="00000000" w:rsidRPr="00000000" w14:paraId="00000042">
      <w:pPr>
        <w:spacing w:after="240" w:before="240" w:lineRule="auto"/>
        <w:rPr/>
      </w:pPr>
      <w:r w:rsidDel="00000000" w:rsidR="00000000" w:rsidRPr="00000000">
        <w:rPr>
          <w:rtl w:val="0"/>
        </w:rPr>
        <w:t xml:space="preserve">Feature encoding followed a feature aware strategy to maintain numerical compatibility while preserving behavioural meaning. Low cardinality nominal features were one hot encoded to avoid imposing artificial order, while discretised features with inherent ordering were ordinally encoded to preserve relative magnitude. Finally, feature scaling was applied for distance based clustering methods to ensure proportional contribution of all numerical features. Scaling was applied consistently for K Means and hierarchical clustering, while RFM segmentation retained its original scale due to its rule based structure.</w:t>
      </w:r>
    </w:p>
    <w:p w:rsidR="00000000" w:rsidDel="00000000" w:rsidP="00000000" w:rsidRDefault="00000000" w:rsidRPr="00000000" w14:paraId="00000043">
      <w:pPr>
        <w:pStyle w:val="Heading2"/>
        <w:numPr>
          <w:ilvl w:val="1"/>
          <w:numId w:val="2"/>
        </w:numPr>
        <w:spacing w:after="80" w:before="280" w:lineRule="auto"/>
        <w:ind w:left="1440" w:hanging="360"/>
        <w:rPr/>
      </w:pPr>
      <w:bookmarkStart w:colFirst="0" w:colLast="0" w:name="_uir87a4lgf2k" w:id="6"/>
      <w:bookmarkEnd w:id="6"/>
      <w:r w:rsidDel="00000000" w:rsidR="00000000" w:rsidRPr="00000000">
        <w:rPr>
          <w:rtl w:val="0"/>
        </w:rPr>
        <w:t xml:space="preserve">Segmentation approach</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To ensure robustness and avoid reliance on a single analytical perspective, multiple segmentation approaches were evaluated. Classical unsupervised clustering techniques were applied alongside a value driven segmentation framework. This allowed comparison between statistically derived clusters and segments that are more directly aligned with business concepts of customer value and engagement. Model selection and evaluation focused not only on separation metrics, but also on interpretability and practical relevance of the resulting customer groups.</w:t>
      </w:r>
    </w:p>
    <w:p w:rsidR="00000000" w:rsidDel="00000000" w:rsidP="00000000" w:rsidRDefault="00000000" w:rsidRPr="00000000" w14:paraId="00000045">
      <w:pPr>
        <w:pStyle w:val="Heading1"/>
        <w:numPr>
          <w:ilvl w:val="0"/>
          <w:numId w:val="1"/>
        </w:numPr>
        <w:ind w:left="360" w:hanging="360"/>
        <w:rPr/>
      </w:pPr>
      <w:r w:rsidDel="00000000" w:rsidR="00000000" w:rsidRPr="00000000">
        <w:rPr>
          <w:rtl w:val="0"/>
        </w:rPr>
        <w:t xml:space="preserve">Results And Validation:</w:t>
      </w:r>
    </w:p>
    <w:p w:rsidR="00000000" w:rsidDel="00000000" w:rsidP="00000000" w:rsidRDefault="00000000" w:rsidRPr="00000000" w14:paraId="00000046">
      <w:pPr>
        <w:pStyle w:val="Heading2"/>
        <w:numPr>
          <w:ilvl w:val="1"/>
          <w:numId w:val="1"/>
        </w:numPr>
        <w:ind w:left="792" w:hanging="432"/>
        <w:rPr/>
      </w:pPr>
      <w:bookmarkStart w:colFirst="0" w:colLast="0" w:name="_5ugb4zidahse" w:id="7"/>
      <w:bookmarkEnd w:id="7"/>
      <w:r w:rsidDel="00000000" w:rsidR="00000000" w:rsidRPr="00000000">
        <w:rPr>
          <w:rtl w:val="0"/>
        </w:rPr>
        <w:t xml:space="preserve">Value Based Segmentation:</w:t>
      </w:r>
    </w:p>
    <w:p w:rsidR="00000000" w:rsidDel="00000000" w:rsidP="00000000" w:rsidRDefault="00000000" w:rsidRPr="00000000" w14:paraId="00000047">
      <w:pPr>
        <w:pStyle w:val="Heading3"/>
        <w:numPr>
          <w:ilvl w:val="2"/>
          <w:numId w:val="1"/>
        </w:numPr>
        <w:ind w:left="1224" w:hanging="504.00000000000006"/>
        <w:rPr/>
      </w:pPr>
      <w:bookmarkStart w:colFirst="0" w:colLast="0" w:name="_mzuvud101h3f" w:id="8"/>
      <w:bookmarkEnd w:id="8"/>
      <w:r w:rsidDel="00000000" w:rsidR="00000000" w:rsidRPr="00000000">
        <w:rPr>
          <w:b w:val="1"/>
          <w:bCs w:val="1"/>
          <w:sz w:val="28"/>
          <w:szCs w:val="28"/>
          <w:rtl w:val="0"/>
        </w:rPr>
        <w:t xml:space="preserve">K-Means clustering results and validation</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K Means clustering was evaluated across multiple configurations to identify a solution that balances statistical quality with business interpretability. The inertia pattern shown in the Appendix indicates a clear change in slope between three and four clusters, after which improvements within cluster compactness become marginal (Fig 1, Appendix). This suggests that solutions beyond four clusters add complexity without meaningful structural benefit.</w:t>
      </w:r>
    </w:p>
    <w:p w:rsidR="00000000" w:rsidDel="00000000" w:rsidP="00000000" w:rsidRDefault="00000000" w:rsidRPr="00000000" w14:paraId="00000049">
      <w:pPr>
        <w:spacing w:after="240" w:before="240" w:lineRule="auto"/>
        <w:rPr/>
      </w:pPr>
      <w:r w:rsidDel="00000000" w:rsidR="00000000" w:rsidRPr="00000000">
        <w:rPr>
          <w:rtl w:val="0"/>
        </w:rPr>
        <w:t xml:space="preserve">Silhouette analysis further supports this choice. Although smaller cluster counts achieve higher silhouette values, these solutions are overly coarse and group customers into broad categories that obscure important differences in value and engagement (Fig 2, Appendix). At four clusters, the silhouette score remains positive and stable, and the silhouette distribution shows that most customers are assigned with reasonable confidence, indicating a stable partition (Fig 3, Appendix).</w:t>
      </w:r>
    </w:p>
    <w:p w:rsidR="00000000" w:rsidDel="00000000" w:rsidP="00000000" w:rsidRDefault="00000000" w:rsidRPr="00000000" w14:paraId="0000004A">
      <w:pPr>
        <w:spacing w:after="240" w:before="240" w:lineRule="auto"/>
        <w:rPr/>
      </w:pPr>
      <w:r w:rsidDel="00000000" w:rsidR="00000000" w:rsidRPr="00000000">
        <w:rPr>
          <w:rtl w:val="0"/>
        </w:rPr>
        <w:t xml:space="preserve">Cluster profiling reveals clear differentiation across customer lifetime value, travel frequency, loyalty point behaviour, and tenure, forming intuitive value tiers (Fig 4, Appendix). Visualisation in reduced feature space confirms coherent cluster separation (Fig 5, Appendix). The cluster size distribution reflects a long tail value structure, with a dominant low value group and smaller high value segments (Fig 6, Appendix), supporting the selection of a four cluster K Means solution.</w:t>
      </w:r>
    </w:p>
    <w:p w:rsidR="00000000" w:rsidDel="00000000" w:rsidP="00000000" w:rsidRDefault="00000000" w:rsidRPr="00000000" w14:paraId="0000004B">
      <w:pPr>
        <w:pStyle w:val="Heading3"/>
        <w:numPr>
          <w:ilvl w:val="2"/>
          <w:numId w:val="1"/>
        </w:numPr>
        <w:ind w:left="1224" w:hanging="504.00000000000006"/>
        <w:rPr/>
      </w:pPr>
      <w:bookmarkStart w:colFirst="0" w:colLast="0" w:name="_tanyc2yohyu6" w:id="9"/>
      <w:bookmarkEnd w:id="9"/>
      <w:r w:rsidDel="00000000" w:rsidR="00000000" w:rsidRPr="00000000">
        <w:rPr>
          <w:b w:val="1"/>
          <w:bCs w:val="1"/>
          <w:sz w:val="28"/>
          <w:szCs w:val="28"/>
          <w:rtl w:val="0"/>
        </w:rPr>
        <w:t xml:space="preserve">Hierarchical clustering </w:t>
      </w:r>
      <w:r w:rsidDel="00000000" w:rsidR="00000000" w:rsidRPr="00000000">
        <w:rPr>
          <w:b w:val="1"/>
          <w:bCs w:val="1"/>
          <w:sz w:val="26"/>
          <w:szCs w:val="26"/>
          <w:rtl w:val="0"/>
        </w:rPr>
        <w:t xml:space="preserve">results and validation</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Hierarchical clustering was evaluated to assess whether value based customer structure emerges naturally without imposing a predefined number of clusters. Different linkage methods were compared using an explained variance style metric, with Ward linkage consistently outperforming complete, average, and single linkage approaches across cluster counts (Fig 7, Appendix). This indicates stronger internal cohesion and more meaningful separation when variance minimisation is prioritised.</w:t>
      </w:r>
    </w:p>
    <w:p w:rsidR="00000000" w:rsidDel="00000000" w:rsidP="00000000" w:rsidRDefault="00000000" w:rsidRPr="00000000" w14:paraId="0000004D">
      <w:pPr>
        <w:spacing w:after="240" w:before="240" w:lineRule="auto"/>
        <w:rPr/>
      </w:pPr>
      <w:r w:rsidDel="00000000" w:rsidR="00000000" w:rsidRPr="00000000">
        <w:rPr>
          <w:rtl w:val="0"/>
        </w:rPr>
        <w:t xml:space="preserve">Based on this comparison, Ward linkage was selected and a four cluster solution was examined in detail. The dendrogram in the Appendix shows a clear separation point at the chosen cut level, supporting the stability of a four cluster structure without excessive fragmentation (Fig 8, Appendix). Cluster profiling reveals distinct differences across travel frequency, value accumulation, redemption behaviour, and tenure, although separation along pure value dimensions is less pronounced than in the K Means solution (Fig 9, Appendix).</w:t>
      </w:r>
    </w:p>
    <w:p w:rsidR="00000000" w:rsidDel="00000000" w:rsidP="00000000" w:rsidRDefault="00000000" w:rsidRPr="00000000" w14:paraId="0000004E">
      <w:pPr>
        <w:spacing w:after="240" w:before="240" w:lineRule="auto"/>
        <w:rPr/>
      </w:pPr>
      <w:r w:rsidDel="00000000" w:rsidR="00000000" w:rsidRPr="00000000">
        <w:rPr>
          <w:rtl w:val="0"/>
        </w:rPr>
        <w:t xml:space="preserve">Visualisation in reduced feature space confirms that clusters are coherent and reasonably well separated, though with more overlap than observed in centroid based clustering (Fig 10, Appendix). The cluster size distribution again reflects a long tail value structure, with one dominant low engagement group and smaller differentiated segments (Fig 11, Appendix). Overall, hierarchical clustering provides useful structural insight, but offers lower interpretability and operational clarity compared to the K Means value based solution.</w:t>
      </w:r>
    </w:p>
    <w:p w:rsidR="00000000" w:rsidDel="00000000" w:rsidP="00000000" w:rsidRDefault="00000000" w:rsidRPr="00000000" w14:paraId="0000004F">
      <w:pPr>
        <w:pStyle w:val="Heading3"/>
        <w:numPr>
          <w:ilvl w:val="2"/>
          <w:numId w:val="1"/>
        </w:numPr>
        <w:ind w:left="1224" w:hanging="504.00000000000006"/>
        <w:rPr/>
      </w:pPr>
      <w:r w:rsidDel="00000000" w:rsidR="00000000" w:rsidRPr="00000000">
        <w:rPr>
          <w:sz w:val="28"/>
          <w:szCs w:val="28"/>
          <w:rtl w:val="0"/>
        </w:rPr>
        <w:t xml:space="preserve">RFM segmentation results and validation:</w:t>
      </w:r>
      <w:r w:rsidDel="00000000" w:rsidR="00000000" w:rsidRPr="00000000">
        <w:rPr>
          <w:rtl w:val="0"/>
        </w:rPr>
      </w:r>
    </w:p>
    <w:p w:rsidR="00000000" w:rsidDel="00000000" w:rsidP="00000000" w:rsidRDefault="00000000" w:rsidRPr="00000000" w14:paraId="00000050">
      <w:pPr>
        <w:spacing w:after="240" w:before="240" w:line="240" w:lineRule="auto"/>
        <w:rPr/>
      </w:pPr>
      <w:bookmarkStart w:colFirst="0" w:colLast="0" w:name="_5dbe70yxjitb" w:id="10"/>
      <w:bookmarkEnd w:id="10"/>
      <w:r w:rsidDel="00000000" w:rsidR="00000000" w:rsidRPr="00000000">
        <w:rPr>
          <w:rtl w:val="0"/>
        </w:rPr>
        <w:t xml:space="preserve">RFM segmentation shows a distinct distribution of customers across value based segments. Most customers fall into the Loyal and Potential Loyalists categories, while the Champions segment represents a smaller group with higher engagement. The At Risk and Lost segments capture customers with reduced or minimal activity levels (Fig 12, Appendix).</w:t>
      </w:r>
    </w:p>
    <w:p w:rsidR="00000000" w:rsidDel="00000000" w:rsidP="00000000" w:rsidRDefault="00000000" w:rsidRPr="00000000" w14:paraId="00000051">
      <w:pPr>
        <w:spacing w:after="240" w:before="240" w:line="240" w:lineRule="auto"/>
        <w:rPr/>
      </w:pPr>
      <w:r w:rsidDel="00000000" w:rsidR="00000000" w:rsidRPr="00000000">
        <w:rPr>
          <w:rtl w:val="0"/>
        </w:rPr>
        <w:t xml:space="preserve">Points accumulation differs clearly across segments. Champions and Loyal customers exhibit higher points accumulation, whereas Potential Loyalists show moderate levels. In contrast, At Risk and Lost customers demonstrate substantially lower accumulation, reflecting reduced engagement with the loyalty program (Fig 13, Appendix).</w:t>
      </w:r>
    </w:p>
    <w:p w:rsidR="00000000" w:rsidDel="00000000" w:rsidP="00000000" w:rsidRDefault="00000000" w:rsidRPr="00000000" w14:paraId="00000052">
      <w:pPr>
        <w:spacing w:after="240" w:before="240" w:line="240" w:lineRule="auto"/>
        <w:rPr/>
      </w:pPr>
      <w:r w:rsidDel="00000000" w:rsidR="00000000" w:rsidRPr="00000000">
        <w:rPr>
          <w:rtl w:val="0"/>
        </w:rPr>
        <w:t xml:space="preserve">Average RFM scores follow the same structure. Champions score highest across recency, frequency, and monetary dimensions, followed by Loyal customers. Potential Loyalists occupy an intermediate position, while At Risk and Lost segments display consistently lower scores across all three dimensions (Fig 14, Appendix).</w:t>
      </w:r>
    </w:p>
    <w:p w:rsidR="00000000" w:rsidDel="00000000" w:rsidP="00000000" w:rsidRDefault="00000000" w:rsidRPr="00000000" w14:paraId="00000053">
      <w:pPr>
        <w:pStyle w:val="Heading3"/>
        <w:numPr>
          <w:ilvl w:val="2"/>
          <w:numId w:val="1"/>
        </w:numPr>
        <w:ind w:left="1224" w:hanging="504.00000000000006"/>
        <w:rPr/>
      </w:pPr>
      <w:r w:rsidDel="00000000" w:rsidR="00000000" w:rsidRPr="00000000">
        <w:rPr>
          <w:sz w:val="28"/>
          <w:szCs w:val="28"/>
          <w:rtl w:val="0"/>
        </w:rPr>
        <w:t xml:space="preserve"> Conclusion: Value-Based Segmentation</w:t>
      </w:r>
      <w:r w:rsidDel="00000000" w:rsidR="00000000" w:rsidRPr="00000000">
        <w:rPr>
          <w:rtl w:val="0"/>
        </w:rPr>
      </w:r>
    </w:p>
    <w:p w:rsidR="00000000" w:rsidDel="00000000" w:rsidP="00000000" w:rsidRDefault="00000000" w:rsidRPr="00000000" w14:paraId="00000054">
      <w:pPr>
        <w:spacing w:after="240" w:before="240" w:line="240" w:lineRule="auto"/>
        <w:rPr/>
      </w:pPr>
      <w:r w:rsidDel="00000000" w:rsidR="00000000" w:rsidRPr="00000000">
        <w:rPr>
          <w:rtl w:val="0"/>
        </w:rPr>
        <w:t xml:space="preserve">Value-based segmentation was explored using three complementary approaches: K Means clustering, hierarchical clustering, and RFM segmentation. Each method revealed different aspects of customer value, but their effectiveness varied in terms of clarity, stability, and alignment with business interpretation.</w:t>
      </w:r>
    </w:p>
    <w:p w:rsidR="00000000" w:rsidDel="00000000" w:rsidP="00000000" w:rsidRDefault="00000000" w:rsidRPr="00000000" w14:paraId="00000055">
      <w:pPr>
        <w:spacing w:after="240" w:before="240" w:line="240" w:lineRule="auto"/>
        <w:rPr/>
      </w:pPr>
      <w:r w:rsidDel="00000000" w:rsidR="00000000" w:rsidRPr="00000000">
        <w:rPr>
          <w:rtl w:val="0"/>
        </w:rPr>
        <w:t xml:space="preserve">K Means clustering produced a stable four-cluster solution that captured broad differences in customer value and engagement. The clusters were statistically sound and showed meaningful variation across lifetime value, travel activity, and loyalty behaviour. However, the resulting segments required additional interpretation to translate distance-based groupings into clear value tiers.</w:t>
      </w:r>
    </w:p>
    <w:p w:rsidR="00000000" w:rsidDel="00000000" w:rsidP="00000000" w:rsidRDefault="00000000" w:rsidRPr="00000000" w14:paraId="00000056">
      <w:pPr>
        <w:spacing w:after="240" w:before="240" w:line="240" w:lineRule="auto"/>
        <w:rPr/>
      </w:pPr>
      <w:r w:rsidDel="00000000" w:rsidR="00000000" w:rsidRPr="00000000">
        <w:rPr>
          <w:rtl w:val="0"/>
        </w:rPr>
        <w:t xml:space="preserve">Hierarchical clustering provided insight into the underlying similarity structure of customers and confirmed the presence of natural groupings in the data. While useful for validation, hierarchical clusters exhibited greater overlap and lower interpretability, making them less practical for direct value-based categorisation at scale.</w:t>
      </w:r>
    </w:p>
    <w:p w:rsidR="00000000" w:rsidDel="00000000" w:rsidP="00000000" w:rsidRDefault="00000000" w:rsidRPr="00000000" w14:paraId="00000057">
      <w:pPr>
        <w:spacing w:after="240" w:before="240" w:line="240" w:lineRule="auto"/>
        <w:rPr>
          <w:rFonts w:ascii="Calibri" w:cs="Calibri" w:eastAsia="Calibri" w:hAnsi="Calibri"/>
          <w:color w:val="000000"/>
        </w:rPr>
      </w:pPr>
      <w:r w:rsidDel="00000000" w:rsidR="00000000" w:rsidRPr="00000000">
        <w:rPr>
          <w:rtl w:val="0"/>
        </w:rPr>
        <w:t xml:space="preserve">RFM segmentation delivered the clearest and most interpretable representation of customer value. By directly modelling recency, frequency, and monetary contribution, it produced segments that align naturally with customer lifecycle stages and economic impact. Compared to algorithmic clustering methods, RFM offers the most transparent and actionable value-based segmentation and therefore represents the strongest approach for identifying and prioritising customer value in this analysis for AIAI.</w:t>
      </w:r>
      <w:r w:rsidDel="00000000" w:rsidR="00000000" w:rsidRPr="00000000">
        <w:rPr>
          <w:rtl w:val="0"/>
        </w:rPr>
      </w:r>
    </w:p>
    <w:p w:rsidR="00000000" w:rsidDel="00000000" w:rsidP="00000000" w:rsidRDefault="00000000" w:rsidRPr="00000000" w14:paraId="00000058">
      <w:pPr>
        <w:pStyle w:val="Heading2"/>
        <w:numPr>
          <w:ilvl w:val="1"/>
          <w:numId w:val="1"/>
        </w:numPr>
        <w:ind w:left="792" w:hanging="432"/>
        <w:rPr/>
      </w:pPr>
      <w:r w:rsidDel="00000000" w:rsidR="00000000" w:rsidRPr="00000000">
        <w:rPr>
          <w:rtl w:val="0"/>
        </w:rPr>
        <w:t xml:space="preserve"> Temporal Clustering - Seasonal Distribution Segmentation</w:t>
      </w:r>
    </w:p>
    <w:p w:rsidR="00000000" w:rsidDel="00000000" w:rsidP="00000000" w:rsidRDefault="00000000" w:rsidRPr="00000000" w14:paraId="00000059">
      <w:pPr>
        <w:spacing w:after="240" w:before="240" w:lineRule="auto"/>
        <w:rPr/>
      </w:pPr>
      <w:r w:rsidDel="00000000" w:rsidR="00000000" w:rsidRPr="00000000">
        <w:rPr>
          <w:rtl w:val="0"/>
        </w:rPr>
        <w:t xml:space="preserve">While value based segmentation focuses on how much customers contribute, temporal clustering is designed to understand when customers travel. The objective of this analysis is to identify distinct seasonal travel patterns by segmenting customers according to the distribution of their travel activity across the year, independent of overall travel volume or economic value.</w:t>
      </w:r>
    </w:p>
    <w:p w:rsidR="00000000" w:rsidDel="00000000" w:rsidP="00000000" w:rsidRDefault="00000000" w:rsidRPr="00000000" w14:paraId="0000005A">
      <w:pPr>
        <w:spacing w:after="240" w:before="240" w:lineRule="auto"/>
        <w:rPr/>
      </w:pPr>
      <w:r w:rsidDel="00000000" w:rsidR="00000000" w:rsidRPr="00000000">
        <w:rPr>
          <w:rtl w:val="0"/>
        </w:rPr>
        <w:t xml:space="preserve">This perspective captures a different dimension of customer behaviour. Customers with similar activity levels may exhibit very different temporal preferences, such as concentrating travel in peak summer months, travelling evenly throughout the year, or primarily flying during off peak periods. These patterns are not captured by value based clustering but are important for understanding travel intent and demand seasonality.</w:t>
      </w:r>
    </w:p>
    <w:p w:rsidR="00000000" w:rsidDel="00000000" w:rsidP="00000000" w:rsidRDefault="00000000" w:rsidRPr="00000000" w14:paraId="0000005B">
      <w:pPr>
        <w:spacing w:after="240" w:before="240" w:lineRule="auto"/>
        <w:rPr/>
      </w:pPr>
      <w:r w:rsidDel="00000000" w:rsidR="00000000" w:rsidRPr="00000000">
        <w:rPr>
          <w:rtl w:val="0"/>
        </w:rPr>
        <w:t xml:space="preserve">To isolate temporal behaviour, clustering was performed using features that represent seasonal distribution rather than raw flight counts. This ensures customers are grouped by timing patterns rather than usage intensity. Both K Means and hierarchical clustering were applied within this framework to assess the stability and interpretability of seasonal segments.</w:t>
      </w:r>
    </w:p>
    <w:p w:rsidR="00000000" w:rsidDel="00000000" w:rsidP="00000000" w:rsidRDefault="00000000" w:rsidRPr="00000000" w14:paraId="0000005C">
      <w:pPr>
        <w:pStyle w:val="Heading3"/>
        <w:numPr>
          <w:ilvl w:val="2"/>
          <w:numId w:val="1"/>
        </w:numPr>
        <w:ind w:left="1224" w:hanging="504.00000000000006"/>
        <w:rPr/>
      </w:pPr>
      <w:r w:rsidDel="00000000" w:rsidR="00000000" w:rsidRPr="00000000">
        <w:rPr>
          <w:rtl w:val="0"/>
        </w:rPr>
        <w:t xml:space="preserve">K Means results and validation:</w:t>
      </w:r>
    </w:p>
    <w:p w:rsidR="00000000" w:rsidDel="00000000" w:rsidP="00000000" w:rsidRDefault="00000000" w:rsidRPr="00000000" w14:paraId="0000005D">
      <w:pPr>
        <w:spacing w:after="240" w:before="240" w:line="240" w:lineRule="auto"/>
        <w:rPr/>
      </w:pPr>
      <w:r w:rsidDel="00000000" w:rsidR="00000000" w:rsidRPr="00000000">
        <w:rPr>
          <w:rtl w:val="0"/>
        </w:rPr>
        <w:t xml:space="preserve">K Means clustering was applied to seasonal distribution features to identify groups of customers with similar travel timing patterns. The inertia pattern shown in the Appendix indicates a sharp reduction within cluster variance up to four clusters, after which further improvements become marginal, suggesting limited benefit from additional segmentation (Fig 15, Appendix).</w:t>
      </w:r>
    </w:p>
    <w:p w:rsidR="00000000" w:rsidDel="00000000" w:rsidP="00000000" w:rsidRDefault="00000000" w:rsidRPr="00000000" w14:paraId="0000005E">
      <w:pPr>
        <w:spacing w:after="240" w:before="240" w:line="240" w:lineRule="auto"/>
        <w:rPr/>
      </w:pPr>
      <w:r w:rsidDel="00000000" w:rsidR="00000000" w:rsidRPr="00000000">
        <w:rPr>
          <w:rtl w:val="0"/>
        </w:rPr>
        <w:t xml:space="preserve">Silhouette analysis supports this configuration, with average silhouette scores remaining positive and stable at four clusters. The silhouette distributions show that most customers are assigned with positive confidence, indicating coherent seasonal groupings rather than forced separation (Fig 16, Appendix).</w:t>
      </w:r>
    </w:p>
    <w:p w:rsidR="00000000" w:rsidDel="00000000" w:rsidP="00000000" w:rsidRDefault="00000000" w:rsidRPr="00000000" w14:paraId="0000005F">
      <w:pPr>
        <w:spacing w:after="240" w:before="240" w:line="240" w:lineRule="auto"/>
        <w:rPr/>
      </w:pPr>
      <w:r w:rsidDel="00000000" w:rsidR="00000000" w:rsidRPr="00000000">
        <w:rPr>
          <w:rtl w:val="0"/>
        </w:rPr>
        <w:t xml:space="preserve">Cluster sizes are relatively balanced compared to value based clustering, reflecting the more even distribution of seasonal preferences across the customer base (Fig 17, Appendix). Visualisation in reduced feature space confirms meaningful separation between clusters, with centroids aligned along the dominant seasonal travel dimension, capturing distinct temporal patterns such as peak season concentration and evenly distributed travel behaviour (Fig 18, Appendix).</w:t>
      </w:r>
    </w:p>
    <w:p w:rsidR="00000000" w:rsidDel="00000000" w:rsidP="00000000" w:rsidRDefault="00000000" w:rsidRPr="00000000" w14:paraId="00000060">
      <w:pPr>
        <w:pStyle w:val="Heading3"/>
        <w:numPr>
          <w:ilvl w:val="2"/>
          <w:numId w:val="1"/>
        </w:numPr>
        <w:ind w:left="1224" w:hanging="504.00000000000006"/>
        <w:rPr/>
      </w:pPr>
      <w:r w:rsidDel="00000000" w:rsidR="00000000" w:rsidRPr="00000000">
        <w:rPr>
          <w:sz w:val="28"/>
          <w:szCs w:val="28"/>
          <w:rtl w:val="0"/>
        </w:rPr>
        <w:t xml:space="preserve">Hierarchical clustering results and validation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Hierarchical clustering was applied to the seasonal distribution features to examine whether temporal travel patterns emerge naturally without enforcing predefined cluster boundaries. Comparison of linkage methods shows that Ward linkage consistently explains a higher proportion of variance than complete, average, and single linkage approaches, indicating stronger cohesion when variance minimisation is prioritised (Fig 19, Appendix).</w:t>
      </w:r>
    </w:p>
    <w:p w:rsidR="00000000" w:rsidDel="00000000" w:rsidP="00000000" w:rsidRDefault="00000000" w:rsidRPr="00000000" w14:paraId="00000062">
      <w:pPr>
        <w:spacing w:after="240" w:before="240" w:lineRule="auto"/>
        <w:rPr/>
      </w:pPr>
      <w:r w:rsidDel="00000000" w:rsidR="00000000" w:rsidRPr="00000000">
        <w:rPr>
          <w:rtl w:val="0"/>
        </w:rPr>
        <w:t xml:space="preserve">Based on this result, Ward linkage was selected and a three cluster solution was examined. The dendrogram illustrates a clear separation at the chosen cut level, suggesting a stable hierarchical structure for seasonal segmentation (Fig 20, Appendix). Cluster profiling shows broadly similar seasonal distributions across clusters, with differences driven more by relative seasonal emphasis than by extreme contrasts in travel timing (Fig 21, Appendix).</w:t>
      </w:r>
    </w:p>
    <w:p w:rsidR="00000000" w:rsidDel="00000000" w:rsidP="00000000" w:rsidRDefault="00000000" w:rsidRPr="00000000" w14:paraId="00000063">
      <w:pPr>
        <w:spacing w:after="240" w:before="240" w:lineRule="auto"/>
        <w:rPr/>
      </w:pPr>
      <w:r w:rsidDel="00000000" w:rsidR="00000000" w:rsidRPr="00000000">
        <w:rPr>
          <w:rtl w:val="0"/>
        </w:rPr>
        <w:t xml:space="preserve">The resulting cluster size distribution is moderately imbalanced but less skewed than value based clustering, reflecting variation in seasonal preferences across the customer base (Fig 22, Appendix). Visualisation in reduced feature space confirms coherent but overlapping cluster regions, indicating that temporal patterns are present but less sharply separated than in centroid based clustering (Fig 23, Appendix).</w:t>
      </w:r>
    </w:p>
    <w:p w:rsidR="00000000" w:rsidDel="00000000" w:rsidP="00000000" w:rsidRDefault="00000000" w:rsidRPr="00000000" w14:paraId="00000064">
      <w:pPr>
        <w:pStyle w:val="Heading3"/>
        <w:numPr>
          <w:ilvl w:val="2"/>
          <w:numId w:val="1"/>
        </w:numPr>
        <w:ind w:left="1224" w:hanging="504.00000000000006"/>
        <w:rPr/>
      </w:pPr>
      <w:r w:rsidDel="00000000" w:rsidR="00000000" w:rsidRPr="00000000">
        <w:rPr>
          <w:rtl w:val="0"/>
        </w:rPr>
        <w:t xml:space="preserve"> Conclusion - Temporal Clustering:</w:t>
      </w:r>
    </w:p>
    <w:p w:rsidR="00000000" w:rsidDel="00000000" w:rsidP="00000000" w:rsidRDefault="00000000" w:rsidRPr="00000000" w14:paraId="00000065">
      <w:pPr>
        <w:spacing w:after="240" w:before="240" w:lineRule="auto"/>
        <w:rPr/>
      </w:pPr>
      <w:r w:rsidDel="00000000" w:rsidR="00000000" w:rsidRPr="00000000">
        <w:rPr>
          <w:rtl w:val="0"/>
        </w:rPr>
        <w:t xml:space="preserve">Temporal clustering was conducted to segment customers based on seasonal travel patterns, independent of travel volume or economic value. Both K Means and hierarchical clustering were applied to assess the stability and interpretability of seasonal segments under different algorithmic assumptions.</w:t>
      </w:r>
    </w:p>
    <w:p w:rsidR="00000000" w:rsidDel="00000000" w:rsidP="00000000" w:rsidRDefault="00000000" w:rsidRPr="00000000" w14:paraId="00000066">
      <w:pPr>
        <w:spacing w:after="240" w:before="240" w:lineRule="auto"/>
        <w:rPr/>
      </w:pPr>
      <w:r w:rsidDel="00000000" w:rsidR="00000000" w:rsidRPr="00000000">
        <w:rPr>
          <w:rtl w:val="0"/>
        </w:rPr>
        <w:t xml:space="preserve">K Means clustering produced clearer and more distinct seasonal groupings, with stable separation and relatively balanced cluster sizes. The resulting clusters aligned well with intuitive temporal profiles, such as customers concentrated in peak seasons, off-peak travellers, and those with evenly distributed travel throughout the year. Visualisation in reduced feature space further supported the presence of coherent seasonal patterns captured by the K Means solution.</w:t>
      </w:r>
    </w:p>
    <w:p w:rsidR="00000000" w:rsidDel="00000000" w:rsidP="00000000" w:rsidRDefault="00000000" w:rsidRPr="00000000" w14:paraId="00000067">
      <w:pPr>
        <w:spacing w:after="240" w:before="240" w:lineRule="auto"/>
        <w:rPr/>
      </w:pPr>
      <w:r w:rsidDel="00000000" w:rsidR="00000000" w:rsidRPr="00000000">
        <w:rPr>
          <w:rtl w:val="0"/>
        </w:rPr>
        <w:t xml:space="preserve">Hierarchical clustering provided useful structural insight into how seasonal patterns merge at different similarity levels, but the resulting clusters showed greater overlap and weaker differentiation. While Ward linkage performed best among hierarchical methods, the final clusters were less sharply separated and offered lower interpretability compared to K Means.</w:t>
      </w:r>
    </w:p>
    <w:p w:rsidR="00000000" w:rsidDel="00000000" w:rsidP="00000000" w:rsidRDefault="00000000" w:rsidRPr="00000000" w14:paraId="00000068">
      <w:pPr>
        <w:spacing w:after="240" w:before="240" w:lineRule="auto"/>
        <w:rPr/>
      </w:pPr>
      <w:r w:rsidDel="00000000" w:rsidR="00000000" w:rsidRPr="00000000">
        <w:rPr>
          <w:rtl w:val="0"/>
        </w:rPr>
        <w:t xml:space="preserve">Overall, K Means emerged as the more effective approach for temporal segmentation in this analysis. It captures seasonal travel behaviour in a clearer and more operationally interpretable manner, making it the preferred method for identifying distinct temporal travel patterns within the customer base.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numPr>
          <w:ilvl w:val="1"/>
          <w:numId w:val="1"/>
        </w:numPr>
        <w:spacing w:after="0" w:afterAutospacing="0" w:before="240" w:lineRule="auto"/>
        <w:ind w:left="792" w:hanging="432"/>
        <w:rPr>
          <w:b w:val="1"/>
          <w:bCs w:val="1"/>
          <w:sz w:val="28"/>
          <w:szCs w:val="28"/>
        </w:rPr>
      </w:pPr>
      <w:r w:rsidDel="00000000" w:rsidR="00000000" w:rsidRPr="00000000">
        <w:rPr>
          <w:b w:val="1"/>
          <w:bCs w:val="1"/>
          <w:sz w:val="28"/>
          <w:szCs w:val="28"/>
          <w:rtl w:val="0"/>
        </w:rPr>
        <w:t xml:space="preserve">Behavioral Segmentation</w:t>
      </w:r>
      <w:r w:rsidDel="00000000" w:rsidR="00000000" w:rsidRPr="00000000">
        <w:rPr>
          <w:rtl w:val="0"/>
        </w:rPr>
      </w:r>
    </w:p>
    <w:p w:rsidR="00000000" w:rsidDel="00000000" w:rsidP="00000000" w:rsidRDefault="00000000" w:rsidRPr="00000000" w14:paraId="0000006B">
      <w:pPr>
        <w:numPr>
          <w:ilvl w:val="2"/>
          <w:numId w:val="1"/>
        </w:numPr>
        <w:spacing w:after="240" w:before="0" w:beforeAutospacing="0" w:lineRule="auto"/>
        <w:ind w:left="1224" w:hanging="504.00000000000006"/>
        <w:rPr>
          <w:u w:val="none"/>
        </w:rPr>
      </w:pPr>
      <w:r w:rsidDel="00000000" w:rsidR="00000000" w:rsidRPr="00000000">
        <w:rPr>
          <w:rtl w:val="0"/>
        </w:rPr>
        <w:t xml:space="preserve"> </w:t>
      </w:r>
      <w:r w:rsidDel="00000000" w:rsidR="00000000" w:rsidRPr="00000000">
        <w:rPr>
          <w:b w:val="1"/>
          <w:bCs w:val="1"/>
          <w:sz w:val="28"/>
          <w:szCs w:val="28"/>
          <w:rtl w:val="0"/>
        </w:rPr>
        <w:t xml:space="preserve">Hierarchical clustering results and validation</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To identify the natural grouping structure of the behavioral data without imposing a pre-defined number of clusters, Hierarchical clustering was applied first. Ward’s linkage method was selected to minimize within-cluster variance, which aligns with the objective of creating compact, distinct segments. The resulting dendrogram reveals a distinct hierarchical structure where the longest vertical branches, representing the most stable clusters, occur at a cut-off point of four clusters (Fig 24, Appendix). Comparisons with other linkage methods (Single, Complete) confirmed that Ward linkage produced the most balanced partition, avoiding the "chaining" effect where clusters become elongated and uninterpretable (Fig 24, Appendix). This structural analysis provided the primary justification for setting k=4 in subsequent centroid-based modeling.</w:t>
      </w:r>
      <w:r w:rsidDel="00000000" w:rsidR="00000000" w:rsidRPr="00000000">
        <w:rPr>
          <w:rtl w:val="0"/>
        </w:rPr>
      </w:r>
    </w:p>
    <w:p w:rsidR="00000000" w:rsidDel="00000000" w:rsidP="00000000" w:rsidRDefault="00000000" w:rsidRPr="00000000" w14:paraId="0000006D">
      <w:pPr>
        <w:numPr>
          <w:ilvl w:val="2"/>
          <w:numId w:val="1"/>
        </w:numPr>
        <w:spacing w:after="240" w:before="240" w:lineRule="auto"/>
        <w:ind w:left="1224" w:hanging="504.00000000000006"/>
        <w:rPr>
          <w:u w:val="none"/>
        </w:rPr>
      </w:pPr>
      <w:r w:rsidDel="00000000" w:rsidR="00000000" w:rsidRPr="00000000">
        <w:rPr>
          <w:rtl w:val="0"/>
        </w:rPr>
        <w:t xml:space="preserve"> </w:t>
      </w:r>
      <w:r w:rsidDel="00000000" w:rsidR="00000000" w:rsidRPr="00000000">
        <w:rPr>
          <w:b w:val="1"/>
          <w:bCs w:val="1"/>
          <w:sz w:val="28"/>
          <w:szCs w:val="28"/>
          <w:rtl w:val="0"/>
        </w:rPr>
        <w:t xml:space="preserve">Density-based (DBSCAN) results and validation</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DBSCAN was applied to assess the density and continuity of the behavioral clusters. The analysis revealed that while the "Dormant" and "International Elite" groups form dense, separated regions, the boundary between "Savvy" and "Sleepy" users is less spatially distinct, often bridged by transitional users. This confirms that while the groups are behaviorally distinct, they exist on a continuum of engagement. DBSCAN identified distinct outliers in the high-distance spectrum, validating the "International Elite" as a mathematically distinct anomaly rather than just the tail end of a normal distribution.</w:t>
      </w:r>
    </w:p>
    <w:p w:rsidR="00000000" w:rsidDel="00000000" w:rsidP="00000000" w:rsidRDefault="00000000" w:rsidRPr="00000000" w14:paraId="0000006F">
      <w:pPr>
        <w:numPr>
          <w:ilvl w:val="2"/>
          <w:numId w:val="1"/>
        </w:numPr>
        <w:spacing w:after="240" w:before="240" w:lineRule="auto"/>
        <w:ind w:left="1224" w:hanging="504.00000000000006"/>
        <w:rPr>
          <w:u w:val="none"/>
        </w:rPr>
      </w:pPr>
      <w:r w:rsidDel="00000000" w:rsidR="00000000" w:rsidRPr="00000000">
        <w:rPr>
          <w:rtl w:val="0"/>
        </w:rPr>
        <w:t xml:space="preserve"> </w:t>
      </w:r>
      <w:r w:rsidDel="00000000" w:rsidR="00000000" w:rsidRPr="00000000">
        <w:rPr>
          <w:b w:val="1"/>
          <w:bCs w:val="1"/>
          <w:sz w:val="28"/>
          <w:szCs w:val="28"/>
          <w:rtl w:val="0"/>
        </w:rPr>
        <w:t xml:space="preserve">K-Means clustering results and validation</w:t>
      </w:r>
    </w:p>
    <w:p w:rsidR="00000000" w:rsidDel="00000000" w:rsidP="00000000" w:rsidRDefault="00000000" w:rsidRPr="00000000" w14:paraId="00000070">
      <w:pPr>
        <w:spacing w:after="240" w:before="240" w:lineRule="auto"/>
        <w:rPr/>
      </w:pPr>
      <w:r w:rsidDel="00000000" w:rsidR="00000000" w:rsidRPr="00000000">
        <w:rPr>
          <w:rtl w:val="0"/>
        </w:rPr>
        <w:t xml:space="preserve">The application of K-Means clustering to the normalized behavioral metrics provided the most robust and actionable segmentation framework. The determination of the optimal cluster count was driven by a rigorous evaluation of variance stability and structural cohesion. The combined technical validation is presented in (</w:t>
      </w:r>
      <w:r w:rsidDel="00000000" w:rsidR="00000000" w:rsidRPr="00000000">
        <w:rPr>
          <w:b w:val="1"/>
          <w:bCs w:val="1"/>
          <w:rtl w:val="0"/>
        </w:rPr>
        <w:t xml:space="preserve">Figure 25, Appendix)</w:t>
      </w:r>
      <w:r w:rsidDel="00000000" w:rsidR="00000000" w:rsidRPr="00000000">
        <w:rPr>
          <w:rtl w:val="0"/>
        </w:rPr>
        <w:t xml:space="preserve">, where the inertia analysis reveals a pronounced inflection point (elbow) at four clusters. This structural decision is strongly reinforced by the accompanying silhouette analysis, which confirms that the four-cluster configuration maintains a positive profile for the majority of samples, indicating that customers are well-matched to their assigned behavioral segments without artificial fragmentation.</w:t>
      </w:r>
    </w:p>
    <w:p w:rsidR="00000000" w:rsidDel="00000000" w:rsidP="00000000" w:rsidRDefault="00000000" w:rsidRPr="00000000" w14:paraId="00000071">
      <w:pPr>
        <w:spacing w:after="240" w:before="240" w:lineRule="auto"/>
        <w:rPr/>
      </w:pPr>
      <w:r w:rsidDel="00000000" w:rsidR="00000000" w:rsidRPr="00000000">
        <w:rPr>
          <w:rtl w:val="0"/>
        </w:rPr>
        <w:t xml:space="preserve">The resulting segments exhibit unique behavioral signatures that validate the business relevance of the model. As visualized in the standardized "Snake Plot" </w:t>
      </w:r>
      <w:r w:rsidDel="00000000" w:rsidR="00000000" w:rsidRPr="00000000">
        <w:rPr>
          <w:b w:val="1"/>
          <w:bCs w:val="1"/>
          <w:rtl w:val="0"/>
        </w:rPr>
        <w:t xml:space="preserve">(Figure 26, Appendix)</w:t>
      </w:r>
      <w:r w:rsidDel="00000000" w:rsidR="00000000" w:rsidRPr="00000000">
        <w:rPr>
          <w:rtl w:val="0"/>
        </w:rPr>
        <w:t xml:space="preserve">, the four personas display distinct shapes rather than simple magnitude differences. This profile view mathematically distinguishes the "International Elite" as extreme outliers (Z-score &gt; 3), while simultaneously delineating the "Dormant" segment, which consistently tracks below the population average. Crucially, the Relative Importance plot </w:t>
      </w:r>
      <w:r w:rsidDel="00000000" w:rsidR="00000000" w:rsidRPr="00000000">
        <w:rPr>
          <w:b w:val="1"/>
          <w:bCs w:val="1"/>
          <w:rtl w:val="0"/>
        </w:rPr>
        <w:t xml:space="preserve">(Figure 27, Appendix)</w:t>
      </w:r>
      <w:r w:rsidDel="00000000" w:rsidR="00000000" w:rsidRPr="00000000">
        <w:rPr>
          <w:rtl w:val="0"/>
        </w:rPr>
        <w:t xml:space="preserve"> quantifies these deviations, highlighting that the "Savvy Loyalists" are defined specifically by a positive deviation in redemption activity compared to the average, whereas "Sleepy" users show negative deviations in engagement despite high flight volumes.</w:t>
      </w:r>
    </w:p>
    <w:p w:rsidR="00000000" w:rsidDel="00000000" w:rsidP="00000000" w:rsidRDefault="00000000" w:rsidRPr="00000000" w14:paraId="00000072">
      <w:pPr>
        <w:spacing w:after="240" w:before="240" w:lineRule="auto"/>
        <w:rPr/>
      </w:pPr>
      <w:r w:rsidDel="00000000" w:rsidR="00000000" w:rsidRPr="00000000">
        <w:rPr>
          <w:rtl w:val="0"/>
        </w:rPr>
        <w:t xml:space="preserve">To ensure robustness, we analyzed the pairwise relationships between all features </w:t>
      </w:r>
      <w:r w:rsidDel="00000000" w:rsidR="00000000" w:rsidRPr="00000000">
        <w:rPr>
          <w:b w:val="1"/>
          <w:bCs w:val="1"/>
          <w:rtl w:val="0"/>
        </w:rPr>
        <w:t xml:space="preserve">(Figure 28, Appendix)</w:t>
      </w:r>
      <w:r w:rsidDel="00000000" w:rsidR="00000000" w:rsidRPr="00000000">
        <w:rPr>
          <w:rtl w:val="0"/>
        </w:rPr>
        <w:t xml:space="preserve">. This multivariate view confirms that the "International Elite" form a distinct, detached cluster in the distance dimension, while the "Savvy" and "Sleepy" segments are entangled in frequency but separable in engagement metrics. This distinction is further clarified by examining the distribution of flight frequency </w:t>
      </w:r>
      <w:r w:rsidDel="00000000" w:rsidR="00000000" w:rsidRPr="00000000">
        <w:rPr>
          <w:b w:val="1"/>
          <w:bCs w:val="1"/>
          <w:rtl w:val="0"/>
        </w:rPr>
        <w:t xml:space="preserve">(Figure 29, Appendix)</w:t>
      </w:r>
      <w:r w:rsidDel="00000000" w:rsidR="00000000" w:rsidRPr="00000000">
        <w:rPr>
          <w:rtl w:val="0"/>
        </w:rPr>
        <w:t xml:space="preserve">, which shows that both frequent-flyer groups share nearly identical travel intensity distributions. The divergence is purely behavioral, not operational.</w:t>
      </w:r>
    </w:p>
    <w:p w:rsidR="00000000" w:rsidDel="00000000" w:rsidP="00000000" w:rsidRDefault="00000000" w:rsidRPr="00000000" w14:paraId="00000073">
      <w:pPr>
        <w:spacing w:after="240" w:before="240" w:lineRule="auto"/>
        <w:rPr/>
      </w:pPr>
      <w:r w:rsidDel="00000000" w:rsidR="00000000" w:rsidRPr="00000000">
        <w:rPr>
          <w:rtl w:val="0"/>
        </w:rPr>
        <w:t xml:space="preserve">Finally, the strategic differentiation between segments is best summarized by the "Earning Power vs. Burning Power" view </w:t>
      </w:r>
      <w:r w:rsidDel="00000000" w:rsidR="00000000" w:rsidRPr="00000000">
        <w:rPr>
          <w:b w:val="1"/>
          <w:bCs w:val="1"/>
          <w:rtl w:val="0"/>
        </w:rPr>
        <w:t xml:space="preserve">(Figure 30, Appendix)</w:t>
      </w:r>
      <w:r w:rsidDel="00000000" w:rsidR="00000000" w:rsidRPr="00000000">
        <w:rPr>
          <w:rtl w:val="0"/>
        </w:rPr>
        <w:t xml:space="preserve">. This visualization maps points accumulation against redemption behavior. It explicitly separates the "Savvy Loyalists" (High Burn) from the "Sleepy Frequent Flyers" (Low Burn) and isolates the "International Elite" (High Earn) as a unique high-leverage group. This confirms that the model has successfully disentangled the correlation between earning (flying) and burning (loyalty), providing the necessary granularity for targeted intervention.</w:t>
      </w:r>
    </w:p>
    <w:p w:rsidR="00000000" w:rsidDel="00000000" w:rsidP="00000000" w:rsidRDefault="00000000" w:rsidRPr="00000000" w14:paraId="00000074">
      <w:pPr>
        <w:numPr>
          <w:ilvl w:val="2"/>
          <w:numId w:val="1"/>
        </w:numPr>
        <w:spacing w:after="240" w:before="240" w:lineRule="auto"/>
        <w:ind w:left="1224" w:hanging="504.00000000000006"/>
      </w:pPr>
      <w:r w:rsidDel="00000000" w:rsidR="00000000" w:rsidRPr="00000000">
        <w:rPr>
          <w:b w:val="1"/>
          <w:bCs w:val="1"/>
          <w:sz w:val="28"/>
          <w:szCs w:val="28"/>
          <w:rtl w:val="0"/>
        </w:rPr>
        <w:t xml:space="preserve"> Conclusion: Behavioral Segmentation</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Behavioral segmentation was examined to understand </w:t>
      </w:r>
      <w:r w:rsidDel="00000000" w:rsidR="00000000" w:rsidRPr="00000000">
        <w:rPr>
          <w:i w:val="1"/>
          <w:iCs w:val="1"/>
          <w:rtl w:val="0"/>
        </w:rPr>
        <w:t xml:space="preserve">how</w:t>
      </w:r>
      <w:r w:rsidDel="00000000" w:rsidR="00000000" w:rsidRPr="00000000">
        <w:rPr>
          <w:rtl w:val="0"/>
        </w:rPr>
        <w:t xml:space="preserve"> customers interact with the airline, complementing the </w:t>
      </w:r>
      <w:r w:rsidDel="00000000" w:rsidR="00000000" w:rsidRPr="00000000">
        <w:rPr>
          <w:i w:val="1"/>
          <w:iCs w:val="1"/>
          <w:rtl w:val="0"/>
        </w:rPr>
        <w:t xml:space="preserve">value perspective</w:t>
      </w:r>
      <w:r w:rsidDel="00000000" w:rsidR="00000000" w:rsidRPr="00000000">
        <w:rPr>
          <w:rtl w:val="0"/>
        </w:rPr>
        <w:t xml:space="preserve">. While Hierarchical clustering confirmed the natural structure of the data and DBSCAN validated the existence of high-value outliers, </w:t>
      </w:r>
      <w:r w:rsidDel="00000000" w:rsidR="00000000" w:rsidRPr="00000000">
        <w:rPr>
          <w:b w:val="1"/>
          <w:bCs w:val="1"/>
          <w:rtl w:val="0"/>
        </w:rPr>
        <w:t xml:space="preserve">K-Means clustering</w:t>
      </w:r>
      <w:r w:rsidDel="00000000" w:rsidR="00000000" w:rsidRPr="00000000">
        <w:rPr>
          <w:rtl w:val="0"/>
        </w:rPr>
        <w:t xml:space="preserve"> provided the most robust and actionable segmentation framework. The K-Means solution successfully disentangled the correlation between "Frequency" and "Engagement," revealing the critical "Sleepy Frequent Flyer" segment, a group that flies often but ignores the loyalty program. This distinction is invisible in pure Value-Based segmentation (where these users would simply be grouped with high-value customers) but is the most valuable insight for operational strategy. Therefore, the four-cluster K-Means solution is selected as the primary framework for behavioral analysis.</w:t>
      </w:r>
    </w:p>
    <w:p w:rsidR="00000000" w:rsidDel="00000000" w:rsidP="00000000" w:rsidRDefault="00000000" w:rsidRPr="00000000" w14:paraId="00000076">
      <w:pPr>
        <w:pStyle w:val="Heading1"/>
        <w:numPr>
          <w:ilvl w:val="0"/>
          <w:numId w:val="1"/>
        </w:numPr>
        <w:ind w:left="360" w:hanging="360"/>
        <w:rPr/>
      </w:pPr>
      <w:bookmarkStart w:colFirst="0" w:colLast="0" w:name="_xhtv9cm50lox" w:id="11"/>
      <w:bookmarkEnd w:id="11"/>
      <w:r w:rsidDel="00000000" w:rsidR="00000000" w:rsidRPr="00000000">
        <w:rPr>
          <w:rtl w:val="0"/>
        </w:rPr>
        <w:t xml:space="preserve">conclusion:</w:t>
      </w:r>
    </w:p>
    <w:p w:rsidR="00000000" w:rsidDel="00000000" w:rsidP="00000000" w:rsidRDefault="00000000" w:rsidRPr="00000000" w14:paraId="00000077">
      <w:pPr>
        <w:rPr/>
      </w:pPr>
      <w:r w:rsidDel="00000000" w:rsidR="00000000" w:rsidRPr="00000000">
        <w:rPr>
          <w:rtl w:val="0"/>
        </w:rPr>
        <w:t xml:space="preserve">This analysis establishes the analytical foundation for Data Preparation and Clustering. The findings show that redundancy among distance, points, and redemption metrics should be addressed through feature selection. High zero inflation and skewed distributions will require transformations (e.g., log-scaling or normalization). Segmentation hypotheses include clusters based on travel frequency (occasional vs frequent), companionship behavior (solo vs group), and value generation (high vs low CLV relative to income). The proposed clustering approach will employ standardized and scaled numerical features, removing redundant and low-variance attributes. Categorical attributes such as LoyaltyStatus and EnrollmentType may serve as post-cluster descriptors rather than direct inputs. The expected outcome is a set of distinct, interpretable customer segments that inform personalized engagement strategies, optimized loyalty design, and targeted marketing initiatives.</w:t>
      </w:r>
    </w:p>
    <w:p w:rsidR="00000000" w:rsidDel="00000000" w:rsidP="00000000" w:rsidRDefault="00000000" w:rsidRPr="00000000" w14:paraId="00000078">
      <w:pPr>
        <w:pStyle w:val="Heading1"/>
        <w:rPr/>
      </w:pPr>
      <w:r w:rsidDel="00000000" w:rsidR="00000000" w:rsidRPr="00000000">
        <w:rPr>
          <w:rtl w:val="0"/>
        </w:rPr>
        <w:t xml:space="preserve">Bibliographical References  (</w:t>
      </w:r>
      <w:r w:rsidDel="00000000" w:rsidR="00000000" w:rsidRPr="00000000">
        <w:rPr>
          <w:highlight w:val="yellow"/>
          <w:rtl w:val="0"/>
        </w:rPr>
        <w:t xml:space="preserve">Optional, Not included in page limit</w:t>
      </w:r>
      <w:r w:rsidDel="00000000" w:rsidR="00000000" w:rsidRPr="00000000">
        <w:rPr>
          <w:rtl w:val="0"/>
        </w:rPr>
        <w:t xml:space="preserve">)</w:t>
      </w:r>
    </w:p>
    <w:p w:rsidR="00000000" w:rsidDel="00000000" w:rsidP="00000000" w:rsidRDefault="00000000" w:rsidRPr="00000000" w14:paraId="00000079">
      <w:pPr>
        <w:ind w:left="567" w:hanging="567"/>
        <w:rPr>
          <w:highlight w:val="yellow"/>
        </w:rPr>
      </w:pPr>
      <w:r w:rsidDel="00000000" w:rsidR="00000000" w:rsidRPr="00000000">
        <w:rPr>
          <w:highlight w:val="yellow"/>
          <w:rtl w:val="0"/>
        </w:rPr>
        <w:t xml:space="preserve">Use APA Style for the entire document</w:t>
      </w:r>
    </w:p>
    <w:p w:rsidR="00000000" w:rsidDel="00000000" w:rsidP="00000000" w:rsidRDefault="00000000" w:rsidRPr="00000000" w14:paraId="0000007A">
      <w:pPr>
        <w:ind w:left="567" w:hanging="567"/>
        <w:rPr>
          <w:highlight w:val="yellow"/>
        </w:rPr>
      </w:pPr>
      <w:r w:rsidDel="00000000" w:rsidR="00000000" w:rsidRPr="00000000">
        <w:rPr>
          <w:highlight w:val="yellow"/>
          <w:rtl w:val="0"/>
        </w:rPr>
        <w:t xml:space="preserve">We suggest that students use a reference manager system (Zotero, Mendeley, EndNote), </w:t>
      </w:r>
    </w:p>
    <w:p w:rsidR="00000000" w:rsidDel="00000000" w:rsidP="00000000" w:rsidRDefault="00000000" w:rsidRPr="00000000" w14:paraId="0000007B">
      <w:pPr>
        <w:ind w:left="567" w:hanging="567"/>
        <w:rPr>
          <w:highlight w:val="yellow"/>
        </w:rPr>
      </w:pPr>
      <w:r w:rsidDel="00000000" w:rsidR="00000000" w:rsidRPr="00000000">
        <w:rPr>
          <w:highlight w:val="yellow"/>
          <w:rtl w:val="0"/>
        </w:rPr>
        <w:t xml:space="preserve">Please review the style guide at: </w:t>
      </w:r>
      <w:hyperlink r:id="rId7">
        <w:r w:rsidDel="00000000" w:rsidR="00000000" w:rsidRPr="00000000">
          <w:rPr>
            <w:color w:val="0563c1"/>
            <w:highlight w:val="yellow"/>
            <w:u w:val="single"/>
            <w:rtl w:val="0"/>
          </w:rPr>
          <w:t xml:space="preserve">https://apastyle.apa.org/style-grammar-guidelines/references/examples</w:t>
        </w:r>
      </w:hyperlink>
      <w:r w:rsidDel="00000000" w:rsidR="00000000" w:rsidRPr="00000000">
        <w:rPr>
          <w:highlight w:val="yellow"/>
          <w:rtl w:val="0"/>
        </w:rPr>
        <w:t xml:space="preserve">:</w:t>
      </w:r>
    </w:p>
    <w:p w:rsidR="00000000" w:rsidDel="00000000" w:rsidP="00000000" w:rsidRDefault="00000000" w:rsidRPr="00000000" w14:paraId="0000007C">
      <w:pPr>
        <w:ind w:left="567" w:hanging="567"/>
        <w:rPr/>
      </w:pPr>
      <w:r w:rsidDel="00000000" w:rsidR="00000000" w:rsidRPr="00000000">
        <w:rPr>
          <w:rtl w:val="0"/>
        </w:rPr>
        <w:t xml:space="preserve">Author, A. A., Author, B. B., &amp; Author, C. C. (Year). Title of article. </w:t>
      </w:r>
      <w:r w:rsidDel="00000000" w:rsidR="00000000" w:rsidRPr="00000000">
        <w:rPr>
          <w:i w:val="1"/>
          <w:iCs w:val="1"/>
          <w:rtl w:val="0"/>
        </w:rPr>
        <w:t xml:space="preserve">Title of Periodical, volume number </w:t>
      </w:r>
      <w:r w:rsidDel="00000000" w:rsidR="00000000" w:rsidRPr="00000000">
        <w:rPr>
          <w:rtl w:val="0"/>
        </w:rPr>
        <w:t xml:space="preserve">(issue number), pages.</w:t>
      </w:r>
    </w:p>
    <w:p w:rsidR="00000000" w:rsidDel="00000000" w:rsidP="00000000" w:rsidRDefault="00000000" w:rsidRPr="00000000" w14:paraId="0000007D">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mn87h6fi6r9x" w:id="12"/>
      <w:bookmarkEnd w:id="12"/>
      <w:r w:rsidDel="00000000" w:rsidR="00000000" w:rsidRPr="00000000">
        <w:rPr>
          <w:rtl w:val="0"/>
        </w:rPr>
        <w:t xml:space="preserve">Appendix A:</w:t>
      </w:r>
    </w:p>
    <w:p w:rsidR="00000000" w:rsidDel="00000000" w:rsidP="00000000" w:rsidRDefault="00000000" w:rsidRPr="00000000" w14:paraId="0000007F">
      <w:pPr>
        <w:rPr/>
      </w:pPr>
      <w:r w:rsidDel="00000000" w:rsidR="00000000" w:rsidRPr="00000000">
        <w:rPr>
          <w:rtl w:val="0"/>
        </w:rPr>
        <w:t xml:space="preserve">Figure 1.</w:t>
      </w:r>
    </w:p>
    <w:p w:rsidR="00000000" w:rsidDel="00000000" w:rsidP="00000000" w:rsidRDefault="00000000" w:rsidRPr="00000000" w14:paraId="00000080">
      <w:pPr>
        <w:rPr/>
      </w:pPr>
      <w:r w:rsidDel="00000000" w:rsidR="00000000" w:rsidRPr="00000000">
        <w:rPr/>
        <w:drawing>
          <wp:inline distB="114300" distT="114300" distL="114300" distR="114300">
            <wp:extent cx="5759140" cy="31877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591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Figure 2.</w:t>
      </w:r>
    </w:p>
    <w:p w:rsidR="00000000" w:rsidDel="00000000" w:rsidP="00000000" w:rsidRDefault="00000000" w:rsidRPr="00000000" w14:paraId="00000082">
      <w:pPr>
        <w:rPr/>
      </w:pPr>
      <w:r w:rsidDel="00000000" w:rsidR="00000000" w:rsidRPr="00000000">
        <w:rPr/>
        <w:drawing>
          <wp:inline distB="114300" distT="114300" distL="114300" distR="114300">
            <wp:extent cx="5759140" cy="33020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5914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Figure 3.</w:t>
      </w:r>
    </w:p>
    <w:p w:rsidR="00000000" w:rsidDel="00000000" w:rsidP="00000000" w:rsidRDefault="00000000" w:rsidRPr="00000000" w14:paraId="00000084">
      <w:pPr>
        <w:spacing w:after="0" w:line="240" w:lineRule="auto"/>
        <w:jc w:val="left"/>
        <w:rPr/>
      </w:pPr>
      <w:r w:rsidDel="00000000" w:rsidR="00000000" w:rsidRPr="00000000">
        <w:rPr/>
        <w:drawing>
          <wp:inline distB="114300" distT="114300" distL="114300" distR="114300">
            <wp:extent cx="5759140" cy="33655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91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left" w:leader="none" w:pos="912"/>
        </w:tabs>
        <w:rPr/>
      </w:pPr>
      <w:r w:rsidDel="00000000" w:rsidR="00000000" w:rsidRPr="00000000">
        <w:rPr>
          <w:rtl w:val="0"/>
        </w:rPr>
        <w:t xml:space="preserve">Figure 4. </w:t>
      </w:r>
    </w:p>
    <w:p w:rsidR="00000000" w:rsidDel="00000000" w:rsidP="00000000" w:rsidRDefault="00000000" w:rsidRPr="00000000" w14:paraId="00000086">
      <w:pPr>
        <w:spacing w:after="0" w:line="240" w:lineRule="auto"/>
        <w:jc w:val="left"/>
        <w:rPr/>
      </w:pPr>
      <w:r w:rsidDel="00000000" w:rsidR="00000000" w:rsidRPr="00000000">
        <w:rPr/>
        <w:drawing>
          <wp:inline distB="114300" distT="114300" distL="114300" distR="114300">
            <wp:extent cx="5759140" cy="27432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1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40" w:lineRule="auto"/>
        <w:jc w:val="left"/>
        <w:rPr/>
      </w:pPr>
      <w:r w:rsidDel="00000000" w:rsidR="00000000" w:rsidRPr="00000000">
        <w:rPr>
          <w:rtl w:val="0"/>
        </w:rPr>
      </w:r>
    </w:p>
    <w:p w:rsidR="00000000" w:rsidDel="00000000" w:rsidP="00000000" w:rsidRDefault="00000000" w:rsidRPr="00000000" w14:paraId="00000088">
      <w:pPr>
        <w:spacing w:after="0" w:line="240" w:lineRule="auto"/>
        <w:jc w:val="left"/>
        <w:rPr/>
      </w:pPr>
      <w:r w:rsidDel="00000000" w:rsidR="00000000" w:rsidRPr="00000000">
        <w:rPr>
          <w:rtl w:val="0"/>
        </w:rPr>
        <w:t xml:space="preserve">Figure 5.</w:t>
      </w:r>
    </w:p>
    <w:p w:rsidR="00000000" w:rsidDel="00000000" w:rsidP="00000000" w:rsidRDefault="00000000" w:rsidRPr="00000000" w14:paraId="00000089">
      <w:pPr>
        <w:spacing w:after="0" w:line="240" w:lineRule="auto"/>
        <w:jc w:val="left"/>
        <w:rPr/>
      </w:pPr>
      <w:r w:rsidDel="00000000" w:rsidR="00000000" w:rsidRPr="00000000">
        <w:rPr/>
        <w:drawing>
          <wp:inline distB="114300" distT="114300" distL="114300" distR="114300">
            <wp:extent cx="5759140" cy="52324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914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240" w:lineRule="auto"/>
        <w:jc w:val="left"/>
        <w:rPr/>
      </w:pPr>
      <w:r w:rsidDel="00000000" w:rsidR="00000000" w:rsidRPr="00000000">
        <w:rPr>
          <w:rtl w:val="0"/>
        </w:rPr>
      </w:r>
    </w:p>
    <w:p w:rsidR="00000000" w:rsidDel="00000000" w:rsidP="00000000" w:rsidRDefault="00000000" w:rsidRPr="00000000" w14:paraId="0000008B">
      <w:pPr>
        <w:spacing w:after="0" w:line="240" w:lineRule="auto"/>
        <w:jc w:val="left"/>
        <w:rPr/>
      </w:pPr>
      <w:r w:rsidDel="00000000" w:rsidR="00000000" w:rsidRPr="00000000">
        <w:rPr>
          <w:rtl w:val="0"/>
        </w:rPr>
      </w:r>
    </w:p>
    <w:p w:rsidR="00000000" w:rsidDel="00000000" w:rsidP="00000000" w:rsidRDefault="00000000" w:rsidRPr="00000000" w14:paraId="0000008C">
      <w:pPr>
        <w:spacing w:after="0" w:line="240" w:lineRule="auto"/>
        <w:jc w:val="left"/>
        <w:rPr/>
      </w:pPr>
      <w:r w:rsidDel="00000000" w:rsidR="00000000" w:rsidRPr="00000000">
        <w:rPr>
          <w:rtl w:val="0"/>
        </w:rPr>
        <w:t xml:space="preserve">Figure 6.</w:t>
      </w:r>
    </w:p>
    <w:p w:rsidR="00000000" w:rsidDel="00000000" w:rsidP="00000000" w:rsidRDefault="00000000" w:rsidRPr="00000000" w14:paraId="0000008D">
      <w:pPr>
        <w:spacing w:after="0" w:line="240" w:lineRule="auto"/>
        <w:jc w:val="left"/>
        <w:rPr/>
      </w:pPr>
      <w:r w:rsidDel="00000000" w:rsidR="00000000" w:rsidRPr="00000000">
        <w:rPr/>
        <w:drawing>
          <wp:inline distB="114300" distT="114300" distL="114300" distR="114300">
            <wp:extent cx="5759140" cy="36068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591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40" w:lineRule="auto"/>
        <w:jc w:val="left"/>
        <w:rPr/>
      </w:pPr>
      <w:r w:rsidDel="00000000" w:rsidR="00000000" w:rsidRPr="00000000">
        <w:rPr>
          <w:rtl w:val="0"/>
        </w:rPr>
        <w:t xml:space="preserve">Figure 7.</w:t>
      </w:r>
    </w:p>
    <w:p w:rsidR="00000000" w:rsidDel="00000000" w:rsidP="00000000" w:rsidRDefault="00000000" w:rsidRPr="00000000" w14:paraId="0000008F">
      <w:pPr>
        <w:spacing w:after="0" w:line="240" w:lineRule="auto"/>
        <w:jc w:val="left"/>
        <w:rPr/>
      </w:pPr>
      <w:r w:rsidDel="00000000" w:rsidR="00000000" w:rsidRPr="00000000">
        <w:rPr/>
        <w:drawing>
          <wp:inline distB="114300" distT="114300" distL="114300" distR="114300">
            <wp:extent cx="5759140" cy="29845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591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240" w:lineRule="auto"/>
        <w:jc w:val="left"/>
        <w:rPr/>
      </w:pPr>
      <w:r w:rsidDel="00000000" w:rsidR="00000000" w:rsidRPr="00000000">
        <w:rPr>
          <w:rtl w:val="0"/>
        </w:rPr>
      </w:r>
    </w:p>
    <w:p w:rsidR="00000000" w:rsidDel="00000000" w:rsidP="00000000" w:rsidRDefault="00000000" w:rsidRPr="00000000" w14:paraId="00000091">
      <w:pPr>
        <w:spacing w:after="0" w:line="240" w:lineRule="auto"/>
        <w:jc w:val="left"/>
        <w:rPr/>
      </w:pPr>
      <w:r w:rsidDel="00000000" w:rsidR="00000000" w:rsidRPr="00000000">
        <w:rPr>
          <w:rtl w:val="0"/>
        </w:rPr>
        <w:t xml:space="preserve">Figure 8.</w:t>
      </w:r>
    </w:p>
    <w:p w:rsidR="00000000" w:rsidDel="00000000" w:rsidP="00000000" w:rsidRDefault="00000000" w:rsidRPr="00000000" w14:paraId="00000092">
      <w:pPr>
        <w:spacing w:after="0" w:line="240" w:lineRule="auto"/>
        <w:jc w:val="left"/>
        <w:rPr/>
      </w:pPr>
      <w:r w:rsidDel="00000000" w:rsidR="00000000" w:rsidRPr="00000000">
        <w:rPr/>
        <w:drawing>
          <wp:inline distB="114300" distT="114300" distL="114300" distR="114300">
            <wp:extent cx="5771833" cy="2333625"/>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7183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240" w:lineRule="auto"/>
        <w:jc w:val="left"/>
        <w:rPr/>
      </w:pPr>
      <w:r w:rsidDel="00000000" w:rsidR="00000000" w:rsidRPr="00000000">
        <w:rPr>
          <w:rtl w:val="0"/>
        </w:rPr>
        <w:t xml:space="preserve">Figure 9.</w:t>
      </w:r>
    </w:p>
    <w:p w:rsidR="00000000" w:rsidDel="00000000" w:rsidP="00000000" w:rsidRDefault="00000000" w:rsidRPr="00000000" w14:paraId="00000094">
      <w:pPr>
        <w:spacing w:after="0" w:line="240" w:lineRule="auto"/>
        <w:jc w:val="left"/>
        <w:rPr/>
      </w:pPr>
      <w:r w:rsidDel="00000000" w:rsidR="00000000" w:rsidRPr="00000000">
        <w:rPr/>
        <w:drawing>
          <wp:inline distB="114300" distT="114300" distL="114300" distR="114300">
            <wp:extent cx="5314633" cy="4276725"/>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314633"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40" w:lineRule="auto"/>
        <w:jc w:val="left"/>
        <w:rPr/>
      </w:pPr>
      <w:r w:rsidDel="00000000" w:rsidR="00000000" w:rsidRPr="00000000">
        <w:rPr>
          <w:rtl w:val="0"/>
        </w:rPr>
        <w:t xml:space="preserve">Figure 10.</w:t>
      </w:r>
    </w:p>
    <w:p w:rsidR="00000000" w:rsidDel="00000000" w:rsidP="00000000" w:rsidRDefault="00000000" w:rsidRPr="00000000" w14:paraId="00000096">
      <w:pPr>
        <w:spacing w:after="0" w:line="240" w:lineRule="auto"/>
        <w:jc w:val="left"/>
        <w:rPr/>
      </w:pPr>
      <w:r w:rsidDel="00000000" w:rsidR="00000000" w:rsidRPr="00000000">
        <w:rPr/>
        <w:drawing>
          <wp:inline distB="114300" distT="114300" distL="114300" distR="114300">
            <wp:extent cx="5286058" cy="3362325"/>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286058"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40" w:lineRule="auto"/>
        <w:jc w:val="left"/>
        <w:rPr/>
      </w:pPr>
      <w:r w:rsidDel="00000000" w:rsidR="00000000" w:rsidRPr="00000000">
        <w:rPr>
          <w:rtl w:val="0"/>
        </w:rPr>
      </w:r>
    </w:p>
    <w:p w:rsidR="00000000" w:rsidDel="00000000" w:rsidP="00000000" w:rsidRDefault="00000000" w:rsidRPr="00000000" w14:paraId="00000098">
      <w:pPr>
        <w:spacing w:after="0" w:line="240" w:lineRule="auto"/>
        <w:jc w:val="left"/>
        <w:rPr/>
      </w:pPr>
      <w:r w:rsidDel="00000000" w:rsidR="00000000" w:rsidRPr="00000000">
        <w:rPr>
          <w:rtl w:val="0"/>
        </w:rPr>
        <w:t xml:space="preserve">Figure 11. </w:t>
      </w:r>
    </w:p>
    <w:p w:rsidR="00000000" w:rsidDel="00000000" w:rsidP="00000000" w:rsidRDefault="00000000" w:rsidRPr="00000000" w14:paraId="00000099">
      <w:pPr>
        <w:spacing w:after="0" w:line="240" w:lineRule="auto"/>
        <w:jc w:val="left"/>
        <w:rPr/>
      </w:pPr>
      <w:r w:rsidDel="00000000" w:rsidR="00000000" w:rsidRPr="00000000">
        <w:rPr/>
        <w:drawing>
          <wp:inline distB="114300" distT="114300" distL="114300" distR="114300">
            <wp:extent cx="5105083" cy="27051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105083"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240" w:lineRule="auto"/>
        <w:jc w:val="left"/>
        <w:rPr/>
      </w:pPr>
      <w:r w:rsidDel="00000000" w:rsidR="00000000" w:rsidRPr="00000000">
        <w:rPr>
          <w:rtl w:val="0"/>
        </w:rPr>
      </w:r>
    </w:p>
    <w:p w:rsidR="00000000" w:rsidDel="00000000" w:rsidP="00000000" w:rsidRDefault="00000000" w:rsidRPr="00000000" w14:paraId="0000009B">
      <w:pPr>
        <w:spacing w:after="0" w:line="240" w:lineRule="auto"/>
        <w:jc w:val="left"/>
        <w:rPr/>
      </w:pPr>
      <w:r w:rsidDel="00000000" w:rsidR="00000000" w:rsidRPr="00000000">
        <w:rPr>
          <w:rtl w:val="0"/>
        </w:rPr>
        <w:t xml:space="preserve">Figure 12.</w:t>
      </w:r>
    </w:p>
    <w:p w:rsidR="00000000" w:rsidDel="00000000" w:rsidP="00000000" w:rsidRDefault="00000000" w:rsidRPr="00000000" w14:paraId="0000009C">
      <w:pPr>
        <w:spacing w:after="0" w:line="240" w:lineRule="auto"/>
        <w:jc w:val="left"/>
        <w:rPr/>
      </w:pPr>
      <w:r w:rsidDel="00000000" w:rsidR="00000000" w:rsidRPr="00000000">
        <w:rPr/>
        <w:drawing>
          <wp:inline distB="114300" distT="114300" distL="114300" distR="114300">
            <wp:extent cx="5759140" cy="2882900"/>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591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40" w:lineRule="auto"/>
        <w:jc w:val="left"/>
        <w:rPr/>
      </w:pPr>
      <w:r w:rsidDel="00000000" w:rsidR="00000000" w:rsidRPr="00000000">
        <w:rPr>
          <w:rtl w:val="0"/>
        </w:rPr>
        <w:t xml:space="preserve">Figure 13.</w:t>
      </w:r>
    </w:p>
    <w:p w:rsidR="00000000" w:rsidDel="00000000" w:rsidP="00000000" w:rsidRDefault="00000000" w:rsidRPr="00000000" w14:paraId="0000009E">
      <w:pPr>
        <w:spacing w:after="0" w:line="240" w:lineRule="auto"/>
        <w:jc w:val="left"/>
        <w:rPr/>
      </w:pPr>
      <w:r w:rsidDel="00000000" w:rsidR="00000000" w:rsidRPr="00000000">
        <w:rPr/>
        <w:drawing>
          <wp:inline distB="114300" distT="114300" distL="114300" distR="114300">
            <wp:extent cx="5759140" cy="2844800"/>
            <wp:effectExtent b="0" l="0" r="0" t="0"/>
            <wp:docPr id="2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591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240" w:lineRule="auto"/>
        <w:jc w:val="left"/>
        <w:rPr/>
      </w:pPr>
      <w:r w:rsidDel="00000000" w:rsidR="00000000" w:rsidRPr="00000000">
        <w:rPr>
          <w:rtl w:val="0"/>
        </w:rPr>
        <w:t xml:space="preserve">Figure 14.</w:t>
      </w:r>
    </w:p>
    <w:p w:rsidR="00000000" w:rsidDel="00000000" w:rsidP="00000000" w:rsidRDefault="00000000" w:rsidRPr="00000000" w14:paraId="000000A0">
      <w:pPr>
        <w:spacing w:after="0" w:line="240" w:lineRule="auto"/>
        <w:jc w:val="left"/>
        <w:rPr/>
      </w:pPr>
      <w:r w:rsidDel="00000000" w:rsidR="00000000" w:rsidRPr="00000000">
        <w:rPr/>
        <w:drawing>
          <wp:inline distB="114300" distT="114300" distL="114300" distR="114300">
            <wp:extent cx="5759140" cy="2984500"/>
            <wp:effectExtent b="0" l="0" r="0" t="0"/>
            <wp:docPr id="2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591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40" w:lineRule="auto"/>
        <w:jc w:val="left"/>
        <w:rPr/>
      </w:pPr>
      <w:r w:rsidDel="00000000" w:rsidR="00000000" w:rsidRPr="00000000">
        <w:rPr>
          <w:rtl w:val="0"/>
        </w:rPr>
        <w:t xml:space="preserve">Figure 15.</w:t>
      </w:r>
    </w:p>
    <w:p w:rsidR="00000000" w:rsidDel="00000000" w:rsidP="00000000" w:rsidRDefault="00000000" w:rsidRPr="00000000" w14:paraId="000000A2">
      <w:pPr>
        <w:spacing w:after="0" w:line="240" w:lineRule="auto"/>
        <w:jc w:val="left"/>
        <w:rPr/>
      </w:pPr>
      <w:r w:rsidDel="00000000" w:rsidR="00000000" w:rsidRPr="00000000">
        <w:rPr>
          <w:rtl w:val="0"/>
        </w:rPr>
      </w:r>
    </w:p>
    <w:p w:rsidR="00000000" w:rsidDel="00000000" w:rsidP="00000000" w:rsidRDefault="00000000" w:rsidRPr="00000000" w14:paraId="000000A3">
      <w:pPr>
        <w:spacing w:after="0" w:line="240" w:lineRule="auto"/>
        <w:jc w:val="left"/>
        <w:rPr/>
      </w:pPr>
      <w:r w:rsidDel="00000000" w:rsidR="00000000" w:rsidRPr="00000000">
        <w:rPr>
          <w:rtl w:val="0"/>
        </w:rPr>
      </w:r>
    </w:p>
    <w:p w:rsidR="00000000" w:rsidDel="00000000" w:rsidP="00000000" w:rsidRDefault="00000000" w:rsidRPr="00000000" w14:paraId="000000A4">
      <w:pPr>
        <w:spacing w:after="0" w:line="240" w:lineRule="auto"/>
        <w:jc w:val="left"/>
        <w:rPr/>
      </w:pPr>
      <w:r w:rsidDel="00000000" w:rsidR="00000000" w:rsidRPr="00000000">
        <w:rPr/>
        <w:drawing>
          <wp:inline distB="114300" distT="114300" distL="114300" distR="114300">
            <wp:extent cx="5276533" cy="2828925"/>
            <wp:effectExtent b="0" l="0" r="0" t="0"/>
            <wp:docPr id="2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27653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40" w:lineRule="auto"/>
        <w:jc w:val="left"/>
        <w:rPr/>
      </w:pPr>
      <w:r w:rsidDel="00000000" w:rsidR="00000000" w:rsidRPr="00000000">
        <w:rPr>
          <w:rtl w:val="0"/>
        </w:rPr>
      </w:r>
    </w:p>
    <w:p w:rsidR="00000000" w:rsidDel="00000000" w:rsidP="00000000" w:rsidRDefault="00000000" w:rsidRPr="00000000" w14:paraId="000000A6">
      <w:pPr>
        <w:spacing w:after="0" w:line="240" w:lineRule="auto"/>
        <w:jc w:val="left"/>
        <w:rPr/>
      </w:pPr>
      <w:r w:rsidDel="00000000" w:rsidR="00000000" w:rsidRPr="00000000">
        <w:rPr>
          <w:rtl w:val="0"/>
        </w:rPr>
      </w:r>
    </w:p>
    <w:p w:rsidR="00000000" w:rsidDel="00000000" w:rsidP="00000000" w:rsidRDefault="00000000" w:rsidRPr="00000000" w14:paraId="000000A7">
      <w:pPr>
        <w:spacing w:after="0" w:line="240" w:lineRule="auto"/>
        <w:jc w:val="left"/>
        <w:rPr/>
      </w:pPr>
      <w:bookmarkStart w:colFirst="0" w:colLast="0" w:name="_zytnxmza2lb" w:id="13"/>
      <w:bookmarkEnd w:id="13"/>
      <w:r w:rsidDel="00000000" w:rsidR="00000000" w:rsidRPr="00000000">
        <w:rPr>
          <w:rtl w:val="0"/>
        </w:rPr>
        <w:t xml:space="preserve">Figure 16.</w:t>
      </w:r>
    </w:p>
    <w:p w:rsidR="00000000" w:rsidDel="00000000" w:rsidP="00000000" w:rsidRDefault="00000000" w:rsidRPr="00000000" w14:paraId="000000A8">
      <w:pPr>
        <w:spacing w:after="0" w:line="240" w:lineRule="auto"/>
        <w:jc w:val="left"/>
        <w:rPr/>
      </w:pPr>
      <w:r w:rsidDel="00000000" w:rsidR="00000000" w:rsidRPr="00000000">
        <w:rPr/>
        <w:drawing>
          <wp:inline distB="114300" distT="114300" distL="114300" distR="114300">
            <wp:extent cx="5276533" cy="1685925"/>
            <wp:effectExtent b="0" l="0" r="0" t="0"/>
            <wp:docPr id="2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276533"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240" w:lineRule="auto"/>
        <w:jc w:val="left"/>
        <w:rPr/>
      </w:pPr>
      <w:r w:rsidDel="00000000" w:rsidR="00000000" w:rsidRPr="00000000">
        <w:rPr>
          <w:rtl w:val="0"/>
        </w:rPr>
        <w:t xml:space="preserve">Figure 17.</w:t>
      </w:r>
    </w:p>
    <w:p w:rsidR="00000000" w:rsidDel="00000000" w:rsidP="00000000" w:rsidRDefault="00000000" w:rsidRPr="00000000" w14:paraId="000000AA">
      <w:pPr>
        <w:spacing w:after="0" w:line="240" w:lineRule="auto"/>
        <w:jc w:val="left"/>
        <w:rPr/>
      </w:pPr>
      <w:r w:rsidDel="00000000" w:rsidR="00000000" w:rsidRPr="00000000">
        <w:rPr/>
        <w:drawing>
          <wp:inline distB="114300" distT="114300" distL="114300" distR="114300">
            <wp:extent cx="5476558" cy="2762250"/>
            <wp:effectExtent b="0" l="0" r="0" t="0"/>
            <wp:docPr id="2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476558"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240" w:lineRule="auto"/>
        <w:jc w:val="left"/>
        <w:rPr/>
      </w:pPr>
      <w:r w:rsidDel="00000000" w:rsidR="00000000" w:rsidRPr="00000000">
        <w:rPr>
          <w:rtl w:val="0"/>
        </w:rPr>
      </w:r>
    </w:p>
    <w:p w:rsidR="00000000" w:rsidDel="00000000" w:rsidP="00000000" w:rsidRDefault="00000000" w:rsidRPr="00000000" w14:paraId="000000AC">
      <w:pPr>
        <w:spacing w:after="0" w:line="240" w:lineRule="auto"/>
        <w:jc w:val="left"/>
        <w:rPr/>
      </w:pPr>
      <w:r w:rsidDel="00000000" w:rsidR="00000000" w:rsidRPr="00000000">
        <w:rPr>
          <w:rtl w:val="0"/>
        </w:rPr>
        <w:t xml:space="preserve">Figure 18.</w:t>
      </w:r>
    </w:p>
    <w:p w:rsidR="00000000" w:rsidDel="00000000" w:rsidP="00000000" w:rsidRDefault="00000000" w:rsidRPr="00000000" w14:paraId="000000AD">
      <w:pPr>
        <w:spacing w:after="0" w:line="240" w:lineRule="auto"/>
        <w:jc w:val="left"/>
        <w:rPr/>
      </w:pPr>
      <w:r w:rsidDel="00000000" w:rsidR="00000000" w:rsidRPr="00000000">
        <w:rPr/>
        <w:drawing>
          <wp:inline distB="114300" distT="114300" distL="114300" distR="114300">
            <wp:extent cx="5200333" cy="3095625"/>
            <wp:effectExtent b="0" l="0" r="0" t="0"/>
            <wp:docPr id="2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200333"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240" w:lineRule="auto"/>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Figure 19.</w:t>
      </w:r>
    </w:p>
    <w:p w:rsidR="00000000" w:rsidDel="00000000" w:rsidP="00000000" w:rsidRDefault="00000000" w:rsidRPr="00000000" w14:paraId="000000B0">
      <w:pPr>
        <w:rPr/>
      </w:pPr>
      <w:r w:rsidDel="00000000" w:rsidR="00000000" w:rsidRPr="00000000">
        <w:rPr/>
        <w:drawing>
          <wp:inline distB="114300" distT="114300" distL="114300" distR="114300">
            <wp:extent cx="5781358" cy="1838325"/>
            <wp:effectExtent b="0" l="0" r="0" t="0"/>
            <wp:docPr id="2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81358"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Figure 20.</w:t>
      </w:r>
    </w:p>
    <w:p w:rsidR="00000000" w:rsidDel="00000000" w:rsidP="00000000" w:rsidRDefault="00000000" w:rsidRPr="00000000" w14:paraId="000000B4">
      <w:pPr>
        <w:rPr/>
      </w:pPr>
      <w:r w:rsidDel="00000000" w:rsidR="00000000" w:rsidRPr="00000000">
        <w:rPr/>
        <w:drawing>
          <wp:inline distB="114300" distT="114300" distL="114300" distR="114300">
            <wp:extent cx="5286058" cy="2247900"/>
            <wp:effectExtent b="0" l="0" r="0" t="0"/>
            <wp:docPr id="3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286058"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Figure 21.</w:t>
      </w:r>
    </w:p>
    <w:p w:rsidR="00000000" w:rsidDel="00000000" w:rsidP="00000000" w:rsidRDefault="00000000" w:rsidRPr="00000000" w14:paraId="000000B7">
      <w:pPr>
        <w:rPr/>
      </w:pPr>
      <w:r w:rsidDel="00000000" w:rsidR="00000000" w:rsidRPr="00000000">
        <w:rPr/>
        <w:drawing>
          <wp:inline distB="114300" distT="114300" distL="114300" distR="114300">
            <wp:extent cx="5287175" cy="2192243"/>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287175" cy="219224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Figure 22.</w:t>
      </w:r>
    </w:p>
    <w:p w:rsidR="00000000" w:rsidDel="00000000" w:rsidP="00000000" w:rsidRDefault="00000000" w:rsidRPr="00000000" w14:paraId="000000BA">
      <w:pPr>
        <w:rPr/>
      </w:pPr>
      <w:r w:rsidDel="00000000" w:rsidR="00000000" w:rsidRPr="00000000">
        <w:rPr/>
        <w:drawing>
          <wp:inline distB="114300" distT="114300" distL="114300" distR="114300">
            <wp:extent cx="5438458" cy="1962150"/>
            <wp:effectExtent b="0" l="0" r="0" t="0"/>
            <wp:docPr id="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38458"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Figure 23.</w:t>
      </w:r>
    </w:p>
    <w:p w:rsidR="00000000" w:rsidDel="00000000" w:rsidP="00000000" w:rsidRDefault="00000000" w:rsidRPr="00000000" w14:paraId="000000BD">
      <w:pPr>
        <w:rPr/>
      </w:pPr>
      <w:r w:rsidDel="00000000" w:rsidR="00000000" w:rsidRPr="00000000">
        <w:rPr/>
        <w:drawing>
          <wp:inline distB="114300" distT="114300" distL="114300" distR="114300">
            <wp:extent cx="5895658" cy="4381500"/>
            <wp:effectExtent b="0" l="0" r="0" t="0"/>
            <wp:docPr id="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895658"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Figure 24.</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59140" cy="2857500"/>
            <wp:effectExtent b="0" l="0" r="0" t="0"/>
            <wp:docPr id="28"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591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Figure 25.</w:t>
      </w:r>
    </w:p>
    <w:p w:rsidR="00000000" w:rsidDel="00000000" w:rsidP="00000000" w:rsidRDefault="00000000" w:rsidRPr="00000000" w14:paraId="000000C4">
      <w:pPr>
        <w:rPr/>
      </w:pPr>
      <w:r w:rsidDel="00000000" w:rsidR="00000000" w:rsidRPr="00000000">
        <w:rPr/>
        <w:drawing>
          <wp:inline distB="114300" distT="114300" distL="114300" distR="114300">
            <wp:extent cx="5759140" cy="2171700"/>
            <wp:effectExtent b="0" l="0" r="0" t="0"/>
            <wp:docPr id="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5914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Figure 26.</w:t>
      </w:r>
    </w:p>
    <w:p w:rsidR="00000000" w:rsidDel="00000000" w:rsidP="00000000" w:rsidRDefault="00000000" w:rsidRPr="00000000" w14:paraId="000000C6">
      <w:pPr>
        <w:rPr/>
      </w:pPr>
      <w:r w:rsidDel="00000000" w:rsidR="00000000" w:rsidRPr="00000000">
        <w:rPr/>
        <w:drawing>
          <wp:inline distB="114300" distT="114300" distL="114300" distR="114300">
            <wp:extent cx="5759140" cy="3009900"/>
            <wp:effectExtent b="0" l="0" r="0" t="0"/>
            <wp:docPr id="7"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591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Figure 27.</w:t>
      </w:r>
    </w:p>
    <w:p w:rsidR="00000000" w:rsidDel="00000000" w:rsidP="00000000" w:rsidRDefault="00000000" w:rsidRPr="00000000" w14:paraId="000000C9">
      <w:pPr>
        <w:rPr/>
      </w:pPr>
      <w:r w:rsidDel="00000000" w:rsidR="00000000" w:rsidRPr="00000000">
        <w:rPr/>
        <w:drawing>
          <wp:inline distB="114300" distT="114300" distL="114300" distR="114300">
            <wp:extent cx="5759140" cy="4254500"/>
            <wp:effectExtent b="0" l="0" r="0" t="0"/>
            <wp:docPr id="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591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Figure 28.</w:t>
      </w:r>
    </w:p>
    <w:p w:rsidR="00000000" w:rsidDel="00000000" w:rsidP="00000000" w:rsidRDefault="00000000" w:rsidRPr="00000000" w14:paraId="000000CC">
      <w:pPr>
        <w:rPr/>
      </w:pPr>
      <w:r w:rsidDel="00000000" w:rsidR="00000000" w:rsidRPr="00000000">
        <w:rPr/>
        <w:drawing>
          <wp:inline distB="114300" distT="114300" distL="114300" distR="114300">
            <wp:extent cx="5759140" cy="4813300"/>
            <wp:effectExtent b="0" l="0" r="0" t="0"/>
            <wp:docPr id="1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591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Figure 29.</w:t>
      </w:r>
    </w:p>
    <w:p w:rsidR="00000000" w:rsidDel="00000000" w:rsidP="00000000" w:rsidRDefault="00000000" w:rsidRPr="00000000" w14:paraId="000000CF">
      <w:pPr>
        <w:rPr/>
      </w:pPr>
      <w:r w:rsidDel="00000000" w:rsidR="00000000" w:rsidRPr="00000000">
        <w:rPr/>
        <w:drawing>
          <wp:inline distB="114300" distT="114300" distL="114300" distR="114300">
            <wp:extent cx="5759140" cy="4445000"/>
            <wp:effectExtent b="0" l="0" r="0" t="0"/>
            <wp:docPr id="8"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5914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Figure 30.</w:t>
      </w:r>
    </w:p>
    <w:p w:rsidR="00000000" w:rsidDel="00000000" w:rsidP="00000000" w:rsidRDefault="00000000" w:rsidRPr="00000000" w14:paraId="000000D2">
      <w:pPr>
        <w:rPr/>
      </w:pPr>
      <w:r w:rsidDel="00000000" w:rsidR="00000000" w:rsidRPr="00000000">
        <w:rPr/>
        <w:drawing>
          <wp:inline distB="114300" distT="114300" distL="114300" distR="114300">
            <wp:extent cx="5759140" cy="3479800"/>
            <wp:effectExtent b="0" l="0" r="0" t="0"/>
            <wp:docPr id="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591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ANNEX:</w:t>
      </w:r>
    </w:p>
    <w:p w:rsidR="00000000" w:rsidDel="00000000" w:rsidP="00000000" w:rsidRDefault="00000000" w:rsidRPr="00000000" w14:paraId="000000D5">
      <w:pPr>
        <w:spacing w:after="0" w:line="240" w:lineRule="auto"/>
        <w:jc w:val="left"/>
        <w:rPr>
          <w:b w:val="1"/>
          <w:bCs w:val="1"/>
        </w:rPr>
      </w:pPr>
      <w:r w:rsidDel="00000000" w:rsidR="00000000" w:rsidRPr="00000000">
        <w:rPr>
          <w:b w:val="1"/>
          <w:bCs w:val="1"/>
          <w:rtl w:val="0"/>
        </w:rPr>
        <w:t xml:space="preserve">AIUsageStatement:</w:t>
      </w:r>
    </w:p>
    <w:p w:rsidR="00000000" w:rsidDel="00000000" w:rsidP="00000000" w:rsidRDefault="00000000" w:rsidRPr="00000000" w14:paraId="000000D6">
      <w:pPr>
        <w:spacing w:after="0" w:line="240" w:lineRule="auto"/>
        <w:jc w:val="left"/>
        <w:rPr/>
      </w:pPr>
      <w:r w:rsidDel="00000000" w:rsidR="00000000" w:rsidRPr="00000000">
        <w:rPr>
          <w:rtl w:val="0"/>
        </w:rPr>
        <w:t xml:space="preserve">AI tools were used for coding syntax assistance and report proofreading (ChatGPT).</w:t>
      </w:r>
    </w:p>
    <w:p w:rsidR="00000000" w:rsidDel="00000000" w:rsidP="00000000" w:rsidRDefault="00000000" w:rsidRPr="00000000" w14:paraId="000000D7">
      <w:pPr>
        <w:spacing w:after="0" w:line="240" w:lineRule="auto"/>
        <w:jc w:val="left"/>
        <w:rPr/>
      </w:pPr>
      <w:r w:rsidDel="00000000" w:rsidR="00000000" w:rsidRPr="00000000">
        <w:rPr>
          <w:rtl w:val="0"/>
        </w:rPr>
      </w:r>
    </w:p>
    <w:p w:rsidR="00000000" w:rsidDel="00000000" w:rsidP="00000000" w:rsidRDefault="00000000" w:rsidRPr="00000000" w14:paraId="000000D8">
      <w:pPr>
        <w:spacing w:after="0" w:line="240" w:lineRule="auto"/>
        <w:jc w:val="left"/>
        <w:rPr>
          <w:b w:val="1"/>
          <w:bCs w:val="1"/>
        </w:rPr>
      </w:pPr>
      <w:r w:rsidDel="00000000" w:rsidR="00000000" w:rsidRPr="00000000">
        <w:rPr>
          <w:b w:val="1"/>
          <w:bCs w:val="1"/>
          <w:rtl w:val="0"/>
        </w:rPr>
        <w:t xml:space="preserve">Contribution Statement:</w:t>
      </w:r>
    </w:p>
    <w:p w:rsidR="00000000" w:rsidDel="00000000" w:rsidP="00000000" w:rsidRDefault="00000000" w:rsidRPr="00000000" w14:paraId="000000D9">
      <w:pPr>
        <w:spacing w:after="0" w:line="240" w:lineRule="auto"/>
        <w:jc w:val="left"/>
        <w:rPr/>
      </w:pPr>
      <w:r w:rsidDel="00000000" w:rsidR="00000000" w:rsidRPr="00000000">
        <w:rPr>
          <w:rtl w:val="0"/>
        </w:rPr>
        <w:t xml:space="preserve">Muhammad Khuzaima Bashir (StudentID:20250441) - Customer and Flights initial separate &amp; combined analysis, Poster</w:t>
      </w:r>
    </w:p>
    <w:p w:rsidR="00000000" w:rsidDel="00000000" w:rsidP="00000000" w:rsidRDefault="00000000" w:rsidRPr="00000000" w14:paraId="000000DA">
      <w:pPr>
        <w:spacing w:after="0" w:line="240" w:lineRule="auto"/>
        <w:jc w:val="left"/>
        <w:rPr/>
      </w:pPr>
      <w:r w:rsidDel="00000000" w:rsidR="00000000" w:rsidRPr="00000000">
        <w:rPr>
          <w:rtl w:val="0"/>
        </w:rPr>
      </w:r>
    </w:p>
    <w:p w:rsidR="00000000" w:rsidDel="00000000" w:rsidP="00000000" w:rsidRDefault="00000000" w:rsidRPr="00000000" w14:paraId="000000DB">
      <w:pPr>
        <w:spacing w:after="0" w:line="240" w:lineRule="auto"/>
        <w:jc w:val="left"/>
        <w:rPr/>
      </w:pPr>
      <w:r w:rsidDel="00000000" w:rsidR="00000000" w:rsidRPr="00000000">
        <w:rPr>
          <w:rtl w:val="0"/>
        </w:rPr>
        <w:t xml:space="preserve">Marta Boavida (StudentID:20240519) – Customer and Flights separate dataset analysis, Report writing </w:t>
      </w:r>
    </w:p>
    <w:p w:rsidR="00000000" w:rsidDel="00000000" w:rsidP="00000000" w:rsidRDefault="00000000" w:rsidRPr="00000000" w14:paraId="000000DC">
      <w:pPr>
        <w:spacing w:after="0" w:line="240" w:lineRule="auto"/>
        <w:jc w:val="left"/>
        <w:rPr/>
      </w:pPr>
      <w:r w:rsidDel="00000000" w:rsidR="00000000" w:rsidRPr="00000000">
        <w:rPr>
          <w:rtl w:val="0"/>
        </w:rPr>
      </w:r>
    </w:p>
    <w:p w:rsidR="00000000" w:rsidDel="00000000" w:rsidP="00000000" w:rsidRDefault="00000000" w:rsidRPr="00000000" w14:paraId="000000DD">
      <w:pPr>
        <w:spacing w:after="0" w:line="240" w:lineRule="auto"/>
        <w:jc w:val="left"/>
        <w:rPr/>
      </w:pPr>
      <w:r w:rsidDel="00000000" w:rsidR="00000000" w:rsidRPr="00000000">
        <w:rPr>
          <w:rtl w:val="0"/>
        </w:rPr>
        <w:t xml:space="preserve">Muhammad Ammar (StudentID: 20250440) - Customers and Flights database combine analysis, Behavioral Segmentation</w:t>
      </w:r>
    </w:p>
    <w:p w:rsidR="00000000" w:rsidDel="00000000" w:rsidP="00000000" w:rsidRDefault="00000000" w:rsidRPr="00000000" w14:paraId="000000DE">
      <w:pPr>
        <w:spacing w:after="0" w:line="240" w:lineRule="auto"/>
        <w:jc w:val="left"/>
        <w:rPr/>
      </w:pPr>
      <w:r w:rsidDel="00000000" w:rsidR="00000000" w:rsidRPr="00000000">
        <w:rPr>
          <w:rtl w:val="0"/>
        </w:rPr>
      </w:r>
    </w:p>
    <w:p w:rsidR="00000000" w:rsidDel="00000000" w:rsidP="00000000" w:rsidRDefault="00000000" w:rsidRPr="00000000" w14:paraId="000000DF">
      <w:pPr>
        <w:spacing w:after="0" w:line="240" w:lineRule="auto"/>
        <w:jc w:val="left"/>
        <w:rPr/>
      </w:pPr>
      <w:r w:rsidDel="00000000" w:rsidR="00000000" w:rsidRPr="00000000">
        <w:rPr>
          <w:rtl w:val="0"/>
        </w:rPr>
        <w:t xml:space="preserve">SampleStudent (StudentID:xxxxxxxxxx) -</w:t>
      </w:r>
    </w:p>
    <w:p w:rsidR="00000000" w:rsidDel="00000000" w:rsidP="00000000" w:rsidRDefault="00000000" w:rsidRPr="00000000" w14:paraId="000000E0">
      <w:pPr>
        <w:spacing w:after="0" w:line="240" w:lineRule="auto"/>
        <w:jc w:val="left"/>
        <w:rPr/>
      </w:pPr>
      <w:r w:rsidDel="00000000" w:rsidR="00000000" w:rsidRPr="00000000">
        <w:rPr>
          <w:rtl w:val="0"/>
        </w:rPr>
      </w:r>
    </w:p>
    <w:p w:rsidR="00000000" w:rsidDel="00000000" w:rsidP="00000000" w:rsidRDefault="00000000" w:rsidRPr="00000000" w14:paraId="000000E1">
      <w:pPr>
        <w:spacing w:after="0" w:line="240" w:lineRule="auto"/>
        <w:jc w:val="left"/>
        <w:rPr>
          <w:b w:val="1"/>
          <w:bCs w:val="1"/>
          <w:i w:val="1"/>
          <w:iCs w:val="1"/>
        </w:rPr>
      </w:pPr>
      <w:r w:rsidDel="00000000" w:rsidR="00000000" w:rsidRPr="00000000">
        <w:rPr>
          <w:b w:val="1"/>
          <w:bCs w:val="1"/>
          <w:i w:val="1"/>
          <w:iCs w:val="1"/>
          <w:rtl w:val="0"/>
        </w:rPr>
        <w:t xml:space="preserve">All members contributed to collaborative discussions and ideation.</w:t>
      </w:r>
    </w:p>
    <w:sectPr>
      <w:type w:val="nextPage"/>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rFonts w:ascii="Arial" w:cs="Arial" w:eastAsia="Arial" w:hAnsi="Arial"/>
        <w:b w:val="1"/>
        <w:bCs w:val="1"/>
        <w:sz w:val="28"/>
        <w:szCs w:val="28"/>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12" w:lineRule="auto"/>
      <w:ind w:left="357" w:hanging="357"/>
    </w:pPr>
    <w:rPr>
      <w:b w:val="1"/>
      <w:bCs w:val="1"/>
      <w:smallCaps w:val="1"/>
      <w:color w:val="5c666c"/>
      <w:sz w:val="32"/>
      <w:szCs w:val="32"/>
    </w:rPr>
  </w:style>
  <w:style w:type="paragraph" w:styleId="Heading2">
    <w:name w:val="heading 2"/>
    <w:basedOn w:val="Normal"/>
    <w:next w:val="Normal"/>
    <w:pPr>
      <w:keepNext w:val="1"/>
      <w:keepLines w:val="1"/>
      <w:spacing w:after="120" w:before="200" w:line="312" w:lineRule="auto"/>
      <w:ind w:left="426" w:hanging="432"/>
    </w:pPr>
    <w:rPr>
      <w:b w:val="1"/>
      <w:bCs w:val="1"/>
      <w:sz w:val="28"/>
      <w:szCs w:val="28"/>
    </w:rPr>
  </w:style>
  <w:style w:type="paragraph" w:styleId="Heading3">
    <w:name w:val="heading 3"/>
    <w:basedOn w:val="Normal"/>
    <w:next w:val="Normal"/>
    <w:pPr>
      <w:keepNext w:val="1"/>
      <w:keepLines w:val="1"/>
      <w:spacing w:after="120" w:before="200" w:line="312" w:lineRule="auto"/>
      <w:ind w:left="709" w:hanging="709"/>
    </w:pPr>
    <w:rPr>
      <w:b w:val="1"/>
      <w:bCs w:val="1"/>
      <w:sz w:val="26"/>
      <w:szCs w:val="26"/>
    </w:rPr>
  </w:style>
  <w:style w:type="paragraph" w:styleId="Heading4">
    <w:name w:val="heading 4"/>
    <w:basedOn w:val="Normal"/>
    <w:next w:val="Normal"/>
    <w:pPr>
      <w:keepNext w:val="1"/>
      <w:keepLines w:val="1"/>
      <w:spacing w:after="120" w:before="200" w:line="312" w:lineRule="auto"/>
      <w:ind w:left="851" w:hanging="851"/>
    </w:pPr>
    <w:rPr>
      <w:b w:val="1"/>
      <w:bCs w:val="1"/>
      <w:sz w:val="26"/>
      <w:szCs w:val="26"/>
    </w:rPr>
  </w:style>
  <w:style w:type="paragraph" w:styleId="Heading5">
    <w:name w:val="heading 5"/>
    <w:basedOn w:val="Normal"/>
    <w:next w:val="Normal"/>
    <w:pPr>
      <w:keepNext w:val="1"/>
      <w:keepLines w:val="1"/>
      <w:spacing w:after="0" w:before="40" w:line="360" w:lineRule="auto"/>
      <w:jc w:val="center"/>
    </w:pPr>
    <w:rPr>
      <w:b w:val="1"/>
      <w:bCs w:val="1"/>
      <w:smallCaps w:val="1"/>
      <w:sz w:val="32"/>
      <w:szCs w:val="3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3.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7.png"/><Relationship Id="rId7" Type="http://schemas.openxmlformats.org/officeDocument/2006/relationships/hyperlink" Target="https://apastyle.apa.org/style-grammar-guidelines/references/examples" TargetMode="External"/><Relationship Id="rId8" Type="http://schemas.openxmlformats.org/officeDocument/2006/relationships/image" Target="media/image9.png"/><Relationship Id="rId31" Type="http://schemas.openxmlformats.org/officeDocument/2006/relationships/image" Target="media/image29.png"/><Relationship Id="rId30" Type="http://schemas.openxmlformats.org/officeDocument/2006/relationships/image" Target="media/image10.png"/><Relationship Id="rId11" Type="http://schemas.openxmlformats.org/officeDocument/2006/relationships/image" Target="media/image4.png"/><Relationship Id="rId33" Type="http://schemas.openxmlformats.org/officeDocument/2006/relationships/image" Target="media/image25.png"/><Relationship Id="rId10" Type="http://schemas.openxmlformats.org/officeDocument/2006/relationships/image" Target="media/image8.png"/><Relationship Id="rId32" Type="http://schemas.openxmlformats.org/officeDocument/2006/relationships/image" Target="media/image24.png"/><Relationship Id="rId13" Type="http://schemas.openxmlformats.org/officeDocument/2006/relationships/image" Target="media/image13.png"/><Relationship Id="rId35" Type="http://schemas.openxmlformats.org/officeDocument/2006/relationships/image" Target="media/image30.png"/><Relationship Id="rId12" Type="http://schemas.openxmlformats.org/officeDocument/2006/relationships/image" Target="media/image1.png"/><Relationship Id="rId34" Type="http://schemas.openxmlformats.org/officeDocument/2006/relationships/image" Target="media/image27.png"/><Relationship Id="rId15" Type="http://schemas.openxmlformats.org/officeDocument/2006/relationships/image" Target="media/image6.png"/><Relationship Id="rId37" Type="http://schemas.openxmlformats.org/officeDocument/2006/relationships/image" Target="media/image26.png"/><Relationship Id="rId14" Type="http://schemas.openxmlformats.org/officeDocument/2006/relationships/image" Target="media/image11.png"/><Relationship Id="rId36" Type="http://schemas.openxmlformats.org/officeDocument/2006/relationships/image" Target="media/image28.png"/><Relationship Id="rId17" Type="http://schemas.openxmlformats.org/officeDocument/2006/relationships/image" Target="media/image19.png"/><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_edoclink_DocumentConvertToPdf</vt:lpwstr>
  </property>
</Properties>
</file>