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spacing w:before="200" w:after="100"/>
      </w:pPr>
    </w:p>
    <w:tbl>
      <w:tblPr>
        <w:tblW w:type="auto" w:w="0"/>
        <w:jc w:val="left"/>
        <w:tblLayout w:type="fixed"/>
        <w:tblLook w:firstColumn="1" w:firstRow="1" w:lastColumn="0" w:lastRow="0" w:noHBand="0" w:noVBand="1" w:val="04A0"/>
        <w:tblBorders>
          <w:top w:val="nil" w:sz="5" w:space="0" w:color="131B26"/>
          <w:left w:val="nil" w:sz="5" w:space="0" w:color="131B26"/>
          <w:bottom w:val="single" w:sz="5" w:space="0" w:color="131B26"/>
          <w:right w:val="nil" w:sz="5" w:space="0" w:color="131B26"/>
          <w:insideH w:val="single" w:sz="5" w:space="0" w:color="131B26"/>
          <w:insideV w:val="nil" w:sz="5" w:space="0" w:color="131B26"/>
        </w:tblBorders>
      </w:tblPr>
      <w:tblGrid>
        <w:gridCol w:w="3773"/>
      </w:tblGrid>
      <w:tr>
        <w:tc>
          <w:tcPr>
            <w:tcW w:type="dxa" w:w="3773"/>
            <w:shd w:fill="131B26"/>
            <w:tcMar>
              <w:top w:w="80" w:type="dxa"/>
              <w:start w:w="100" w:type="dxa"/>
              <w:bottom w:w="80" w:type="dxa"/>
              <w:end w:w="100" w:type="dxa"/>
            </w:tcMar>
          </w:tcPr>
          <w:p>
            <w:pPr>
              <w:spacing w:after="0"/>
            </w:pPr>
            <w:r>
              <w:drawing>
                <wp:inline xmlns:a="http://schemas.openxmlformats.org/drawingml/2006/main" xmlns:pic="http://schemas.openxmlformats.org/drawingml/2006/picture">
                  <wp:extent cx="2240280" cy="809947"/>
                  <wp:docPr id="1" name="Picture 1"/>
                  <wp:cNvGraphicFramePr>
                    <a:graphicFrameLocks noChangeAspect="1"/>
                  </wp:cNvGraphicFramePr>
                  <a:graphic>
                    <a:graphicData uri="http://schemas.openxmlformats.org/drawingml/2006/picture">
                      <pic:pic>
                        <pic:nvPicPr>
                          <pic:cNvPr id="0" name="cleon-logo-dark-background.png"/>
                          <pic:cNvPicPr/>
                        </pic:nvPicPr>
                        <pic:blipFill>
                          <a:blip r:embed="rId11"/>
                          <a:stretch>
                            <a:fillRect/>
                          </a:stretch>
                        </pic:blipFill>
                        <pic:spPr>
                          <a:xfrm>
                            <a:off x="0" y="0"/>
                            <a:ext cx="2240280" cy="809947"/>
                          </a:xfrm>
                          <a:prstGeom prst="rect"/>
                        </pic:spPr>
                      </pic:pic>
                    </a:graphicData>
                  </a:graphic>
                </wp:inline>
              </w:drawing>
            </w:r>
          </w:p>
        </w:tc>
      </w:tr>
    </w:tbl>
    <w:p>
      <w:pPr>
        <w:spacing w:before="0" w:after="100"/>
      </w:pPr>
      <w:r>
        <w:rPr>
          <w:rFonts w:ascii="Aptos" w:hAnsi="Aptos" w:eastAsia="Aptos"/>
          <w:b/>
          <w:i w:val="0"/>
          <w:color w:val="B65612"/>
          <w:sz w:val="18"/>
        </w:rPr>
        <w:t>COMPANY PROFILE  /  INVESTOR OVERVIEW</w:t>
      </w:r>
    </w:p>
    <w:p>
      <w:pPr>
        <w:spacing w:before="40" w:after="40" w:line="240" w:lineRule="auto"/>
      </w:pPr>
      <w:r>
        <w:rPr>
          <w:rFonts w:ascii="Aptos Display" w:hAnsi="Aptos Display" w:eastAsia="Aptos Display"/>
          <w:b/>
          <w:i w:val="0"/>
          <w:color w:val="131B26"/>
          <w:sz w:val="58"/>
        </w:rPr>
        <w:t>CLEON OIL &amp; GAS LTD</w:t>
      </w:r>
    </w:p>
    <w:p>
      <w:pPr>
        <w:spacing w:after="160"/>
        <w:pBdr>
          <w:bottom w:val="single" w:sz="9" w:space="7" w:color="D9A46A"/>
        </w:pBdr>
      </w:pPr>
      <w:r>
        <w:rPr>
          <w:rFonts w:ascii="Aptos Display" w:hAnsi="Aptos Display" w:eastAsia="Aptos Display"/>
          <w:b/>
          <w:i w:val="0"/>
          <w:color w:val="995416"/>
          <w:sz w:val="32"/>
        </w:rPr>
        <w:t>Flexible Energy. Reliable Service.</w:t>
      </w:r>
    </w:p>
    <w:p>
      <w:pPr>
        <w:spacing w:before="100" w:after="100"/>
        <w:jc w:val="center"/>
      </w:pPr>
      <w:r>
        <w:drawing>
          <wp:inline xmlns:a="http://schemas.openxmlformats.org/drawingml/2006/main" xmlns:pic="http://schemas.openxmlformats.org/drawingml/2006/picture">
            <wp:extent cx="5486400" cy="3678484"/>
            <wp:docPr id="2" name="Picture 2"/>
            <wp:cNvGraphicFramePr>
              <a:graphicFrameLocks noChangeAspect="1"/>
            </wp:cNvGraphicFramePr>
            <a:graphic>
              <a:graphicData uri="http://schemas.openxmlformats.org/drawingml/2006/picture">
                <pic:pic>
                  <pic:nvPicPr>
                    <pic:cNvPr id="0" name="oil-and-gas-hero-white-blend.png"/>
                    <pic:cNvPicPr/>
                  </pic:nvPicPr>
                  <pic:blipFill>
                    <a:blip r:embed="rId12"/>
                    <a:stretch>
                      <a:fillRect/>
                    </a:stretch>
                  </pic:blipFill>
                  <pic:spPr>
                    <a:xfrm>
                      <a:off x="0" y="0"/>
                      <a:ext cx="5486400" cy="3678484"/>
                    </a:xfrm>
                    <a:prstGeom prst="rect"/>
                  </pic:spPr>
                </pic:pic>
              </a:graphicData>
            </a:graphic>
          </wp:inline>
        </w:drawing>
      </w:r>
    </w:p>
    <w:p>
      <w:pPr>
        <w:spacing w:before="60" w:after="120" w:line="269" w:lineRule="auto"/>
      </w:pPr>
      <w:r>
        <w:rPr>
          <w:rFonts w:ascii="Aptos" w:hAnsi="Aptos" w:eastAsia="Aptos"/>
          <w:b w:val="0"/>
          <w:i w:val="0"/>
          <w:color w:val="131B26"/>
          <w:sz w:val="26"/>
        </w:rPr>
        <w:t>A Nigerian downstream energy company focused on disciplined fuel retail, forecourt management and technology-supported operations.</w:t>
      </w:r>
    </w:p>
    <w:p>
      <w:pPr>
        <w:spacing w:after="240" w:line="269" w:lineRule="auto"/>
      </w:pPr>
      <w:r>
        <w:rPr>
          <w:rFonts w:ascii="Aptos" w:hAnsi="Aptos" w:eastAsia="Aptos"/>
          <w:b/>
          <w:i w:val="0"/>
          <w:color w:val="586676"/>
          <w:sz w:val="17"/>
        </w:rPr>
        <w:t>PMS &amp; AGO RETAIL   /   STATION MANAGEMENT   /   NON-FUEL RETAIL   /   CLEAN-ENERGY OPPORTUNITIES</w:t>
      </w:r>
    </w:p>
    <w:p>
      <w:pPr>
        <w:spacing w:after="20" w:line="269" w:lineRule="auto"/>
      </w:pPr>
      <w:r>
        <w:rPr>
          <w:rFonts w:ascii="Aptos" w:hAnsi="Aptos" w:eastAsia="Aptos"/>
          <w:b/>
          <w:i w:val="0"/>
          <w:color w:val="995416"/>
          <w:sz w:val="19"/>
        </w:rPr>
        <w:t>REGISTERED IN NIGERIA  •  RC 8817624</w:t>
      </w:r>
    </w:p>
    <w:p>
      <w:pPr>
        <w:spacing w:after="0" w:line="269" w:lineRule="auto"/>
      </w:pPr>
      <w:r>
        <w:rPr>
          <w:rFonts w:ascii="Aptos" w:hAnsi="Aptos" w:eastAsia="Aptos"/>
          <w:b w:val="0"/>
          <w:i w:val="0"/>
          <w:color w:val="586676"/>
          <w:sz w:val="17"/>
        </w:rPr>
        <w:t>Investor and partner overview  |  2026</w:t>
      </w:r>
    </w:p>
    <w:p>
      <w:r>
        <w:br w:type="page"/>
      </w:r>
    </w:p>
    <w:p>
      <w:pPr>
        <w:spacing w:before="0" w:after="100"/>
      </w:pPr>
      <w:r>
        <w:rPr>
          <w:rFonts w:ascii="Aptos" w:hAnsi="Aptos" w:eastAsia="Aptos"/>
          <w:b/>
          <w:i w:val="0"/>
          <w:color w:val="B65612"/>
          <w:sz w:val="18"/>
        </w:rPr>
        <w:t>01  /  COMPANY</w:t>
      </w:r>
    </w:p>
    <w:p>
      <w:pPr>
        <w:spacing w:before="60" w:after="160"/>
        <w:keepNext/>
        <w:pBdr>
          <w:bottom w:val="single" w:sz="9" w:space="7" w:color="D9A46A"/>
        </w:pBdr>
      </w:pPr>
      <w:r>
        <w:rPr>
          <w:rFonts w:ascii="Aptos Display" w:hAnsi="Aptos Display" w:eastAsia="Aptos Display"/>
          <w:b/>
          <w:i w:val="0"/>
          <w:color w:val="995416"/>
          <w:sz w:val="50"/>
        </w:rPr>
        <w:t>A focused downstream operator</w:t>
      </w:r>
    </w:p>
    <w:p>
      <w:pPr>
        <w:spacing w:after="200" w:line="269" w:lineRule="auto"/>
      </w:pPr>
      <w:r>
        <w:rPr>
          <w:rFonts w:ascii="Aptos" w:hAnsi="Aptos" w:eastAsia="Aptos"/>
          <w:b w:val="0"/>
          <w:i w:val="0"/>
          <w:color w:val="131B26"/>
          <w:sz w:val="24"/>
        </w:rPr>
        <w:t>CLEON Oil &amp; Gas Ltd is a Nigerian downstream energy company focused on fuel retail, station management, non-fuel retail development and technology-enabled forecourt services.</w:t>
      </w:r>
    </w:p>
    <w:p>
      <w:pPr>
        <w:spacing w:after="240" w:line="269" w:lineRule="auto"/>
      </w:pPr>
      <w:r>
        <w:rPr>
          <w:rFonts w:ascii="Aptos" w:hAnsi="Aptos" w:eastAsia="Aptos"/>
          <w:b w:val="0"/>
          <w:i w:val="0"/>
          <w:color w:val="586676"/>
          <w:sz w:val="22"/>
        </w:rPr>
        <w:t>The business plan identifies a pilot station in Kafanchan, Kaduna State, with operations beginning in October 2025. CLEON’s operating approach pairs day-to-day station controls with measured site and service expansion.</w:t>
      </w:r>
    </w:p>
    <w:p>
      <w:pPr>
        <w:spacing w:before="240" w:after="80"/>
        <w:keepNext/>
      </w:pPr>
      <w:r>
        <w:rPr>
          <w:rFonts w:ascii="Aptos Display" w:hAnsi="Aptos Display" w:eastAsia="Aptos Display"/>
          <w:b/>
          <w:i w:val="0"/>
          <w:color w:val="995416"/>
          <w:sz w:val="30"/>
        </w:rPr>
        <w:t>Company at a glance</w:t>
      </w:r>
    </w:p>
    <w:tbl>
      <w:tblPr>
        <w:tblW w:type="auto" w:w="0"/>
        <w:jc w:val="center"/>
        <w:tblLayout w:type="fixed"/>
        <w:tblLook w:firstColumn="1" w:firstRow="1" w:lastColumn="0" w:lastRow="0" w:noHBand="0" w:noVBand="1" w:val="04A0"/>
        <w:tblBorders>
          <w:top w:val="nil" w:sz="5" w:space="0" w:color="D6DEE6"/>
          <w:left w:val="nil" w:sz="5" w:space="0" w:color="D6DEE6"/>
          <w:bottom w:val="single" w:sz="5" w:space="0" w:color="D6DEE6"/>
          <w:right w:val="nil" w:sz="5" w:space="0" w:color="D6DEE6"/>
          <w:insideH w:val="single" w:sz="5" w:space="0" w:color="D6DEE6"/>
          <w:insideV w:val="nil" w:sz="5" w:space="0" w:color="D6DEE6"/>
        </w:tblBorders>
      </w:tblPr>
      <w:tblGrid>
        <w:gridCol w:w="2520"/>
        <w:gridCol w:w="7056"/>
      </w:tblGrid>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Legal name</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CLEON Oil &amp; Gas Ltd</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Registration</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RC 8817624, Nigeria</w:t>
            </w:r>
          </w:p>
        </w:tc>
      </w:tr>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Sector</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Downstream oil and gas retail</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Pilot location</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Kafanchan, Kaduna State</w:t>
            </w:r>
          </w:p>
        </w:tc>
      </w:tr>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Operating scope</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PMS and AGO retail, station management, non-fuel retail</w:t>
            </w:r>
          </w:p>
        </w:tc>
      </w:tr>
    </w:tbl>
    <w:p>
      <w:pPr>
        <w:spacing w:before="240" w:after="80"/>
        <w:keepNext/>
      </w:pPr>
      <w:r>
        <w:rPr>
          <w:rFonts w:ascii="Aptos Display" w:hAnsi="Aptos Display" w:eastAsia="Aptos Display"/>
          <w:b/>
          <w:i w:val="0"/>
          <w:color w:val="995416"/>
          <w:sz w:val="30"/>
        </w:rPr>
        <w:t>Vision</w:t>
      </w:r>
    </w:p>
    <w:p>
      <w:pPr>
        <w:spacing w:after="240" w:line="269" w:lineRule="auto"/>
      </w:pPr>
      <w:r>
        <w:rPr>
          <w:rFonts w:ascii="Aptos" w:hAnsi="Aptos" w:eastAsia="Aptos"/>
          <w:b/>
          <w:i w:val="0"/>
          <w:color w:val="995416"/>
          <w:sz w:val="28"/>
        </w:rPr>
        <w:t>To set the standard for accurate, safe and transparent fuel retail across Nigeria.</w:t>
      </w:r>
    </w:p>
    <w:p>
      <w:pPr>
        <w:spacing w:before="240" w:after="80"/>
        <w:keepNext/>
      </w:pPr>
      <w:r>
        <w:rPr>
          <w:rFonts w:ascii="Aptos Display" w:hAnsi="Aptos Display" w:eastAsia="Aptos Display"/>
          <w:b/>
          <w:i w:val="0"/>
          <w:color w:val="995416"/>
          <w:sz w:val="30"/>
        </w:rPr>
        <w:t>Mission</w:t>
      </w:r>
    </w:p>
    <w:p>
      <w:pPr>
        <w:spacing w:after="160" w:line="269" w:lineRule="auto"/>
      </w:pPr>
      <w:r>
        <w:rPr>
          <w:rFonts w:ascii="Aptos" w:hAnsi="Aptos" w:eastAsia="Aptos"/>
          <w:b w:val="0"/>
          <w:i w:val="0"/>
          <w:color w:val="131B26"/>
          <w:sz w:val="22"/>
        </w:rPr>
        <w:t>To deliver high-quality white products (PMS and AGO) and clean-energy solutions (LPG and CNG) through an optimized network of leased and managed retail forecourts.</w:t>
      </w:r>
    </w:p>
    <w:p>
      <w:r>
        <w:br w:type="page"/>
      </w:r>
    </w:p>
    <w:p>
      <w:pPr>
        <w:spacing w:before="0" w:after="100"/>
      </w:pPr>
      <w:r>
        <w:rPr>
          <w:rFonts w:ascii="Aptos" w:hAnsi="Aptos" w:eastAsia="Aptos"/>
          <w:b/>
          <w:i w:val="0"/>
          <w:color w:val="B65612"/>
          <w:sz w:val="18"/>
        </w:rPr>
        <w:t>02  /  SERVICES &amp; OPERATING MODEL</w:t>
      </w:r>
    </w:p>
    <w:p>
      <w:pPr>
        <w:spacing w:before="60" w:after="160"/>
        <w:keepNext/>
        <w:pBdr>
          <w:bottom w:val="single" w:sz="9" w:space="7" w:color="D9A46A"/>
        </w:pBdr>
      </w:pPr>
      <w:r>
        <w:rPr>
          <w:rFonts w:ascii="Aptos Display" w:hAnsi="Aptos Display" w:eastAsia="Aptos Display"/>
          <w:b/>
          <w:i w:val="0"/>
          <w:color w:val="995416"/>
          <w:sz w:val="50"/>
        </w:rPr>
        <w:t>Forecourt services built around control</w:t>
      </w:r>
    </w:p>
    <w:p>
      <w:pPr>
        <w:spacing w:after="200" w:line="269" w:lineRule="auto"/>
      </w:pPr>
      <w:r>
        <w:rPr>
          <w:rFonts w:ascii="Aptos" w:hAnsi="Aptos" w:eastAsia="Aptos"/>
          <w:b w:val="0"/>
          <w:i w:val="0"/>
          <w:color w:val="131B26"/>
          <w:sz w:val="24"/>
        </w:rPr>
        <w:t>CLEON’s business model combines fuel retail with station operating services and adjacent forecourt opportunities. The mix is designed to fit the needs and readiness of each site.</w:t>
      </w:r>
    </w:p>
    <w:p>
      <w:pPr>
        <w:pStyle w:val="ListBullet"/>
        <w:spacing w:after="100" w:line="264" w:lineRule="auto"/>
        <w:ind w:left="346" w:hanging="216"/>
      </w:pPr>
      <w:r>
        <w:rPr>
          <w:rFonts w:ascii="Aptos" w:hAnsi="Aptos" w:eastAsia="Aptos"/>
          <w:b/>
          <w:i w:val="0"/>
          <w:color w:val="995416"/>
          <w:sz w:val="22"/>
        </w:rPr>
        <w:t xml:space="preserve">PMS &amp; AGO retail. </w:t>
      </w:r>
      <w:r>
        <w:rPr>
          <w:rFonts w:ascii="Aptos" w:hAnsi="Aptos" w:eastAsia="Aptos"/>
          <w:b w:val="0"/>
          <w:i w:val="0"/>
          <w:color w:val="131B26"/>
          <w:sz w:val="22"/>
        </w:rPr>
        <w:t>Retail operations supported by receipt, pump-sales and tank-dip records.</w:t>
      </w:r>
    </w:p>
    <w:p>
      <w:pPr>
        <w:pStyle w:val="ListBullet"/>
        <w:spacing w:after="100" w:line="264" w:lineRule="auto"/>
        <w:ind w:left="346" w:hanging="216"/>
      </w:pPr>
      <w:r>
        <w:rPr>
          <w:rFonts w:ascii="Aptos" w:hAnsi="Aptos" w:eastAsia="Aptos"/>
          <w:b/>
          <w:i w:val="0"/>
          <w:color w:val="995416"/>
          <w:sz w:val="22"/>
        </w:rPr>
        <w:t xml:space="preserve">Station management. </w:t>
      </w:r>
      <w:r>
        <w:rPr>
          <w:rFonts w:ascii="Aptos" w:hAnsi="Aptos" w:eastAsia="Aptos"/>
          <w:b w:val="0"/>
          <w:i w:val="0"/>
          <w:color w:val="131B26"/>
          <w:sz w:val="22"/>
        </w:rPr>
        <w:t>Operating support for CLEON-operated and third-party forecourts, with clear reconciliation and reporting processes.</w:t>
      </w:r>
    </w:p>
    <w:p>
      <w:pPr>
        <w:pStyle w:val="ListBullet"/>
        <w:spacing w:after="100" w:line="264" w:lineRule="auto"/>
        <w:ind w:left="346" w:hanging="216"/>
      </w:pPr>
      <w:r>
        <w:rPr>
          <w:rFonts w:ascii="Aptos" w:hAnsi="Aptos" w:eastAsia="Aptos"/>
          <w:b/>
          <w:i w:val="0"/>
          <w:color w:val="995416"/>
          <w:sz w:val="22"/>
        </w:rPr>
        <w:t xml:space="preserve">Non-fuel retail. </w:t>
      </w:r>
      <w:r>
        <w:rPr>
          <w:rFonts w:ascii="Aptos" w:hAnsi="Aptos" w:eastAsia="Aptos"/>
          <w:b w:val="0"/>
          <w:i w:val="0"/>
          <w:color w:val="131B26"/>
          <w:sz w:val="22"/>
        </w:rPr>
        <w:t>Development of complementary retail services and commercial opportunities around the forecourt.</w:t>
      </w:r>
    </w:p>
    <w:p>
      <w:pPr>
        <w:pStyle w:val="ListBullet"/>
        <w:spacing w:after="100" w:line="264" w:lineRule="auto"/>
        <w:ind w:left="346" w:hanging="216"/>
      </w:pPr>
      <w:r>
        <w:rPr>
          <w:rFonts w:ascii="Aptos" w:hAnsi="Aptos" w:eastAsia="Aptos"/>
          <w:b/>
          <w:i w:val="0"/>
          <w:color w:val="995416"/>
          <w:sz w:val="22"/>
        </w:rPr>
        <w:t xml:space="preserve">LPG &amp; CNG. </w:t>
      </w:r>
      <w:r>
        <w:rPr>
          <w:rFonts w:ascii="Aptos" w:hAnsi="Aptos" w:eastAsia="Aptos"/>
          <w:b w:val="0"/>
          <w:i w:val="0"/>
          <w:color w:val="131B26"/>
          <w:sz w:val="22"/>
        </w:rPr>
        <w:t>Clean-energy options identified for phased evaluation and future expansion.</w:t>
      </w:r>
    </w:p>
    <w:p>
      <w:pPr>
        <w:spacing w:before="240" w:after="80"/>
        <w:keepNext/>
      </w:pPr>
      <w:r>
        <w:rPr>
          <w:rFonts w:ascii="Aptos Display" w:hAnsi="Aptos Display" w:eastAsia="Aptos Display"/>
          <w:b/>
          <w:i w:val="0"/>
          <w:color w:val="995416"/>
          <w:sz w:val="30"/>
        </w:rPr>
        <w:t>A flexible operating structure</w:t>
      </w:r>
    </w:p>
    <w:p>
      <w:pPr>
        <w:spacing w:after="240" w:line="269" w:lineRule="auto"/>
      </w:pPr>
      <w:r>
        <w:rPr>
          <w:rFonts w:ascii="Aptos" w:hAnsi="Aptos" w:eastAsia="Aptos"/>
          <w:b w:val="0"/>
          <w:i w:val="0"/>
          <w:color w:val="586676"/>
          <w:sz w:val="22"/>
        </w:rPr>
        <w:t>CLEON’s plan is based on leased and managed retail sites. This allows the company to evaluate each location, supply route, operating partner and investment requirement before committing to an expansion step.</w:t>
      </w:r>
    </w:p>
    <w:tbl>
      <w:tblPr>
        <w:tblW w:type="auto" w:w="0"/>
        <w:jc w:val="center"/>
        <w:tblLayout w:type="fixed"/>
        <w:tblLook w:firstColumn="1" w:firstRow="1" w:lastColumn="0" w:lastRow="0" w:noHBand="0" w:noVBand="1" w:val="04A0"/>
        <w:tblBorders>
          <w:top w:val="nil" w:sz="5" w:space="0" w:color="D6DEE6"/>
          <w:left w:val="nil" w:sz="5" w:space="0" w:color="D6DEE6"/>
          <w:bottom w:val="single" w:sz="5" w:space="0" w:color="D6DEE6"/>
          <w:right w:val="nil" w:sz="5" w:space="0" w:color="D6DEE6"/>
          <w:insideH w:val="single" w:sz="5" w:space="0" w:color="D6DEE6"/>
          <w:insideV w:val="nil" w:sz="5" w:space="0" w:color="D6DEE6"/>
        </w:tblBorders>
      </w:tblPr>
      <w:tblGrid>
        <w:gridCol w:w="2520"/>
        <w:gridCol w:w="7056"/>
      </w:tblGrid>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Site readiness</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Review equipment, utilities, access, local competition and safety needs.</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Operating controls</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Set product, cash, stock, reconciliation and reporting routines.</w:t>
            </w:r>
          </w:p>
        </w:tc>
      </w:tr>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Partner model</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Define operating responsibilities and information flow for managed sites.</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Expansion</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Assess non-fuel retail and clean-energy opportunities as site conditions allow.</w:t>
            </w:r>
          </w:p>
        </w:tc>
      </w:tr>
    </w:tbl>
    <w:p>
      <w:r>
        <w:br w:type="page"/>
      </w:r>
    </w:p>
    <w:p>
      <w:pPr>
        <w:spacing w:before="0" w:after="100"/>
      </w:pPr>
      <w:r>
        <w:rPr>
          <w:rFonts w:ascii="Aptos" w:hAnsi="Aptos" w:eastAsia="Aptos"/>
          <w:b/>
          <w:i w:val="0"/>
          <w:color w:val="B65612"/>
          <w:sz w:val="18"/>
        </w:rPr>
        <w:t>03  /  TECHNOLOGY &amp; REPORTING</w:t>
      </w:r>
    </w:p>
    <w:p>
      <w:pPr>
        <w:spacing w:before="60" w:after="160"/>
        <w:keepNext/>
        <w:pBdr>
          <w:bottom w:val="single" w:sz="9" w:space="7" w:color="D9A46A"/>
        </w:pBdr>
      </w:pPr>
      <w:r>
        <w:rPr>
          <w:rFonts w:ascii="Aptos Display" w:hAnsi="Aptos Display" w:eastAsia="Aptos Display"/>
          <w:b/>
          <w:i w:val="0"/>
          <w:color w:val="995416"/>
          <w:sz w:val="50"/>
        </w:rPr>
        <w:t>Operational visibility from the forecourt</w:t>
      </w:r>
    </w:p>
    <w:p>
      <w:pPr>
        <w:spacing w:after="200" w:line="269" w:lineRule="auto"/>
      </w:pPr>
      <w:r>
        <w:rPr>
          <w:rFonts w:ascii="Aptos" w:hAnsi="Aptos" w:eastAsia="Aptos"/>
          <w:b w:val="0"/>
          <w:i w:val="0"/>
          <w:color w:val="131B26"/>
          <w:sz w:val="24"/>
        </w:rPr>
        <w:t>CLEON has developed a station operations application for key forecourt records. It brings daily operating information into a more consistent view for station teams and management.</w:t>
      </w:r>
    </w:p>
    <w:p>
      <w:pPr>
        <w:pStyle w:val="ListBullet"/>
        <w:spacing w:after="100" w:line="264" w:lineRule="auto"/>
        <w:ind w:left="346" w:hanging="216"/>
      </w:pPr>
      <w:r>
        <w:rPr>
          <w:rFonts w:ascii="Aptos" w:hAnsi="Aptos" w:eastAsia="Aptos"/>
          <w:b/>
          <w:i w:val="0"/>
          <w:color w:val="995416"/>
          <w:sz w:val="22"/>
        </w:rPr>
        <w:t xml:space="preserve">Stock and sales. </w:t>
      </w:r>
      <w:r>
        <w:rPr>
          <w:rFonts w:ascii="Aptos" w:hAnsi="Aptos" w:eastAsia="Aptos"/>
          <w:b w:val="0"/>
          <w:i w:val="0"/>
          <w:color w:val="131B26"/>
          <w:sz w:val="22"/>
        </w:rPr>
        <w:t>Records receipts, pump sales, tank dips and stock positions to support variance review.</w:t>
      </w:r>
    </w:p>
    <w:p>
      <w:pPr>
        <w:pStyle w:val="ListBullet"/>
        <w:spacing w:after="100" w:line="264" w:lineRule="auto"/>
        <w:ind w:left="346" w:hanging="216"/>
      </w:pPr>
      <w:r>
        <w:rPr>
          <w:rFonts w:ascii="Aptos" w:hAnsi="Aptos" w:eastAsia="Aptos"/>
          <w:b/>
          <w:i w:val="0"/>
          <w:color w:val="995416"/>
          <w:sz w:val="22"/>
        </w:rPr>
        <w:t xml:space="preserve">Commercial control. </w:t>
      </w:r>
      <w:r>
        <w:rPr>
          <w:rFonts w:ascii="Aptos" w:hAnsi="Aptos" w:eastAsia="Aptos"/>
          <w:b w:val="0"/>
          <w:i w:val="0"/>
          <w:color w:val="131B26"/>
          <w:sz w:val="22"/>
        </w:rPr>
        <w:t>Tracks selling prices and product costs to support gross-profit and net-profit reporting.</w:t>
      </w:r>
    </w:p>
    <w:p>
      <w:pPr>
        <w:pStyle w:val="ListBullet"/>
        <w:spacing w:after="100" w:line="264" w:lineRule="auto"/>
        <w:ind w:left="346" w:hanging="216"/>
      </w:pPr>
      <w:r>
        <w:rPr>
          <w:rFonts w:ascii="Aptos" w:hAnsi="Aptos" w:eastAsia="Aptos"/>
          <w:b/>
          <w:i w:val="0"/>
          <w:color w:val="995416"/>
          <w:sz w:val="22"/>
        </w:rPr>
        <w:t xml:space="preserve">Payment visibility. </w:t>
      </w:r>
      <w:r>
        <w:rPr>
          <w:rFonts w:ascii="Aptos" w:hAnsi="Aptos" w:eastAsia="Aptos"/>
          <w:b w:val="0"/>
          <w:i w:val="0"/>
          <w:color w:val="131B26"/>
          <w:sz w:val="22"/>
        </w:rPr>
        <w:t>Records cash, POS, deposits, transfers and account balances for reconciliation.</w:t>
      </w:r>
    </w:p>
    <w:p>
      <w:pPr>
        <w:pStyle w:val="ListBullet"/>
        <w:spacing w:after="100" w:line="264" w:lineRule="auto"/>
        <w:ind w:left="346" w:hanging="216"/>
      </w:pPr>
      <w:r>
        <w:rPr>
          <w:rFonts w:ascii="Aptos" w:hAnsi="Aptos" w:eastAsia="Aptos"/>
          <w:b/>
          <w:i w:val="0"/>
          <w:color w:val="995416"/>
          <w:sz w:val="22"/>
        </w:rPr>
        <w:t xml:space="preserve">Management reports. </w:t>
      </w:r>
      <w:r>
        <w:rPr>
          <w:rFonts w:ascii="Aptos" w:hAnsi="Aptos" w:eastAsia="Aptos"/>
          <w:b w:val="0"/>
          <w:i w:val="0"/>
          <w:color w:val="131B26"/>
          <w:sz w:val="22"/>
        </w:rPr>
        <w:t>Supports Excel, PDF and CSV exports for internal and owner reporting.</w:t>
      </w:r>
    </w:p>
    <w:p>
      <w:pPr>
        <w:spacing w:before="240" w:after="80"/>
        <w:keepNext/>
      </w:pPr>
      <w:r>
        <w:rPr>
          <w:rFonts w:ascii="Aptos Display" w:hAnsi="Aptos Display" w:eastAsia="Aptos Display"/>
          <w:b/>
          <w:i w:val="0"/>
          <w:color w:val="995416"/>
          <w:sz w:val="30"/>
        </w:rPr>
        <w:t>Website and investor information</w:t>
      </w:r>
    </w:p>
    <w:p>
      <w:pPr>
        <w:spacing w:after="160" w:line="269" w:lineRule="auto"/>
      </w:pPr>
      <w:r>
        <w:rPr>
          <w:rFonts w:ascii="Aptos" w:hAnsi="Aptos" w:eastAsia="Aptos"/>
          <w:b w:val="0"/>
          <w:i w:val="0"/>
          <w:color w:val="131B26"/>
          <w:sz w:val="22"/>
        </w:rPr>
        <w:t>CLEON’s website is already created and provides the company’s online presence. CLEON intends to use it to give authorized investors a clear view of contributions, deployment milestones and available reports, with timely progress updates.</w:t>
      </w:r>
    </w:p>
    <w:p>
      <w:pPr>
        <w:spacing w:after="200" w:line="269" w:lineRule="auto"/>
      </w:pPr>
      <w:r>
        <w:rPr>
          <w:rFonts w:ascii="Aptos" w:hAnsi="Aptos" w:eastAsia="Aptos"/>
          <w:b w:val="0"/>
          <w:i w:val="0"/>
          <w:color w:val="586676"/>
          <w:sz w:val="21"/>
        </w:rPr>
        <w:t>The current station application stores desktop data locally. Live investor balances, automated alerts and connected reporting should be enabled only after secure hosting, access controls, data synchronization, audit history and backups are in place.</w:t>
      </w:r>
    </w:p>
    <w:p>
      <w:pPr>
        <w:spacing w:before="240" w:after="80"/>
        <w:keepNext/>
      </w:pPr>
      <w:r>
        <w:rPr>
          <w:rFonts w:ascii="Aptos Display" w:hAnsi="Aptos Display" w:eastAsia="Aptos Display"/>
          <w:b/>
          <w:i w:val="0"/>
          <w:color w:val="995416"/>
          <w:sz w:val="30"/>
        </w:rPr>
        <w:t>Technology roadmap</w:t>
      </w:r>
    </w:p>
    <w:tbl>
      <w:tblPr>
        <w:tblW w:type="auto" w:w="0"/>
        <w:jc w:val="center"/>
        <w:tblLayout w:type="fixed"/>
        <w:tblLook w:firstColumn="1" w:firstRow="1" w:lastColumn="0" w:lastRow="0" w:noHBand="0" w:noVBand="1" w:val="04A0"/>
        <w:tblBorders>
          <w:top w:val="nil" w:sz="5" w:space="0" w:color="D6DEE6"/>
          <w:left w:val="nil" w:sz="5" w:space="0" w:color="D6DEE6"/>
          <w:bottom w:val="single" w:sz="5" w:space="0" w:color="D6DEE6"/>
          <w:right w:val="nil" w:sz="5" w:space="0" w:color="D6DEE6"/>
          <w:insideH w:val="single" w:sz="5" w:space="0" w:color="D6DEE6"/>
          <w:insideV w:val="nil" w:sz="5" w:space="0" w:color="D6DEE6"/>
        </w:tblBorders>
      </w:tblPr>
      <w:tblGrid>
        <w:gridCol w:w="2520"/>
        <w:gridCol w:w="7056"/>
      </w:tblGrid>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In use</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Local desktop application for pilot station records and report exports.</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Next</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Regular backups, user roles and an audit trail for edits and approvals.</w:t>
            </w:r>
          </w:p>
        </w:tc>
      </w:tr>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Later</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Secure shared service with remote multi-site access and investor views.</w:t>
            </w:r>
          </w:p>
        </w:tc>
      </w:tr>
    </w:tbl>
    <w:p>
      <w:r>
        <w:br w:type="page"/>
      </w:r>
    </w:p>
    <w:p>
      <w:pPr>
        <w:spacing w:before="0" w:after="100"/>
      </w:pPr>
      <w:r>
        <w:rPr>
          <w:rFonts w:ascii="Aptos" w:hAnsi="Aptos" w:eastAsia="Aptos"/>
          <w:b/>
          <w:i w:val="0"/>
          <w:color w:val="B65612"/>
          <w:sz w:val="18"/>
        </w:rPr>
        <w:t>04  /  GROWTH &amp; INVESTOR ENGAGEMENT</w:t>
      </w:r>
    </w:p>
    <w:p>
      <w:pPr>
        <w:spacing w:before="60" w:after="160"/>
        <w:keepNext/>
        <w:pBdr>
          <w:bottom w:val="single" w:sz="9" w:space="7" w:color="D9A46A"/>
        </w:pBdr>
      </w:pPr>
      <w:r>
        <w:rPr>
          <w:rFonts w:ascii="Aptos Display" w:hAnsi="Aptos Display" w:eastAsia="Aptos Display"/>
          <w:b/>
          <w:i w:val="0"/>
          <w:color w:val="995416"/>
          <w:sz w:val="50"/>
        </w:rPr>
        <w:t>Scale in stages, report with clarity</w:t>
      </w:r>
    </w:p>
    <w:p>
      <w:pPr>
        <w:spacing w:after="200" w:line="269" w:lineRule="auto"/>
      </w:pPr>
      <w:r>
        <w:rPr>
          <w:rFonts w:ascii="Aptos" w:hAnsi="Aptos" w:eastAsia="Aptos"/>
          <w:b w:val="0"/>
          <w:i w:val="0"/>
          <w:color w:val="131B26"/>
          <w:sz w:val="24"/>
        </w:rPr>
        <w:t>CLEON’s expansion path is intended to follow operating readiness: stabilize controls at the pilot, review opportunities with site-level evidence, and expand services when supply, safety, people and funding requirements are understood.</w:t>
      </w:r>
    </w:p>
    <w:p>
      <w:pPr>
        <w:spacing w:before="240" w:after="80"/>
        <w:keepNext/>
      </w:pPr>
      <w:r>
        <w:rPr>
          <w:rFonts w:ascii="Aptos Display" w:hAnsi="Aptos Display" w:eastAsia="Aptos Display"/>
          <w:b/>
          <w:i w:val="0"/>
          <w:color w:val="995416"/>
          <w:sz w:val="30"/>
        </w:rPr>
        <w:t>Priority workstreams</w:t>
      </w:r>
    </w:p>
    <w:p>
      <w:pPr>
        <w:pStyle w:val="ListBullet"/>
        <w:spacing w:after="100" w:line="264" w:lineRule="auto"/>
        <w:ind w:left="346" w:hanging="216"/>
      </w:pPr>
      <w:r>
        <w:rPr>
          <w:rFonts w:ascii="Aptos" w:hAnsi="Aptos" w:eastAsia="Aptos"/>
          <w:b/>
          <w:i w:val="0"/>
          <w:color w:val="995416"/>
          <w:sz w:val="22"/>
        </w:rPr>
        <w:t xml:space="preserve">Strengthen the pilot. </w:t>
      </w:r>
      <w:r>
        <w:rPr>
          <w:rFonts w:ascii="Aptos" w:hAnsi="Aptos" w:eastAsia="Aptos"/>
          <w:b w:val="0"/>
          <w:i w:val="0"/>
          <w:color w:val="131B26"/>
          <w:sz w:val="22"/>
        </w:rPr>
        <w:t>Build reliable stock, sales, payment and maintenance records and close routine reconciliations.</w:t>
      </w:r>
    </w:p>
    <w:p>
      <w:pPr>
        <w:pStyle w:val="ListBullet"/>
        <w:spacing w:after="100" w:line="264" w:lineRule="auto"/>
        <w:ind w:left="346" w:hanging="216"/>
      </w:pPr>
      <w:r>
        <w:rPr>
          <w:rFonts w:ascii="Aptos" w:hAnsi="Aptos" w:eastAsia="Aptos"/>
          <w:b/>
          <w:i w:val="0"/>
          <w:color w:val="995416"/>
          <w:sz w:val="22"/>
        </w:rPr>
        <w:t xml:space="preserve">Prepare for replication. </w:t>
      </w:r>
      <w:r>
        <w:rPr>
          <w:rFonts w:ascii="Aptos" w:hAnsi="Aptos" w:eastAsia="Aptos"/>
          <w:b w:val="0"/>
          <w:i w:val="0"/>
          <w:color w:val="131B26"/>
          <w:sz w:val="22"/>
        </w:rPr>
        <w:t>Confirm backup procedures, user permissions, audit history and consistent reporting before remote multi-site operation.</w:t>
      </w:r>
    </w:p>
    <w:p>
      <w:pPr>
        <w:pStyle w:val="ListBullet"/>
        <w:spacing w:after="100" w:line="264" w:lineRule="auto"/>
        <w:ind w:left="346" w:hanging="216"/>
      </w:pPr>
      <w:r>
        <w:rPr>
          <w:rFonts w:ascii="Aptos" w:hAnsi="Aptos" w:eastAsia="Aptos"/>
          <w:b/>
          <w:i w:val="0"/>
          <w:color w:val="995416"/>
          <w:sz w:val="22"/>
        </w:rPr>
        <w:t xml:space="preserve">Evaluate growth opportunities. </w:t>
      </w:r>
      <w:r>
        <w:rPr>
          <w:rFonts w:ascii="Aptos" w:hAnsi="Aptos" w:eastAsia="Aptos"/>
          <w:b w:val="0"/>
          <w:i w:val="0"/>
          <w:color w:val="131B26"/>
          <w:sz w:val="22"/>
        </w:rPr>
        <w:t>Assess additional managed or leased sites, non-fuel retail and future LPG/CNG opportunities against local conditions.</w:t>
      </w:r>
    </w:p>
    <w:p>
      <w:pPr>
        <w:spacing w:before="240" w:after="80"/>
        <w:keepNext/>
      </w:pPr>
      <w:r>
        <w:rPr>
          <w:rFonts w:ascii="Aptos Display" w:hAnsi="Aptos Display" w:eastAsia="Aptos Display"/>
          <w:b/>
          <w:i w:val="0"/>
          <w:color w:val="995416"/>
          <w:sz w:val="30"/>
        </w:rPr>
        <w:t>Investor visibility</w:t>
      </w:r>
    </w:p>
    <w:p>
      <w:pPr>
        <w:spacing w:after="140" w:line="269" w:lineRule="auto"/>
      </w:pPr>
      <w:r>
        <w:rPr>
          <w:rFonts w:ascii="Aptos" w:hAnsi="Aptos" w:eastAsia="Aptos"/>
          <w:b w:val="0"/>
          <w:i w:val="0"/>
          <w:color w:val="586676"/>
          <w:sz w:val="22"/>
        </w:rPr>
        <w:t>The planned investor information area is intended to make the use and progress of investment easier to follow. Subject to secure implementation and verified records, it can present:</w:t>
      </w:r>
    </w:p>
    <w:p>
      <w:pPr>
        <w:pStyle w:val="ListBullet"/>
        <w:spacing w:after="100" w:line="264" w:lineRule="auto"/>
        <w:ind w:left="346" w:hanging="216"/>
      </w:pPr>
      <w:r>
        <w:rPr>
          <w:rFonts w:ascii="Aptos" w:hAnsi="Aptos" w:eastAsia="Aptos"/>
          <w:b/>
          <w:i w:val="0"/>
          <w:color w:val="995416"/>
          <w:sz w:val="22"/>
        </w:rPr>
        <w:t xml:space="preserve">Capital activity. </w:t>
      </w:r>
      <w:r>
        <w:rPr>
          <w:rFonts w:ascii="Aptos" w:hAnsi="Aptos" w:eastAsia="Aptos"/>
          <w:b w:val="0"/>
          <w:i w:val="0"/>
          <w:color w:val="131B26"/>
          <w:sz w:val="22"/>
        </w:rPr>
        <w:t>Contributions received and their recorded deployment.</w:t>
      </w:r>
    </w:p>
    <w:p>
      <w:pPr>
        <w:pStyle w:val="ListBullet"/>
        <w:spacing w:after="100" w:line="264" w:lineRule="auto"/>
        <w:ind w:left="346" w:hanging="216"/>
      </w:pPr>
      <w:r>
        <w:rPr>
          <w:rFonts w:ascii="Aptos" w:hAnsi="Aptos" w:eastAsia="Aptos"/>
          <w:b/>
          <w:i w:val="0"/>
          <w:color w:val="995416"/>
          <w:sz w:val="22"/>
        </w:rPr>
        <w:t xml:space="preserve">Milestone progress. </w:t>
      </w:r>
      <w:r>
        <w:rPr>
          <w:rFonts w:ascii="Aptos" w:hAnsi="Aptos" w:eastAsia="Aptos"/>
          <w:b w:val="0"/>
          <w:i w:val="0"/>
          <w:color w:val="131B26"/>
          <w:sz w:val="22"/>
        </w:rPr>
        <w:t>Status of agreed site, equipment and operating milestones.</w:t>
      </w:r>
    </w:p>
    <w:p>
      <w:pPr>
        <w:pStyle w:val="ListBullet"/>
        <w:spacing w:after="100" w:line="264" w:lineRule="auto"/>
        <w:ind w:left="346" w:hanging="216"/>
      </w:pPr>
      <w:r>
        <w:rPr>
          <w:rFonts w:ascii="Aptos" w:hAnsi="Aptos" w:eastAsia="Aptos"/>
          <w:b/>
          <w:i w:val="0"/>
          <w:color w:val="995416"/>
          <w:sz w:val="22"/>
        </w:rPr>
        <w:t xml:space="preserve">Business updates. </w:t>
      </w:r>
      <w:r>
        <w:rPr>
          <w:rFonts w:ascii="Aptos" w:hAnsi="Aptos" w:eastAsia="Aptos"/>
          <w:b w:val="0"/>
          <w:i w:val="0"/>
          <w:color w:val="131B26"/>
          <w:sz w:val="22"/>
        </w:rPr>
        <w:t>Available operating and management reports, with timely notices of material progress.</w:t>
      </w:r>
    </w:p>
    <w:p>
      <w:pPr>
        <w:spacing w:after="200" w:line="269" w:lineRule="auto"/>
      </w:pPr>
      <w:r>
        <w:rPr>
          <w:rFonts w:ascii="Aptos" w:hAnsi="Aptos" w:eastAsia="Aptos"/>
          <w:b w:val="0"/>
          <w:i w:val="0"/>
          <w:color w:val="586676"/>
          <w:sz w:val="21"/>
        </w:rPr>
        <w:t>CLEON should distinguish actual results from targets and estimates in investor communications. The content of each update should be based on reconciled business records.</w:t>
      </w:r>
    </w:p>
    <w:p>
      <w:pPr>
        <w:spacing w:before="240" w:after="80"/>
        <w:keepNext/>
      </w:pPr>
      <w:r>
        <w:rPr>
          <w:rFonts w:ascii="Aptos Display" w:hAnsi="Aptos Display" w:eastAsia="Aptos Display"/>
          <w:b/>
          <w:i w:val="0"/>
          <w:color w:val="995416"/>
          <w:sz w:val="30"/>
        </w:rPr>
        <w:t>Company details</w:t>
      </w:r>
    </w:p>
    <w:tbl>
      <w:tblPr>
        <w:tblW w:type="auto" w:w="0"/>
        <w:jc w:val="center"/>
        <w:tblLayout w:type="fixed"/>
        <w:tblLook w:firstColumn="1" w:firstRow="1" w:lastColumn="0" w:lastRow="0" w:noHBand="0" w:noVBand="1" w:val="04A0"/>
        <w:tblBorders>
          <w:top w:val="nil" w:sz="5" w:space="0" w:color="D6DEE6"/>
          <w:left w:val="nil" w:sz="5" w:space="0" w:color="D6DEE6"/>
          <w:bottom w:val="single" w:sz="5" w:space="0" w:color="D6DEE6"/>
          <w:right w:val="nil" w:sz="5" w:space="0" w:color="D6DEE6"/>
          <w:insideH w:val="single" w:sz="5" w:space="0" w:color="D6DEE6"/>
          <w:insideV w:val="nil" w:sz="5" w:space="0" w:color="D6DEE6"/>
        </w:tblBorders>
      </w:tblPr>
      <w:tblGrid>
        <w:gridCol w:w="2520"/>
        <w:gridCol w:w="7056"/>
      </w:tblGrid>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Company</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CLEON Oil &amp; Gas Ltd</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Registration</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RC 8817624</w:t>
            </w:r>
          </w:p>
        </w:tc>
      </w:tr>
      <w:tr>
        <w:tc>
          <w:tcPr>
            <w:tcW w:type="dxa" w:w="2520"/>
            <w:vAlign w:val="center"/>
            <w:tcMar>
              <w:top w:w="100" w:type="dxa"/>
              <w:start w:w="130" w:type="dxa"/>
              <w:bottom w:w="100" w:type="dxa"/>
              <w:end w:w="130" w:type="dxa"/>
            </w:tcMar>
            <w:shd w:fill="F6F8FA"/>
          </w:tcPr>
          <w:p>
            <w:pPr>
              <w:spacing w:after="0" w:line="252" w:lineRule="auto"/>
            </w:pPr>
            <w:r>
              <w:rPr>
                <w:rFonts w:ascii="Aptos" w:hAnsi="Aptos" w:eastAsia="Aptos"/>
                <w:b/>
                <w:i w:val="0"/>
                <w:color w:val="995416"/>
                <w:sz w:val="20"/>
              </w:rPr>
              <w:t>Country</w:t>
            </w:r>
          </w:p>
        </w:tc>
        <w:tc>
          <w:tcPr>
            <w:tcW w:type="dxa" w:w="7056"/>
            <w:vAlign w:val="center"/>
            <w:tcMar>
              <w:top w:w="100" w:type="dxa"/>
              <w:start w:w="130" w:type="dxa"/>
              <w:bottom w:w="100" w:type="dxa"/>
              <w:end w:w="130" w:type="dxa"/>
            </w:tcMar>
            <w:shd w:fill="F6F8FA"/>
          </w:tcPr>
          <w:p>
            <w:pPr>
              <w:spacing w:after="0" w:line="252" w:lineRule="auto"/>
            </w:pPr>
            <w:r>
              <w:rPr>
                <w:rFonts w:ascii="Aptos" w:hAnsi="Aptos" w:eastAsia="Aptos"/>
                <w:b w:val="0"/>
                <w:i w:val="0"/>
                <w:color w:val="131B26"/>
                <w:sz w:val="21"/>
              </w:rPr>
              <w:t>Nigeria</w:t>
            </w:r>
          </w:p>
        </w:tc>
      </w:tr>
      <w:tr>
        <w:tc>
          <w:tcPr>
            <w:tcW w:type="dxa" w:w="2520"/>
            <w:vAlign w:val="center"/>
            <w:tcMar>
              <w:top w:w="100" w:type="dxa"/>
              <w:start w:w="130" w:type="dxa"/>
              <w:bottom w:w="100" w:type="dxa"/>
              <w:end w:w="130" w:type="dxa"/>
            </w:tcMar>
            <w:shd w:fill="FFFFFF"/>
          </w:tcPr>
          <w:p>
            <w:pPr>
              <w:spacing w:after="0" w:line="252" w:lineRule="auto"/>
            </w:pPr>
            <w:r>
              <w:rPr>
                <w:rFonts w:ascii="Aptos" w:hAnsi="Aptos" w:eastAsia="Aptos"/>
                <w:b/>
                <w:i w:val="0"/>
                <w:color w:val="995416"/>
                <w:sz w:val="20"/>
              </w:rPr>
              <w:t>Head office and contact</w:t>
            </w:r>
          </w:p>
        </w:tc>
        <w:tc>
          <w:tcPr>
            <w:tcW w:type="dxa" w:w="7056"/>
            <w:vAlign w:val="center"/>
            <w:tcMar>
              <w:top w:w="100" w:type="dxa"/>
              <w:start w:w="130" w:type="dxa"/>
              <w:bottom w:w="100" w:type="dxa"/>
              <w:end w:w="130" w:type="dxa"/>
            </w:tcMar>
            <w:shd w:fill="FFFFFF"/>
          </w:tcPr>
          <w:p>
            <w:pPr>
              <w:spacing w:after="0" w:line="252" w:lineRule="auto"/>
            </w:pPr>
            <w:r>
              <w:rPr>
                <w:rFonts w:ascii="Aptos" w:hAnsi="Aptos" w:eastAsia="Aptos"/>
                <w:b w:val="0"/>
                <w:i w:val="0"/>
                <w:color w:val="131B26"/>
                <w:sz w:val="21"/>
              </w:rPr>
              <w:t>Details to be confirmed by company management.</w:t>
            </w:r>
          </w:p>
        </w:tc>
      </w:tr>
    </w:tbl>
    <w:sectPr w:rsidR="00FC693F" w:rsidRPr="0006063C" w:rsidSect="00034616">
      <w:headerReference w:type="default" r:id="rId9"/>
      <w:footerReference w:type="default" r:id="rId10"/>
      <w:pgSz w:w="12240" w:h="15840"/>
      <w:pgMar w:top="1008" w:right="1224" w:bottom="893" w:left="1224"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left"/>
      </w:tabs>
      <w:jc w:val="left"/>
    </w:pPr>
    <w:r>
      <w:rPr>
        <w:rFonts w:ascii="Aptos" w:hAnsi="Aptos" w:eastAsia="Aptos"/>
        <w:b/>
        <w:i w:val="0"/>
        <w:color w:val="637180"/>
        <w:sz w:val="16"/>
      </w:rPr>
      <w:t>CLEON OIL &amp; GAS LTD    •    NIGERIA</w:t>
    </w:r>
    <w:r>
      <w:rPr>
        <w:rFonts w:ascii="Aptos" w:hAnsi="Aptos" w:eastAsia="Aptos"/>
        <w:b w:val="0"/>
        <w:i w:val="0"/>
        <w:color w:val="637180"/>
        <w:sz w:val="16"/>
      </w:rPr>
      <w:tab/>
    </w:r>
    <w:r>
      <w:rPr>
        <w:rFonts w:ascii="Aptos" w:hAnsi="Aptos" w:eastAsia="Aptos"/>
        <w:b w:val="0"/>
        <w:i w:val="0"/>
        <w:color w:val="637180"/>
        <w:sz w:val="18"/>
      </w:rPr>
    </w:r>
    <w:fldSimple w:instr="PAGE">
      <w:r>
        <w:rPr>
          <w:color w:val="637180"/>
          <w:sz w:val="18"/>
        </w:rPr>
        <w:t>2</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9" w:space="7" w:color="D6DEE6"/>
      </w:pBdr>
    </w:pPr>
    <w:r>
      <w:rPr>
        <w:rFonts w:ascii="Aptos" w:hAnsi="Aptos" w:eastAsia="Aptos"/>
        <w:b/>
        <w:i w:val="0"/>
        <w:color w:val="637180"/>
        <w:sz w:val="16"/>
      </w:rPr>
      <w:t>CLEON  /  COMPANY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131B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31B2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