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500"/>
        <w:jc w:val="center"/>
      </w:pPr>
      <w:r>
        <w:rPr>
          <w:rFonts w:ascii="Times New Roman" w:hAnsi="Times New Roman"/>
          <w:b/>
          <w:color w:val="FF0000"/>
          <w:sz w:val="38"/>
        </w:rPr>
        <w:t>JOS NORTH WARD CHAIRMEN FOLLOW-UP MEETING</w:t>
      </w:r>
    </w:p>
    <w:p>
      <w:pPr>
        <w:spacing w:after="40"/>
        <w:jc w:val="center"/>
      </w:pPr>
      <w:r>
        <w:rPr>
          <w:rFonts w:ascii="Times New Roman" w:hAnsi="Times New Roman"/>
          <w:b/>
          <w:color w:val="008000"/>
          <w:sz w:val="24"/>
        </w:rPr>
        <w:t>HAUSA AND FULANI COMMUNITY CONSULTATION</w:t>
      </w:r>
    </w:p>
    <w:p>
      <w:pPr>
        <w:spacing w:after="260"/>
        <w:jc w:val="center"/>
      </w:pPr>
      <w:r>
        <w:rPr>
          <w:rFonts w:ascii="Times New Roman" w:hAnsi="Times New Roman"/>
          <w:b/>
          <w:color w:val="008000"/>
          <w:sz w:val="22"/>
        </w:rPr>
        <w:t>OFFICIAL MINUTES</w:t>
      </w:r>
    </w:p>
    <w:p>
      <w:pPr>
        <w:spacing w:after="700"/>
        <w:jc w:val="center"/>
      </w:pPr>
      <w:r>
        <w:rPr>
          <w:rFonts w:ascii="Times New Roman" w:hAnsi="Times New Roman"/>
          <w:sz w:val="22"/>
        </w:rPr>
        <w:t>Date: 29 October 2026 | Venue: PDP Jos North Party Office</w:t>
      </w:r>
    </w:p>
    <w:p>
      <w:pPr>
        <w:keepNext/>
        <w:spacing w:before="160" w:after="60"/>
      </w:pPr>
      <w:r>
        <w:rPr>
          <w:rFonts w:ascii="Arial" w:hAnsi="Arial"/>
          <w:b/>
          <w:color w:val="FF0000"/>
          <w:sz w:val="24"/>
        </w:rPr>
        <w:t>Background and Purpose</w:t>
      </w:r>
    </w:p>
    <w:p>
      <w:pPr>
        <w:jc w:val="both"/>
      </w:pPr>
      <w:r>
        <w:t>The meeting was convened at the PDP Jos North Party Office on 29 October as a follow-up to the urgent discussion held the previous day at the residence of Hajiya Khadijah Gambo Hawaja. The earlier meeting had been called to address concerns raised by the Director General (DG) for Kefiano Campaign about the proposed process for compiling data on 120 persons from each polling unit. The follow-up was arranged in line with the previous discussion and to continue consultation with ward chairmen, including leaders from the Christian community.</w:t>
      </w:r>
    </w:p>
    <w:p>
      <w:pPr>
        <w:keepNext/>
        <w:spacing w:before="160" w:after="60"/>
      </w:pPr>
      <w:r>
        <w:rPr>
          <w:rFonts w:ascii="Arial" w:hAnsi="Arial"/>
          <w:b/>
          <w:color w:val="FF0000"/>
          <w:sz w:val="24"/>
        </w:rPr>
        <w:t>Proceedings and Matters Raised</w:t>
      </w:r>
    </w:p>
    <w:p>
      <w:pPr>
        <w:jc w:val="both"/>
      </w:pPr>
      <w:r>
        <w:t>At the 28 October meeting, Hajiya Khadijah opened the discussion by explaining its purpose, after which the ward chairmen were invited to share their views on the proposed data-gathering process. The chairmen raised the following concerns:</w:t>
      </w:r>
    </w:p>
    <w:p>
      <w:pPr>
        <w:pStyle w:val="ListNumber"/>
        <w:spacing w:after="60"/>
        <w:jc w:val="both"/>
      </w:pPr>
      <w:r>
        <w:t>Insufficient logistics to carry out the exercise effectively.</w:t>
      </w:r>
    </w:p>
    <w:p>
      <w:pPr>
        <w:pStyle w:val="ListNumber"/>
        <w:spacing w:after="60"/>
        <w:jc w:val="both"/>
      </w:pPr>
      <w:r>
        <w:t>A perception among ward leaders that they were not trusted or adequately included in the process.</w:t>
      </w:r>
    </w:p>
    <w:p>
      <w:pPr>
        <w:pStyle w:val="ListNumber"/>
        <w:spacing w:after="60"/>
        <w:jc w:val="both"/>
      </w:pPr>
      <w:r>
        <w:t>Limited consultation with key stakeholders about whether the proposed approach was suitable for their communities.</w:t>
      </w:r>
    </w:p>
    <w:p>
      <w:pPr>
        <w:pStyle w:val="ListNumber"/>
        <w:spacing w:after="60"/>
        <w:jc w:val="both"/>
      </w:pPr>
      <w:r>
        <w:t>Outstanding payment of the amount agreed to support the data collation exercise.</w:t>
      </w:r>
    </w:p>
    <w:p>
      <w:pPr>
        <w:pStyle w:val="ListNumber"/>
        <w:spacing w:after="60"/>
        <w:jc w:val="both"/>
      </w:pPr>
      <w:r>
        <w:t>Resistance within communities, which participants linked to past experiences of perceived deception by the PDP, particularly during and after the 2023 elections.</w:t>
      </w:r>
    </w:p>
    <w:p>
      <w:pPr>
        <w:keepNext/>
        <w:spacing w:before="160" w:after="60"/>
      </w:pPr>
      <w:r>
        <w:rPr>
          <w:rFonts w:ascii="Arial" w:hAnsi="Arial"/>
          <w:b/>
          <w:color w:val="FF0000"/>
          <w:sz w:val="24"/>
        </w:rPr>
        <w:t>Follow-Up and Way Forward</w:t>
      </w:r>
    </w:p>
    <w:p>
      <w:pPr>
        <w:jc w:val="both"/>
      </w:pPr>
      <w:r>
        <w:t>Hajiya Khadijah proposed that the next consultation include the other ward chairmen from the Christian community. The aim was to develop a fuller account of the issues through a consolidated report of findings, observations and recommendations, and to identify a constructive way forward ahead of the elections. The 29 October meeting at the PDP Jos North Party Office was convened to carry this agreed follow-up forward.</w:t>
      </w:r>
    </w:p>
    <w:p>
      <w:pPr>
        <w:jc w:val="both"/>
      </w:pPr>
      <w:r>
        <w:t>The attendance update for 29 October indicates that nearly all the chairmen attended, with three absent. The names of those absent were not provided.</w:t>
      </w:r>
    </w:p>
    <w:p>
      <w:pPr>
        <w:keepNext/>
        <w:spacing w:before="160" w:after="60"/>
      </w:pPr>
      <w:r>
        <w:rPr>
          <w:rFonts w:ascii="Arial" w:hAnsi="Arial"/>
          <w:b/>
          <w:color w:val="FF0000"/>
          <w:sz w:val="24"/>
        </w:rPr>
        <w:t>Attendance at the 29 October Follow-Up</w:t>
      </w:r>
    </w:p>
    <w:tbl>
      <w:tblPr>
        <w:tblW w:type="auto" w:w="0"/>
        <w:jc w:val="center"/>
        <w:tblLayout w:type="fixed"/>
        <w:tblLook w:firstColumn="1" w:firstRow="1" w:lastColumn="0" w:lastRow="0" w:noHBand="0" w:noVBand="1" w:val="04A0"/>
        <w:tblBorders>
          <w:top w:val="single" w:sz="6" w:color="000000"/>
          <w:left w:val="nil" w:sz="6" w:color="000000"/>
          <w:bottom w:val="single" w:sz="6" w:color="000000"/>
          <w:right w:val="nil" w:sz="6" w:color="000000"/>
          <w:insideH w:val="single" w:sz="6" w:color="000000"/>
          <w:insideV w:val="nil" w:sz="6" w:color="000000"/>
        </w:tblBorders>
      </w:tblPr>
      <w:tblGrid>
        <w:gridCol w:w="3600"/>
        <w:gridCol w:w="3672"/>
        <w:gridCol w:w="2880"/>
      </w:tblGrid>
      <w:tr>
        <w:tc>
          <w:tcPr>
            <w:tcW w:type="dxa" w:w="3552"/>
            <w:vAlign w:val="center"/>
          </w:tcPr>
          <w:p>
            <w:r>
              <w:rPr>
                <w:rFonts w:ascii="Times New Roman" w:hAnsi="Times New Roman"/>
                <w:b/>
                <w:sz w:val="21"/>
              </w:rPr>
              <w:t>Attendee / Group</w:t>
            </w:r>
          </w:p>
        </w:tc>
        <w:tc>
          <w:tcPr>
            <w:tcW w:type="dxa" w:w="3552"/>
            <w:vAlign w:val="center"/>
          </w:tcPr>
          <w:p>
            <w:r>
              <w:rPr>
                <w:rFonts w:ascii="Times New Roman" w:hAnsi="Times New Roman"/>
                <w:b/>
                <w:sz w:val="21"/>
              </w:rPr>
              <w:t>Position / Representation</w:t>
            </w:r>
          </w:p>
        </w:tc>
        <w:tc>
          <w:tcPr>
            <w:tcW w:type="dxa" w:w="3552"/>
            <w:vAlign w:val="center"/>
          </w:tcPr>
          <w:p>
            <w:r>
              <w:rPr>
                <w:rFonts w:ascii="Times New Roman" w:hAnsi="Times New Roman"/>
                <w:b/>
                <w:sz w:val="21"/>
              </w:rPr>
              <w:t>Attendance</w:t>
            </w:r>
          </w:p>
        </w:tc>
      </w:tr>
      <w:tr>
        <w:tc>
          <w:tcPr>
            <w:tcW w:type="dxa" w:w="3600"/>
            <w:vAlign w:val="center"/>
          </w:tcPr>
          <w:p>
            <w:pPr>
              <w:spacing w:after="0" w:before="0"/>
            </w:pPr>
            <w:r>
              <w:rPr>
                <w:rFonts w:ascii="Times New Roman" w:hAnsi="Times New Roman"/>
                <w:sz w:val="21"/>
              </w:rPr>
              <w:t>Barr. Aminu Sani</w:t>
            </w:r>
          </w:p>
        </w:tc>
        <w:tc>
          <w:tcPr>
            <w:tcW w:type="dxa" w:w="3672"/>
            <w:vAlign w:val="center"/>
          </w:tcPr>
          <w:p>
            <w:pPr>
              <w:spacing w:after="0" w:before="0"/>
            </w:pPr>
            <w:r>
              <w:rPr>
                <w:rFonts w:ascii="Times New Roman" w:hAnsi="Times New Roman"/>
                <w:sz w:val="21"/>
              </w:rPr>
              <w:t>Coordinator, Jos North</w:t>
            </w:r>
          </w:p>
        </w:tc>
        <w:tc>
          <w:tcPr>
            <w:tcW w:type="dxa" w:w="2880"/>
            <w:vAlign w:val="center"/>
          </w:tcPr>
          <w:p>
            <w:pPr>
              <w:spacing w:after="0" w:before="0"/>
            </w:pPr>
            <w:r>
              <w:rPr>
                <w:rFonts w:ascii="Times New Roman" w:hAnsi="Times New Roman"/>
                <w:sz w:val="21"/>
              </w:rPr>
              <w:t>Present</w:t>
            </w:r>
          </w:p>
        </w:tc>
      </w:tr>
      <w:tr>
        <w:tc>
          <w:tcPr>
            <w:tcW w:type="dxa" w:w="3600"/>
            <w:vAlign w:val="center"/>
          </w:tcPr>
          <w:p>
            <w:pPr>
              <w:spacing w:after="0" w:before="0"/>
            </w:pPr>
            <w:r>
              <w:rPr>
                <w:rFonts w:ascii="Times New Roman" w:hAnsi="Times New Roman"/>
                <w:sz w:val="21"/>
              </w:rPr>
              <w:t>Jos North PDP Chairman</w:t>
            </w:r>
          </w:p>
        </w:tc>
        <w:tc>
          <w:tcPr>
            <w:tcW w:type="dxa" w:w="3672"/>
            <w:vAlign w:val="center"/>
          </w:tcPr>
          <w:p>
            <w:pPr>
              <w:spacing w:after="0" w:before="0"/>
            </w:pPr>
            <w:r>
              <w:rPr>
                <w:rFonts w:ascii="Times New Roman" w:hAnsi="Times New Roman"/>
                <w:sz w:val="21"/>
              </w:rPr>
              <w:t>Chairman</w:t>
            </w:r>
          </w:p>
        </w:tc>
        <w:tc>
          <w:tcPr>
            <w:tcW w:type="dxa" w:w="2880"/>
            <w:vAlign w:val="center"/>
          </w:tcPr>
          <w:p>
            <w:pPr>
              <w:spacing w:after="0" w:before="0"/>
            </w:pPr>
            <w:r>
              <w:rPr>
                <w:rFonts w:ascii="Times New Roman" w:hAnsi="Times New Roman"/>
                <w:sz w:val="21"/>
              </w:rPr>
              <w:t>Present</w:t>
            </w:r>
          </w:p>
        </w:tc>
      </w:tr>
      <w:tr>
        <w:tc>
          <w:tcPr>
            <w:tcW w:type="dxa" w:w="3600"/>
            <w:vAlign w:val="center"/>
          </w:tcPr>
          <w:p>
            <w:pPr>
              <w:spacing w:after="0" w:before="0"/>
            </w:pPr>
            <w:r>
              <w:rPr>
                <w:rFonts w:ascii="Times New Roman" w:hAnsi="Times New Roman"/>
                <w:sz w:val="21"/>
              </w:rPr>
              <w:t>Jos North PDP Secretary</w:t>
            </w:r>
          </w:p>
        </w:tc>
        <w:tc>
          <w:tcPr>
            <w:tcW w:type="dxa" w:w="3672"/>
            <w:vAlign w:val="center"/>
          </w:tcPr>
          <w:p>
            <w:pPr>
              <w:spacing w:after="0" w:before="0"/>
            </w:pPr>
            <w:r>
              <w:rPr>
                <w:rFonts w:ascii="Times New Roman" w:hAnsi="Times New Roman"/>
                <w:sz w:val="21"/>
              </w:rPr>
              <w:t>Secretary</w:t>
            </w:r>
          </w:p>
        </w:tc>
        <w:tc>
          <w:tcPr>
            <w:tcW w:type="dxa" w:w="2880"/>
            <w:vAlign w:val="center"/>
          </w:tcPr>
          <w:p>
            <w:pPr>
              <w:spacing w:after="0" w:before="0"/>
            </w:pPr>
            <w:r>
              <w:rPr>
                <w:rFonts w:ascii="Times New Roman" w:hAnsi="Times New Roman"/>
                <w:sz w:val="21"/>
              </w:rPr>
              <w:t>Present</w:t>
            </w:r>
          </w:p>
        </w:tc>
      </w:tr>
      <w:tr>
        <w:tc>
          <w:tcPr>
            <w:tcW w:type="dxa" w:w="3600"/>
            <w:vAlign w:val="center"/>
          </w:tcPr>
          <w:p>
            <w:pPr>
              <w:spacing w:after="0" w:before="0"/>
            </w:pPr>
            <w:r>
              <w:rPr>
                <w:rFonts w:ascii="Times New Roman" w:hAnsi="Times New Roman"/>
                <w:sz w:val="21"/>
              </w:rPr>
              <w:t>Ward chairmen</w:t>
            </w:r>
          </w:p>
        </w:tc>
        <w:tc>
          <w:tcPr>
            <w:tcW w:type="dxa" w:w="3672"/>
            <w:vAlign w:val="center"/>
          </w:tcPr>
          <w:p>
            <w:pPr>
              <w:spacing w:after="0" w:before="0"/>
            </w:pPr>
            <w:r>
              <w:rPr>
                <w:rFonts w:ascii="Times New Roman" w:hAnsi="Times New Roman"/>
                <w:sz w:val="21"/>
              </w:rPr>
              <w:t>Hausa and Fulani communities</w:t>
            </w:r>
          </w:p>
        </w:tc>
        <w:tc>
          <w:tcPr>
            <w:tcW w:type="dxa" w:w="2880"/>
            <w:vAlign w:val="center"/>
          </w:tcPr>
          <w:p>
            <w:pPr>
              <w:spacing w:after="0" w:before="0"/>
            </w:pPr>
            <w:r>
              <w:rPr>
                <w:rFonts w:ascii="Times New Roman" w:hAnsi="Times New Roman"/>
                <w:sz w:val="21"/>
              </w:rPr>
              <w:t>Nearly all present; three absent</w:t>
            </w:r>
          </w:p>
        </w:tc>
      </w:tr>
    </w:tbl>
    <w:p>
      <w:pPr>
        <w:keepNext/>
        <w:spacing w:before="160" w:after="60"/>
      </w:pPr>
      <w:r>
        <w:rPr>
          <w:rFonts w:ascii="Arial" w:hAnsi="Arial"/>
          <w:b/>
          <w:color w:val="FF0000"/>
          <w:sz w:val="24"/>
        </w:rPr>
        <w:t>Ward Chairmen Named at the 28 October Meeting</w:t>
      </w:r>
    </w:p>
    <w:p>
      <w:pPr>
        <w:jc w:val="both"/>
      </w:pPr>
      <w:r>
        <w:t>The following seven Hausa and Fulani community ward chairmen were listed as attendees at the 28 October consultation:</w:t>
      </w:r>
    </w:p>
    <w:tbl>
      <w:tblPr>
        <w:tblW w:type="auto" w:w="0"/>
        <w:jc w:val="center"/>
        <w:tblLayout w:type="fixed"/>
        <w:tblLook w:firstColumn="1" w:firstRow="1" w:lastColumn="0" w:lastRow="0" w:noHBand="0" w:noVBand="1" w:val="04A0"/>
        <w:tblBorders>
          <w:top w:val="single" w:sz="6" w:color="000000"/>
          <w:left w:val="nil" w:sz="6" w:color="000000"/>
          <w:bottom w:val="single" w:sz="6" w:color="000000"/>
          <w:right w:val="nil" w:sz="6" w:color="000000"/>
          <w:insideH w:val="single" w:sz="6" w:color="000000"/>
          <w:insideV w:val="nil" w:sz="6" w:color="000000"/>
        </w:tblBorders>
      </w:tblPr>
      <w:tblGrid>
        <w:gridCol w:w="4320"/>
        <w:gridCol w:w="2880"/>
        <w:gridCol w:w="2880"/>
      </w:tblGrid>
      <w:tr>
        <w:tc>
          <w:tcPr>
            <w:tcW w:type="dxa" w:w="3552"/>
            <w:vAlign w:val="center"/>
          </w:tcPr>
          <w:p>
            <w:r>
              <w:rPr>
                <w:rFonts w:ascii="Times New Roman" w:hAnsi="Times New Roman"/>
                <w:b/>
                <w:sz w:val="21"/>
              </w:rPr>
              <w:t>Name</w:t>
            </w:r>
          </w:p>
        </w:tc>
        <w:tc>
          <w:tcPr>
            <w:tcW w:type="dxa" w:w="3552"/>
            <w:vAlign w:val="center"/>
          </w:tcPr>
          <w:p>
            <w:r>
              <w:rPr>
                <w:rFonts w:ascii="Times New Roman" w:hAnsi="Times New Roman"/>
                <w:b/>
                <w:sz w:val="21"/>
              </w:rPr>
              <w:t>Ward</w:t>
            </w:r>
          </w:p>
        </w:tc>
        <w:tc>
          <w:tcPr>
            <w:tcW w:type="dxa" w:w="3552"/>
            <w:vAlign w:val="center"/>
          </w:tcPr>
          <w:p>
            <w:r>
              <w:rPr>
                <w:rFonts w:ascii="Times New Roman" w:hAnsi="Times New Roman"/>
                <w:b/>
                <w:sz w:val="21"/>
              </w:rPr>
              <w:t>Phone No.</w:t>
            </w:r>
          </w:p>
        </w:tc>
      </w:tr>
      <w:tr>
        <w:tc>
          <w:tcPr>
            <w:tcW w:type="dxa" w:w="4320"/>
            <w:vAlign w:val="center"/>
          </w:tcPr>
          <w:p>
            <w:pPr>
              <w:spacing w:after="0" w:before="0"/>
            </w:pPr>
            <w:r>
              <w:rPr>
                <w:rFonts w:ascii="Times New Roman" w:hAnsi="Times New Roman"/>
                <w:sz w:val="21"/>
              </w:rPr>
              <w:t>Musa Lawal Ahmad</w:t>
            </w:r>
          </w:p>
        </w:tc>
        <w:tc>
          <w:tcPr>
            <w:tcW w:type="dxa" w:w="2880"/>
            <w:vAlign w:val="center"/>
          </w:tcPr>
          <w:p>
            <w:pPr>
              <w:spacing w:after="0" w:before="0"/>
            </w:pPr>
            <w:r>
              <w:rPr>
                <w:rFonts w:ascii="Times New Roman" w:hAnsi="Times New Roman"/>
                <w:sz w:val="21"/>
              </w:rPr>
              <w:t>Gangare Ward</w:t>
            </w:r>
          </w:p>
        </w:tc>
        <w:tc>
          <w:tcPr>
            <w:tcW w:type="dxa" w:w="2880"/>
            <w:vAlign w:val="center"/>
          </w:tcPr>
          <w:p>
            <w:pPr>
              <w:spacing w:after="0" w:before="0"/>
            </w:pPr>
            <w:r>
              <w:rPr>
                <w:rFonts w:ascii="Times New Roman" w:hAnsi="Times New Roman"/>
                <w:sz w:val="21"/>
              </w:rPr>
              <w:t>08035015762</w:t>
            </w:r>
          </w:p>
        </w:tc>
      </w:tr>
      <w:tr>
        <w:tc>
          <w:tcPr>
            <w:tcW w:type="dxa" w:w="4320"/>
            <w:vAlign w:val="center"/>
          </w:tcPr>
          <w:p>
            <w:pPr>
              <w:spacing w:after="0" w:before="0"/>
            </w:pPr>
            <w:r>
              <w:rPr>
                <w:rFonts w:ascii="Times New Roman" w:hAnsi="Times New Roman"/>
                <w:sz w:val="21"/>
              </w:rPr>
              <w:t>Alh. Yawale Falke</w:t>
            </w:r>
          </w:p>
        </w:tc>
        <w:tc>
          <w:tcPr>
            <w:tcW w:type="dxa" w:w="2880"/>
            <w:vAlign w:val="center"/>
          </w:tcPr>
          <w:p>
            <w:pPr>
              <w:spacing w:after="0" w:before="0"/>
            </w:pPr>
            <w:r>
              <w:rPr>
                <w:rFonts w:ascii="Times New Roman" w:hAnsi="Times New Roman"/>
                <w:sz w:val="21"/>
              </w:rPr>
              <w:t>Garba Daho Ward</w:t>
            </w:r>
          </w:p>
        </w:tc>
        <w:tc>
          <w:tcPr>
            <w:tcW w:type="dxa" w:w="2880"/>
            <w:vAlign w:val="center"/>
          </w:tcPr>
          <w:p>
            <w:pPr>
              <w:spacing w:after="0" w:before="0"/>
            </w:pPr>
            <w:r>
              <w:rPr>
                <w:rFonts w:ascii="Times New Roman" w:hAnsi="Times New Roman"/>
                <w:sz w:val="21"/>
              </w:rPr>
              <w:t>08033342449</w:t>
            </w:r>
          </w:p>
        </w:tc>
      </w:tr>
      <w:tr>
        <w:tc>
          <w:tcPr>
            <w:tcW w:type="dxa" w:w="4320"/>
            <w:vAlign w:val="center"/>
          </w:tcPr>
          <w:p>
            <w:pPr>
              <w:spacing w:after="0" w:before="0"/>
            </w:pPr>
            <w:r>
              <w:rPr>
                <w:rFonts w:ascii="Times New Roman" w:hAnsi="Times New Roman"/>
                <w:sz w:val="21"/>
              </w:rPr>
              <w:t>Kawu Babanjoda</w:t>
            </w:r>
          </w:p>
        </w:tc>
        <w:tc>
          <w:tcPr>
            <w:tcW w:type="dxa" w:w="2880"/>
            <w:vAlign w:val="center"/>
          </w:tcPr>
          <w:p>
            <w:pPr>
              <w:spacing w:after="0" w:before="0"/>
            </w:pPr>
            <w:r>
              <w:rPr>
                <w:rFonts w:ascii="Times New Roman" w:hAnsi="Times New Roman"/>
                <w:sz w:val="21"/>
              </w:rPr>
              <w:t>Naraguta A Ward</w:t>
            </w:r>
          </w:p>
        </w:tc>
        <w:tc>
          <w:tcPr>
            <w:tcW w:type="dxa" w:w="2880"/>
            <w:vAlign w:val="center"/>
          </w:tcPr>
          <w:p>
            <w:pPr>
              <w:spacing w:after="0" w:before="0"/>
            </w:pPr>
            <w:r>
              <w:rPr>
                <w:rFonts w:ascii="Times New Roman" w:hAnsi="Times New Roman"/>
                <w:sz w:val="21"/>
              </w:rPr>
              <w:t>07035586406</w:t>
            </w:r>
          </w:p>
        </w:tc>
      </w:tr>
      <w:tr>
        <w:tc>
          <w:tcPr>
            <w:tcW w:type="dxa" w:w="4320"/>
            <w:vAlign w:val="center"/>
          </w:tcPr>
          <w:p>
            <w:pPr>
              <w:spacing w:after="0" w:before="0"/>
            </w:pPr>
            <w:r>
              <w:rPr>
                <w:rFonts w:ascii="Times New Roman" w:hAnsi="Times New Roman"/>
                <w:sz w:val="21"/>
              </w:rPr>
              <w:t>Ado Garba Jibiya</w:t>
            </w:r>
          </w:p>
        </w:tc>
        <w:tc>
          <w:tcPr>
            <w:tcW w:type="dxa" w:w="2880"/>
            <w:vAlign w:val="center"/>
          </w:tcPr>
          <w:p>
            <w:pPr>
              <w:spacing w:after="0" w:before="0"/>
            </w:pPr>
            <w:r>
              <w:rPr>
                <w:rFonts w:ascii="Times New Roman" w:hAnsi="Times New Roman"/>
                <w:sz w:val="21"/>
              </w:rPr>
              <w:t>Abba na Shehu Ward</w:t>
            </w:r>
          </w:p>
        </w:tc>
        <w:tc>
          <w:tcPr>
            <w:tcW w:type="dxa" w:w="2880"/>
            <w:vAlign w:val="center"/>
          </w:tcPr>
          <w:p>
            <w:pPr>
              <w:spacing w:after="0" w:before="0"/>
            </w:pPr>
            <w:r>
              <w:rPr>
                <w:rFonts w:ascii="Times New Roman" w:hAnsi="Times New Roman"/>
                <w:sz w:val="21"/>
              </w:rPr>
              <w:t>07038746261</w:t>
            </w:r>
          </w:p>
        </w:tc>
      </w:tr>
      <w:tr>
        <w:tc>
          <w:tcPr>
            <w:tcW w:type="dxa" w:w="4320"/>
            <w:vAlign w:val="center"/>
          </w:tcPr>
          <w:p>
            <w:pPr>
              <w:spacing w:after="0" w:before="0"/>
            </w:pPr>
            <w:r>
              <w:rPr>
                <w:rFonts w:ascii="Times New Roman" w:hAnsi="Times New Roman"/>
                <w:sz w:val="21"/>
              </w:rPr>
              <w:t>Musa Yunusa Ubale Ibrahim</w:t>
            </w:r>
          </w:p>
        </w:tc>
        <w:tc>
          <w:tcPr>
            <w:tcW w:type="dxa" w:w="2880"/>
            <w:vAlign w:val="center"/>
          </w:tcPr>
          <w:p>
            <w:pPr>
              <w:spacing w:after="0" w:before="0"/>
            </w:pPr>
            <w:r>
              <w:rPr>
                <w:rFonts w:ascii="Times New Roman" w:hAnsi="Times New Roman"/>
                <w:sz w:val="21"/>
              </w:rPr>
              <w:t>Katsina Ward</w:t>
            </w:r>
          </w:p>
        </w:tc>
        <w:tc>
          <w:tcPr>
            <w:tcW w:type="dxa" w:w="2880"/>
            <w:vAlign w:val="center"/>
          </w:tcPr>
          <w:p>
            <w:pPr>
              <w:spacing w:after="0" w:before="0"/>
            </w:pPr>
            <w:r>
              <w:rPr>
                <w:rFonts w:ascii="Times New Roman" w:hAnsi="Times New Roman"/>
                <w:sz w:val="21"/>
              </w:rPr>
              <w:t>07067985449</w:t>
            </w:r>
          </w:p>
        </w:tc>
      </w:tr>
      <w:tr>
        <w:tc>
          <w:tcPr>
            <w:tcW w:type="dxa" w:w="4320"/>
            <w:vAlign w:val="center"/>
          </w:tcPr>
          <w:p>
            <w:pPr>
              <w:spacing w:after="0" w:before="0"/>
            </w:pPr>
            <w:r>
              <w:rPr>
                <w:rFonts w:ascii="Times New Roman" w:hAnsi="Times New Roman"/>
                <w:sz w:val="21"/>
              </w:rPr>
              <w:t>Alkasim Musa Wetka</w:t>
            </w:r>
          </w:p>
        </w:tc>
        <w:tc>
          <w:tcPr>
            <w:tcW w:type="dxa" w:w="2880"/>
            <w:vAlign w:val="center"/>
          </w:tcPr>
          <w:p>
            <w:pPr>
              <w:spacing w:after="0" w:before="0"/>
            </w:pPr>
            <w:r>
              <w:rPr>
                <w:rFonts w:ascii="Times New Roman" w:hAnsi="Times New Roman"/>
                <w:sz w:val="21"/>
              </w:rPr>
              <w:t>Sarkin Arab Ward</w:t>
            </w:r>
          </w:p>
        </w:tc>
        <w:tc>
          <w:tcPr>
            <w:tcW w:type="dxa" w:w="2880"/>
            <w:vAlign w:val="center"/>
          </w:tcPr>
          <w:p>
            <w:pPr>
              <w:spacing w:after="0" w:before="0"/>
            </w:pPr>
            <w:r>
              <w:rPr>
                <w:rFonts w:ascii="Times New Roman" w:hAnsi="Times New Roman"/>
                <w:sz w:val="21"/>
              </w:rPr>
              <w:t>08063970491</w:t>
            </w:r>
          </w:p>
        </w:tc>
      </w:tr>
      <w:tr>
        <w:tc>
          <w:tcPr>
            <w:tcW w:type="dxa" w:w="4320"/>
            <w:vAlign w:val="center"/>
          </w:tcPr>
          <w:p>
            <w:pPr>
              <w:spacing w:after="0" w:before="0"/>
            </w:pPr>
            <w:r>
              <w:rPr>
                <w:rFonts w:ascii="Times New Roman" w:hAnsi="Times New Roman"/>
                <w:sz w:val="21"/>
              </w:rPr>
              <w:t>Alhassan Umar Aliyu Ali Kazaure</w:t>
            </w:r>
          </w:p>
        </w:tc>
        <w:tc>
          <w:tcPr>
            <w:tcW w:type="dxa" w:w="2880"/>
            <w:vAlign w:val="center"/>
          </w:tcPr>
          <w:p>
            <w:pPr>
              <w:spacing w:after="0" w:before="0"/>
            </w:pPr>
            <w:r>
              <w:rPr>
                <w:rFonts w:ascii="Times New Roman" w:hAnsi="Times New Roman"/>
                <w:sz w:val="21"/>
              </w:rPr>
              <w:t>Kazaure Ward</w:t>
            </w:r>
          </w:p>
        </w:tc>
        <w:tc>
          <w:tcPr>
            <w:tcW w:type="dxa" w:w="2880"/>
            <w:vAlign w:val="center"/>
          </w:tcPr>
          <w:p>
            <w:pPr>
              <w:spacing w:after="0" w:before="0"/>
            </w:pPr>
            <w:r>
              <w:rPr>
                <w:rFonts w:ascii="Times New Roman" w:hAnsi="Times New Roman"/>
                <w:sz w:val="21"/>
              </w:rPr>
              <w:t>07060905093</w:t>
            </w:r>
          </w:p>
        </w:tc>
      </w:tr>
    </w:tbl>
    <w:p>
      <w:pPr>
        <w:keepNext/>
        <w:spacing w:before="160" w:after="60"/>
      </w:pPr>
      <w:r>
        <w:rPr>
          <w:rFonts w:ascii="Arial" w:hAnsi="Arial"/>
          <w:b/>
          <w:color w:val="FF0000"/>
          <w:sz w:val="24"/>
        </w:rPr>
        <w:t>Conclusion</w:t>
      </w:r>
    </w:p>
    <w:p>
      <w:pPr>
        <w:jc w:val="both"/>
      </w:pPr>
      <w:r>
        <w:t>The 29 October follow-up continued the consultation initiated the previous day and brought together party officials and ward leadership to address concerns about the proposed polling-unit data exercise. The central issues for further consideration were adequate logistical support, stakeholder confidence and consultation, agreed facilitation, and community trust. A broader discussion with Christian community ward chairmen was proposed to inform a comprehensive report and recommendations ahead of the elections.</w:t>
      </w:r>
    </w:p>
    <w:p/>
    <w:p>
      <w:pPr>
        <w:spacing w:before="160" w:after="80"/>
      </w:pPr>
      <w:r>
        <w:rPr>
          <w:rFonts w:ascii="Times New Roman" w:hAnsi="Times New Roman"/>
          <w:sz w:val="20"/>
        </w:rPr>
        <w:t>________________________________</w:t>
      </w:r>
    </w:p>
    <w:p>
      <w:r>
        <w:rPr>
          <w:rFonts w:ascii="Times New Roman" w:hAnsi="Times New Roman"/>
          <w:sz w:val="20"/>
        </w:rPr>
        <w:t>Hajiya Khadijah Gambo Hawaja</w:t>
        <w:br/>
        <w:t>Coordinator, Jos North</w:t>
      </w:r>
    </w:p>
    <w:sectPr w:rsidR="00FC693F" w:rsidRPr="0006063C" w:rsidSect="00034616">
      <w:pgSz w:w="12240" w:h="15840"/>
      <w:pgMar w:top="691"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 North Ward Chairmen Follow-Up Meeting</dc:title>
  <dc:subject>Official meeting minutes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