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5320"/>
        <w:gridCol w:w="5320"/>
      </w:tblGrid>
      <w:tr>
        <w:trPr>
          <w:trHeight w:hRule="exact" w:val="890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35660" cy="50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0" cy="50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10" w:after="0"/>
              <w:ind w:left="3088" w:right="0" w:firstLine="1198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 xml:space="preserve">Utvärderingsmodell </w:t>
            </w:r>
            <w:r>
              <w:br/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Rekryteringstjänster (25-00050)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20"/>
        <w:gridCol w:w="5320"/>
      </w:tblGrid>
      <w:tr>
        <w:trPr>
          <w:trHeight w:hRule="exact" w:val="520"/>
        </w:trPr>
        <w:tc>
          <w:tcPr>
            <w:tcW w:type="dxa" w:w="5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96" w:after="0"/>
              <w:ind w:left="3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30"/>
              </w:rPr>
              <w:t>Folke Bernadotteakademin</w:t>
            </w:r>
          </w:p>
        </w:tc>
        <w:tc>
          <w:tcPr>
            <w:tcW w:type="dxa" w:w="5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30" w:right="432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 xml:space="preserve">Diarie </w:t>
            </w:r>
            <w:r>
              <w:br/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25-00050</w:t>
            </w:r>
          </w:p>
        </w:tc>
      </w:tr>
      <w:tr>
        <w:trPr>
          <w:trHeight w:hRule="exact" w:val="740"/>
        </w:trPr>
        <w:tc>
          <w:tcPr>
            <w:tcW w:type="dxa" w:w="5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30" w:right="1152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 xml:space="preserve">Utvärdering </w:t>
            </w:r>
            <w:r>
              <w:br/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 xml:space="preserve">Bästa förhållandet mellan pris och kvalitet 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Delat anbud</w:t>
            </w:r>
          </w:p>
        </w:tc>
        <w:tc>
          <w:tcPr>
            <w:tcW w:type="dxa" w:w="5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30" w:right="3168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 xml:space="preserve">Namn </w:t>
            </w:r>
            <w:r>
              <w:br/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Rekryteringstjänster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40"/>
      </w:tblGrid>
      <w:tr>
        <w:trPr>
          <w:trHeight w:hRule="exact" w:val="740"/>
        </w:trPr>
        <w:tc>
          <w:tcPr>
            <w:tcW w:type="dxa" w:w="10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3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Detta dokument är en kopia på upphandlingens elektroniska utvärderingsformulär.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30" w:right="288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 xml:space="preserve">Utvärderingsformuläret ska besvaras elektroniskt genom att du klickar på knappen Lämna anbud som du 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finner till vänster i annonsen eller inbjudan på www.e-avrop.com.</w:t>
            </w:r>
          </w:p>
        </w:tc>
      </w:tr>
    </w:tbl>
    <w:p>
      <w:pPr>
        <w:autoSpaceDN w:val="0"/>
        <w:autoSpaceDE w:val="0"/>
        <w:widowControl/>
        <w:spacing w:line="300" w:lineRule="exact" w:before="406" w:after="0"/>
        <w:ind w:left="1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30"/>
        </w:rPr>
        <w:t>Att lämna anbud</w:t>
      </w:r>
    </w:p>
    <w:p>
      <w:pPr>
        <w:autoSpaceDN w:val="0"/>
        <w:autoSpaceDE w:val="0"/>
        <w:widowControl/>
        <w:spacing w:line="220" w:lineRule="exact" w:before="334" w:after="0"/>
        <w:ind w:left="1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När du lämnar pris ska det ske för (1) enhet av angiven sort.</w:t>
      </w:r>
    </w:p>
    <w:p>
      <w:pPr>
        <w:autoSpaceDN w:val="0"/>
        <w:autoSpaceDE w:val="0"/>
        <w:widowControl/>
        <w:spacing w:line="330" w:lineRule="exact" w:before="0" w:after="0"/>
        <w:ind w:left="10" w:right="4896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Totalpris beräknas automatiskt som pris gånger antal.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Pris anges endast med siffror utan mellanslag eller valuta.</w:t>
      </w:r>
    </w:p>
    <w:p>
      <w:pPr>
        <w:autoSpaceDN w:val="0"/>
        <w:autoSpaceDE w:val="0"/>
        <w:widowControl/>
        <w:spacing w:line="330" w:lineRule="exact" w:before="292" w:after="0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För att kunna lämna in anbudet måste minst en grupp vara fullständigt ifylld.</w:t>
      </w:r>
    </w:p>
    <w:p>
      <w:pPr>
        <w:autoSpaceDN w:val="0"/>
        <w:autoSpaceDE w:val="0"/>
        <w:widowControl/>
        <w:spacing w:line="330" w:lineRule="exact" w:before="30" w:after="0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Grupper som du inte avser att delta i ska lämnas helt tomma (blankt).</w:t>
      </w:r>
    </w:p>
    <w:p>
      <w:pPr>
        <w:autoSpaceDN w:val="0"/>
        <w:autoSpaceDE w:val="0"/>
        <w:widowControl/>
        <w:spacing w:line="330" w:lineRule="exact" w:before="30" w:after="0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Om någon grupp är delvis men inte fullständigt ifylld är anbudet inte giltigt och kan inte lämnas in.</w:t>
      </w:r>
    </w:p>
    <w:p>
      <w:pPr>
        <w:autoSpaceDN w:val="0"/>
        <w:autoSpaceDE w:val="0"/>
        <w:widowControl/>
        <w:spacing w:line="330" w:lineRule="exact" w:before="218" w:after="0"/>
        <w:ind w:left="1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Utvärderingsmetoden bygger på monetär utvärdering med prissatt kvalitet. Ert anbud resulterar i ett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jämförelsetal. Hur mycket jämförelsetalet påverkas vid olika utvärderingar står beskrivet för varje utvärdering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i detta dokument. Anbudet med lägst jämförelsetal är bäst.</w:t>
      </w:r>
    </w:p>
    <w:p>
      <w:pPr>
        <w:autoSpaceDN w:val="0"/>
        <w:autoSpaceDE w:val="0"/>
        <w:widowControl/>
        <w:spacing w:line="318" w:lineRule="exact" w:before="250" w:after="0"/>
        <w:ind w:left="10" w:right="144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6"/>
        </w:rPr>
        <w:t xml:space="preserve">Introduktion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FBA använder sig av en mervärdesmodell vid utvärderingen av denna upphandling. Vid en sådan modell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sätter FBA ett pris på de kvalitativa egenskaper som vi värdesätter. Anbudsgivarnas priser justeras därefter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med ett påslag beroende på vilken kvalitet som anbudsgivaren erbjudit i sitt anbud, utifrån nedanstående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kriterierna i ett så kallat jämförelsetal. Den anbudsgivare som efter justeringarna av priset har det lägsta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jämförelsetalet kommer att antas som avtalsleverantör.</w:t>
      </w:r>
    </w:p>
    <w:p>
      <w:pPr>
        <w:autoSpaceDN w:val="0"/>
        <w:autoSpaceDE w:val="0"/>
        <w:widowControl/>
        <w:spacing w:line="320" w:lineRule="exact" w:before="320" w:after="0"/>
        <w:ind w:left="10" w:right="144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Utvärderingen för anbudsområde "Rekryteringstjänster" kommer att vara tvådelad: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1. En kvalitetsbedömning av anbudsgivarnas arbetssätt utifrån inlämnade redovisningar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2. En kvalitetsbedömning av anbudsgivarnas erfarenhet/kompetens utifrån inlämnade referensuppdrag och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eventuella uppföljningar.</w:t>
      </w:r>
    </w:p>
    <w:p>
      <w:pPr>
        <w:autoSpaceDN w:val="0"/>
        <w:autoSpaceDE w:val="0"/>
        <w:widowControl/>
        <w:spacing w:line="320" w:lineRule="exact" w:before="320" w:after="0"/>
        <w:ind w:left="10" w:right="288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Utvärderingen för anbudsområde "Bakgrundskontroller" kommer att baseras på en kvalitetsbedömning av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anbudsgivarnas arbetssätt utifrån inlämnade redovisningar.</w:t>
      </w:r>
    </w:p>
    <w:p>
      <w:pPr>
        <w:autoSpaceDN w:val="0"/>
        <w:autoSpaceDE w:val="0"/>
        <w:widowControl/>
        <w:spacing w:line="320" w:lineRule="exact" w:before="320" w:after="0"/>
        <w:ind w:left="10" w:right="288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Bedömningen kommer att utföras av en referensgrupp som består av representanter från FBAs HR-enhet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samt upphandlaren, som är administrativt ansvarig för genomförandet av upphandlingen.</w:t>
      </w:r>
    </w:p>
    <w:p>
      <w:pPr>
        <w:autoSpaceDN w:val="0"/>
        <w:autoSpaceDE w:val="0"/>
        <w:widowControl/>
        <w:spacing w:line="320" w:lineRule="exact" w:before="320" w:after="0"/>
        <w:ind w:left="10" w:right="144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Referensgruppen kommer i konsensus att betygsätta hur väl anbudsgivaren svarar upp mot nedan angivna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punkter och vilket mervärde det anses tillföra för FBA. Utfästelser och innehåll i anbudsgivarnas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kvalitetsbeskrivningar kommer att dokumenteras i avtalet och gälla under hela avtalsperioden.</w:t>
      </w:r>
    </w:p>
    <w:p>
      <w:pPr>
        <w:autoSpaceDN w:val="0"/>
        <w:tabs>
          <w:tab w:pos="7646" w:val="left"/>
        </w:tabs>
        <w:autoSpaceDE w:val="0"/>
        <w:widowControl/>
        <w:spacing w:line="284" w:lineRule="exact" w:before="356" w:after="0"/>
        <w:ind w:left="10" w:right="288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De anbudspriser som leverantören lämnat i anbuden (och inte det justerade jämförelsetalet) är givetvis de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som kommer att tillämpas vid köp/avrop. Lämnas prisuppgiften tom eller "0" så ska leverantören leverera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327464: 2025-03-18 09:50          1/5</w:t>
      </w:r>
    </w:p>
    <w:p>
      <w:pPr>
        <w:sectPr>
          <w:pgSz w:w="11900" w:h="16840"/>
          <w:pgMar w:top="150" w:right="270" w:bottom="276" w:left="9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tabs>
          <w:tab w:pos="7468" w:val="left"/>
          <w:tab w:pos="8666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35660" cy="50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508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Rekryteringstjänster (25-00050) </w:t>
      </w:r>
      <w:r>
        <w:tab/>
      </w:r>
      <w:r>
        <w:tab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Utvärderingsmodell</w:t>
      </w:r>
    </w:p>
    <w:p>
      <w:pPr>
        <w:autoSpaceDN w:val="0"/>
        <w:autoSpaceDE w:val="0"/>
        <w:widowControl/>
        <w:spacing w:line="220" w:lineRule="exact" w:before="460" w:after="0"/>
        <w:ind w:left="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den efterfrågade tjänsten enligt avtalsvillkor utan kostnad.</w:t>
      </w:r>
    </w:p>
    <w:p>
      <w:pPr>
        <w:autoSpaceDN w:val="0"/>
        <w:autoSpaceDE w:val="0"/>
        <w:widowControl/>
        <w:spacing w:line="300" w:lineRule="exact" w:before="166" w:after="0"/>
        <w:ind w:left="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30"/>
        </w:rPr>
        <w:t>1.0 REKRYTERINGSTJÄNSTER</w:t>
      </w:r>
    </w:p>
    <w:p>
      <w:pPr>
        <w:autoSpaceDN w:val="0"/>
        <w:autoSpaceDE w:val="0"/>
        <w:widowControl/>
        <w:spacing w:line="260" w:lineRule="exact" w:before="362" w:after="0"/>
        <w:ind w:left="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6"/>
        </w:rPr>
        <w:t>1.0.1 Krav på bilaga</w:t>
      </w:r>
    </w:p>
    <w:p>
      <w:pPr>
        <w:autoSpaceDN w:val="0"/>
        <w:autoSpaceDE w:val="0"/>
        <w:widowControl/>
        <w:spacing w:line="344" w:lineRule="exact" w:before="354" w:after="0"/>
        <w:ind w:left="0" w:right="2304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16"/>
        </w:rPr>
        <w:t xml:space="preserve">Vid inlämning ska [ arbetssätt rekrytering ]  bifogas anbudet. Filen bifogas i steg två av tre (2/3) av denna inlämning.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BESKRIVNING AV KVALITETSBEDÖMNINGEN - Arbetssätt Rekryteringstjänster</w:t>
      </w:r>
    </w:p>
    <w:p>
      <w:pPr>
        <w:autoSpaceDN w:val="0"/>
        <w:autoSpaceDE w:val="0"/>
        <w:widowControl/>
        <w:spacing w:line="330" w:lineRule="exact" w:before="240" w:after="0"/>
        <w:ind w:left="0" w:right="576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Anbudsgivarens ska beskriva arbetssätt hur FBAs rekryteringsuppdrag kommer att genomföras utifrån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efterfrågad kvalité och de ställda kraven i kravspecifikationen/avtalet. </w:t>
      </w:r>
    </w:p>
    <w:p>
      <w:pPr>
        <w:autoSpaceDN w:val="0"/>
        <w:autoSpaceDE w:val="0"/>
        <w:widowControl/>
        <w:spacing w:line="330" w:lineRule="exact" w:before="240" w:after="0"/>
        <w:ind w:left="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I beskrivningen ska minst ingå anbudsgivarnas metoder och verktyg: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- vid coachning/stöd till FBA:s rekryteringspraktiker avseende behovsanalys, värdering av kompetenser samt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i relation till organisationens mål och verksamhetsbehov. </w:t>
      </w:r>
    </w:p>
    <w:p>
      <w:pPr>
        <w:autoSpaceDN w:val="0"/>
        <w:autoSpaceDE w:val="0"/>
        <w:widowControl/>
        <w:spacing w:line="330" w:lineRule="exact" w:before="0" w:after="0"/>
        <w:ind w:left="0" w:right="1008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- för fördomsfri rekrytering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- för att bedöma personliga egenskaper och förhållningssätt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- vid chefsrekryteringar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samt hur anbudsgivaren säkerställer att aktuella konsulter har tillräcklig kompetens inom området. </w:t>
      </w:r>
    </w:p>
    <w:p>
      <w:pPr>
        <w:autoSpaceDN w:val="0"/>
        <w:autoSpaceDE w:val="0"/>
        <w:widowControl/>
        <w:spacing w:line="220" w:lineRule="exact" w:before="350" w:after="0"/>
        <w:ind w:left="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Beskrivningen ska vara max 3 A4-sidor (typsnitt 11).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6"/>
        </w:rPr>
        <w:t>1.0.2 Krav på bilaga</w:t>
      </w:r>
    </w:p>
    <w:p>
      <w:pPr>
        <w:autoSpaceDN w:val="0"/>
        <w:autoSpaceDE w:val="0"/>
        <w:widowControl/>
        <w:spacing w:line="344" w:lineRule="exact" w:before="354" w:after="0"/>
        <w:ind w:left="0" w:right="2592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16"/>
        </w:rPr>
        <w:t xml:space="preserve">Vid inlämning ska [ referensuppdrag ]  bifogas anbudet. Filen bifogas i steg två av tre (2/3) av denna inlämning.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REFERENSUPPDRAG </w:t>
      </w:r>
    </w:p>
    <w:p>
      <w:pPr>
        <w:autoSpaceDN w:val="0"/>
        <w:autoSpaceDE w:val="0"/>
        <w:widowControl/>
        <w:spacing w:line="330" w:lineRule="exact" w:before="240" w:after="0"/>
        <w:ind w:left="0" w:right="1008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Anbudsgivaren ska bifoga en beskrivning av två referensuppdrag i anbudsområde "Rekrytering av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specialister" till olika uppdragsgivare inom den senaste 3 års-perioden, där likvärdiga leveranser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genomfördes. Uppdragen ska i huvudsak ha utförts av konsulterna som föreslås jobba med FBA.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Referensen ska kunna bekräfta att anbudsgivaren har uppfyllt ställda krav utifrån avtal.</w:t>
      </w:r>
    </w:p>
    <w:p>
      <w:pPr>
        <w:autoSpaceDN w:val="0"/>
        <w:autoSpaceDE w:val="0"/>
        <w:widowControl/>
        <w:spacing w:line="330" w:lineRule="exact" w:before="240" w:after="0"/>
        <w:ind w:left="0" w:right="432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Nystartade företag ska ha en nyckelperson i ledande ställning med ovanstående erfarenhet. Det senare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gäller även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för etablerade företag som saknar erfarenhet av uppdrag enligt denna förfrågan. Referensen ska kunna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bekräfta att anbudsgivaren har uppfyllt ställda krav utifrån avtal.</w:t>
      </w:r>
    </w:p>
    <w:p>
      <w:pPr>
        <w:autoSpaceDN w:val="0"/>
        <w:autoSpaceDE w:val="0"/>
        <w:widowControl/>
        <w:spacing w:line="330" w:lineRule="exact" w:before="0" w:after="0"/>
        <w:ind w:left="0" w:right="144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I rutan nedan ska följande uppgifter om referensuppdragen anges: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1. Namn på verksamhet där uppdrag utförts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2. Kort beskrivning av referensuppdraget (exvis. uppgifter om referensuppdragets omfattning, volymer osv)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3. Tidsperiod när uppdraget utfördes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4. Referenspersonens kontaktuppgifter (exvis. namn, telefonnummer, e-post, funktion)</w:t>
      </w:r>
    </w:p>
    <w:p>
      <w:pPr>
        <w:autoSpaceDN w:val="0"/>
        <w:autoSpaceDE w:val="0"/>
        <w:widowControl/>
        <w:spacing w:line="330" w:lineRule="exact" w:before="240" w:after="0"/>
        <w:ind w:left="0" w:right="288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Anbudsgivaren meddelar angivna kontaktpersoner att de kan komma att kontaktas i samband med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referenstagning. Hen ansvarar vidare för att referenten är vidtalad, aktuell och går att nå enligt lämnade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kontaktuppgifter. Referenser som inte går att nå inom 3 arbetsdagar räknas som icke-godkänd. Var därför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noga med att informera referenterna om sista anbudsdag så att de går att nå, tiden därefter.</w:t>
      </w:r>
    </w:p>
    <w:p>
      <w:pPr>
        <w:autoSpaceDN w:val="0"/>
        <w:autoSpaceDE w:val="0"/>
        <w:widowControl/>
        <w:spacing w:line="220" w:lineRule="exact" w:before="338" w:after="0"/>
        <w:ind w:left="0" w:right="39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327464: 2025-03-18 09:50          2/5</w:t>
      </w:r>
    </w:p>
    <w:p>
      <w:pPr>
        <w:sectPr>
          <w:pgSz w:w="11900" w:h="16840"/>
          <w:pgMar w:top="150" w:right="320" w:bottom="276" w:left="10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tabs>
          <w:tab w:pos="7468" w:val="left"/>
          <w:tab w:pos="8666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35660" cy="50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508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Rekryteringstjänster (25-00050) </w:t>
      </w:r>
      <w:r>
        <w:tab/>
      </w:r>
      <w:r>
        <w:tab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Utvärderingsmodell</w:t>
      </w:r>
    </w:p>
    <w:p>
      <w:pPr>
        <w:autoSpaceDN w:val="0"/>
        <w:autoSpaceDE w:val="0"/>
        <w:widowControl/>
        <w:spacing w:line="330" w:lineRule="exact" w:before="600" w:after="0"/>
        <w:ind w:left="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Utöver dessa grundläggande uppgifter enligt ovan, ska även en fördjupande beskrivning av uppdragen ingå,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som minst ska innehålla: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- om/i vilken omfattning konsulterna visar på digital mognad/administrativ förmåga. Beskriv konsulternas sätt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att hantera många olika rekryteringssytem, anonymiserade ansökningar, beredskap att ta till sig nya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arbetssätt samt om uppdragsgivaren har varit trygg med att överlåta administrativa uppgifter till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anbudsgivarens konsulter, så som mötesboknngar, mailutskick osv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- om/i vilken omfattning man har jobbat med internationella rekryteringar inom ramen av en eller båda av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referensuppdragen, i synnerhet personal till konfliktkontexter till internationella civilsamhället, den privata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sektorn, svensk och utländsk statsförvaltning samt internationella organisationer som FN och EU?</w:t>
      </w:r>
    </w:p>
    <w:p>
      <w:pPr>
        <w:autoSpaceDN w:val="0"/>
        <w:autoSpaceDE w:val="0"/>
        <w:widowControl/>
        <w:spacing w:line="330" w:lineRule="exact" w:before="240" w:after="0"/>
        <w:ind w:left="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Använd bilaga "referensuppdrag". Den fördjupande beskrivningen enligt ovan ska inte vara längre än 1,5 A4-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sidor per referensuppdrag (typsnitt 11).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6"/>
        </w:rPr>
        <w:t>1.0.3 Krav på bilaga</w:t>
      </w:r>
    </w:p>
    <w:p>
      <w:pPr>
        <w:autoSpaceDN w:val="0"/>
        <w:autoSpaceDE w:val="0"/>
        <w:widowControl/>
        <w:spacing w:line="344" w:lineRule="exact" w:before="354" w:after="0"/>
        <w:ind w:left="0" w:right="2448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16"/>
        </w:rPr>
        <w:t xml:space="preserve">Vid inlämning ska [ prislista rekrytering ]  bifogas anbudet. Filen bifogas i steg två av tre (2/3) av denna inlämning.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Fyll i bilaga "prislista" och bifoga anbudet.</w:t>
      </w:r>
    </w:p>
    <w:p>
      <w:pPr>
        <w:autoSpaceDN w:val="0"/>
        <w:autoSpaceDE w:val="0"/>
        <w:widowControl/>
        <w:spacing w:line="322" w:lineRule="exact" w:before="76" w:after="0"/>
        <w:ind w:left="0" w:right="6192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6"/>
        </w:rPr>
        <w:t xml:space="preserve">1.0.4 Bedömning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BEDÖMNINGSKRITERIER - ARBETSSÄTT</w:t>
      </w:r>
    </w:p>
    <w:p>
      <w:pPr>
        <w:autoSpaceDN w:val="0"/>
        <w:autoSpaceDE w:val="0"/>
        <w:widowControl/>
        <w:spacing w:line="330" w:lineRule="exact" w:before="240" w:after="0"/>
        <w:ind w:left="0" w:right="288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Den inlämnade beskrivningen av arbetssättet (punkt 1.0.1) kommer att ligga till grund för bedömningen av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detta utvärderingskriterium. Betyget sätts efter en helhetsbedömning av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- hur den inlämnade beskrivningen visar på att anbudsgivarens arbetssätt baseras på evidens och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uppdaterad forskning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- hur beprövad anbudsgivarens beskrivna verktyg är samt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- hur konsulternas kompetens/kompetensutveckling präglas av kontinuitet.</w:t>
      </w:r>
    </w:p>
    <w:p>
      <w:pPr>
        <w:autoSpaceDN w:val="0"/>
        <w:autoSpaceDE w:val="0"/>
        <w:widowControl/>
        <w:spacing w:line="330" w:lineRule="exact" w:before="480" w:after="240"/>
        <w:ind w:left="0" w:right="72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Betyg kommer att sättas efter en tregradig skala enligt följande: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- Utmärkt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- Godkänd/Bra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- Ofullständig (vid ofullständig eller bristfällig beskrivning av arbetssättet)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Definition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Vid noll poäng uppräknas jämförelsetalet med 70% av anbudspriset. Full poäng ger ingen procentuell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uppräkning.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530"/>
        <w:gridCol w:w="3530"/>
        <w:gridCol w:w="3530"/>
      </w:tblGrid>
      <w:tr>
        <w:trPr>
          <w:trHeight w:hRule="exact" w:val="33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4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Poäng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76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Beskrivning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76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Påslag %</w:t>
            </w:r>
          </w:p>
        </w:tc>
      </w:tr>
      <w:tr>
        <w:trPr>
          <w:trHeight w:hRule="exact" w:val="34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4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OFULLSTÄNDIG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76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70,00</w:t>
            </w:r>
          </w:p>
        </w:tc>
      </w:tr>
      <w:tr>
        <w:trPr>
          <w:trHeight w:hRule="exact" w:val="34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4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GODKÄND/BRA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76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35,00</w:t>
            </w:r>
          </w:p>
        </w:tc>
      </w:tr>
      <w:tr>
        <w:trPr>
          <w:trHeight w:hRule="exact" w:val="35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4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76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UTMÄRKT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76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0,00</w:t>
            </w:r>
          </w:p>
        </w:tc>
      </w:tr>
    </w:tbl>
    <w:p>
      <w:pPr>
        <w:autoSpaceDN w:val="0"/>
        <w:autoSpaceDE w:val="0"/>
        <w:widowControl/>
        <w:spacing w:line="322" w:lineRule="exact" w:before="276" w:after="0"/>
        <w:ind w:left="0" w:right="5328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6"/>
        </w:rPr>
        <w:t xml:space="preserve">1.0.5 Bedömning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BEDÖMNINGSKRITERIER - REFERENSUPPDRAG</w:t>
      </w:r>
    </w:p>
    <w:p>
      <w:pPr>
        <w:autoSpaceDN w:val="0"/>
        <w:autoSpaceDE w:val="0"/>
        <w:widowControl/>
        <w:spacing w:line="220" w:lineRule="exact" w:before="778" w:after="0"/>
        <w:ind w:left="0" w:right="40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327464: 2025-03-18 09:50          3/5</w:t>
      </w:r>
    </w:p>
    <w:p>
      <w:pPr>
        <w:sectPr>
          <w:pgSz w:w="11900" w:h="16840"/>
          <w:pgMar w:top="150" w:right="310" w:bottom="276" w:left="10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tabs>
          <w:tab w:pos="7468" w:val="left"/>
          <w:tab w:pos="8666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35660" cy="50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508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Rekryteringstjänster (25-00050) </w:t>
      </w:r>
      <w:r>
        <w:tab/>
      </w:r>
      <w:r>
        <w:tab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Utvärderingsmodell</w:t>
      </w:r>
    </w:p>
    <w:p>
      <w:pPr>
        <w:autoSpaceDN w:val="0"/>
        <w:autoSpaceDE w:val="0"/>
        <w:widowControl/>
        <w:spacing w:line="330" w:lineRule="exact" w:before="360" w:after="0"/>
        <w:ind w:left="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Den inlämnade beskrivningen av referensuppdragen (punkt 1.0.2) samt FBAs eventuella uppföljande samtal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med angivna kontaktperson för referensuppdragen kommer att ligga till grund för bedömningen av detta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utvärderingskriterium. Betyget sätts efter en helhetsbedömning efter en tregradig skala enligt följande: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- Utmärkt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- Godkänd/Bra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- Ofullständig (vid ofullständig eller bristfällig beskrivning av referensuppdragen)</w:t>
      </w:r>
    </w:p>
    <w:p>
      <w:pPr>
        <w:autoSpaceDN w:val="0"/>
        <w:autoSpaceDE w:val="0"/>
        <w:widowControl/>
        <w:spacing w:line="330" w:lineRule="exact" w:before="240" w:after="0"/>
        <w:ind w:left="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Om referensuppdragen visar att anbudsgivaren inte uppfyller krav på teknisk och yrkesmässig kapacitet, kan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anbudet komma att diskvalificeras/förkastas.</w:t>
      </w:r>
    </w:p>
    <w:p>
      <w:pPr>
        <w:autoSpaceDN w:val="0"/>
        <w:autoSpaceDE w:val="0"/>
        <w:widowControl/>
        <w:spacing w:line="330" w:lineRule="exact" w:before="0" w:after="240"/>
        <w:ind w:left="0" w:right="72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Definition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Vid noll poäng uppräknas jämförelsetalet med 30% av anbudspriset. Full poäng ger ingen procentuell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uppräkning.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527"/>
        <w:gridCol w:w="3527"/>
        <w:gridCol w:w="3527"/>
      </w:tblGrid>
      <w:tr>
        <w:trPr>
          <w:trHeight w:hRule="exact" w:val="34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4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Poäng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76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Beskrivning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76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Påslag %</w:t>
            </w:r>
          </w:p>
        </w:tc>
      </w:tr>
      <w:tr>
        <w:trPr>
          <w:trHeight w:hRule="exact" w:val="34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4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OFULLSTÄNDIG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76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30,00</w:t>
            </w:r>
          </w:p>
        </w:tc>
      </w:tr>
      <w:tr>
        <w:trPr>
          <w:trHeight w:hRule="exact" w:val="34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4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GODKÄND/BRA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76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15,00</w:t>
            </w:r>
          </w:p>
        </w:tc>
      </w:tr>
      <w:tr>
        <w:trPr>
          <w:trHeight w:hRule="exact" w:val="34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4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76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UTMÄRKT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76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0,00</w:t>
            </w:r>
          </w:p>
        </w:tc>
      </w:tr>
    </w:tbl>
    <w:p>
      <w:pPr>
        <w:autoSpaceDN w:val="0"/>
        <w:autoSpaceDE w:val="0"/>
        <w:widowControl/>
        <w:spacing w:line="322" w:lineRule="exact" w:before="276" w:after="0"/>
        <w:ind w:left="0" w:right="6048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6"/>
        </w:rPr>
        <w:t xml:space="preserve">1.1 Prisfråga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ANBUDSPRIS - REKRYTERINGSTJÄNSTER</w:t>
      </w:r>
    </w:p>
    <w:p>
      <w:pPr>
        <w:autoSpaceDN w:val="0"/>
        <w:autoSpaceDE w:val="0"/>
        <w:widowControl/>
        <w:spacing w:line="220" w:lineRule="exact" w:before="440" w:after="0"/>
        <w:ind w:left="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Ange det totala anbudspriset genom att flytta över summan från bilaga "Prislistan", cell G 25.</w:t>
      </w:r>
    </w:p>
    <w:p>
      <w:pPr>
        <w:autoSpaceDN w:val="0"/>
        <w:autoSpaceDE w:val="0"/>
        <w:widowControl/>
        <w:spacing w:line="300" w:lineRule="exact" w:before="406" w:after="0"/>
        <w:ind w:left="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30"/>
        </w:rPr>
        <w:t>2.0 BAKGRUNDSKONTROLLER</w:t>
      </w:r>
    </w:p>
    <w:p>
      <w:pPr>
        <w:autoSpaceDN w:val="0"/>
        <w:autoSpaceDE w:val="0"/>
        <w:widowControl/>
        <w:spacing w:line="260" w:lineRule="exact" w:before="362" w:after="0"/>
        <w:ind w:left="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6"/>
        </w:rPr>
        <w:t>2.0.1 Krav på bilaga</w:t>
      </w:r>
    </w:p>
    <w:p>
      <w:pPr>
        <w:autoSpaceDN w:val="0"/>
        <w:autoSpaceDE w:val="0"/>
        <w:widowControl/>
        <w:spacing w:line="344" w:lineRule="exact" w:before="354" w:after="0"/>
        <w:ind w:left="0" w:right="1872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16"/>
        </w:rPr>
        <w:t xml:space="preserve">Vid inlämning ska [ prislista bakgrundskontroller ]  bifogas anbudet. Filen bifogas i steg två av tre (2/3) av denna inlämning.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Fyll i bilaga "prislista" och bifoga anbudet.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6"/>
        </w:rPr>
        <w:t>2.0.2 Krav på bilaga</w:t>
      </w:r>
    </w:p>
    <w:p>
      <w:pPr>
        <w:autoSpaceDN w:val="0"/>
        <w:autoSpaceDE w:val="0"/>
        <w:widowControl/>
        <w:spacing w:line="344" w:lineRule="exact" w:before="354" w:after="0"/>
        <w:ind w:left="0" w:right="1728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16"/>
        </w:rPr>
        <w:t xml:space="preserve">Vid inlämning ska [ arbetssätt bakgrundskontroller ]  bifogas anbudet. Filen bifogas i steg två av tre (2/3) av denna inlämning.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BESKRIVNING AV KVALITETSBEDÖMNINGEN - Arbetssätt Bakgrundskontroller</w:t>
      </w:r>
    </w:p>
    <w:p>
      <w:pPr>
        <w:autoSpaceDN w:val="0"/>
        <w:autoSpaceDE w:val="0"/>
        <w:widowControl/>
        <w:spacing w:line="330" w:lineRule="exact" w:before="240" w:after="0"/>
        <w:ind w:left="0" w:right="72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Anbudsgivarens ska beskriva arbetssätt hur FBAs uppdrag gällande Bakgrundskontroller kommer att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genomföras utifrån efterfrågad kvalité och de ställda kraven i kravspecifikationen/avtalet. </w:t>
      </w:r>
    </w:p>
    <w:p>
      <w:pPr>
        <w:autoSpaceDN w:val="0"/>
        <w:autoSpaceDE w:val="0"/>
        <w:widowControl/>
        <w:spacing w:line="330" w:lineRule="exact" w:before="240" w:after="0"/>
        <w:ind w:left="0" w:right="144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I beskrivningen ska minst ingå: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- metoder och verktyg som anbudsgivaren använder för inhämtning av information i bakgrundskontrollerna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- hur anbudsgivaren bedriver personalsäkerhet och säkerställer lojalitet och pålitlighet hos de medarbetare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som arbetar med bakgrundskontroller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- hur beställningen av en bakgrundskontroll går till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- samt hur den färdiga produkten levereras till FBA.</w:t>
      </w:r>
    </w:p>
    <w:p>
      <w:pPr>
        <w:autoSpaceDN w:val="0"/>
        <w:autoSpaceDE w:val="0"/>
        <w:widowControl/>
        <w:spacing w:line="220" w:lineRule="exact" w:before="598" w:after="0"/>
        <w:ind w:left="0" w:right="39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327464: 2025-03-18 09:50          4/5</w:t>
      </w:r>
    </w:p>
    <w:p>
      <w:pPr>
        <w:sectPr>
          <w:pgSz w:w="11900" w:h="16840"/>
          <w:pgMar w:top="150" w:right="320" w:bottom="276" w:left="10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tabs>
          <w:tab w:pos="7468" w:val="left"/>
          <w:tab w:pos="8666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35660" cy="50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508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Rekryteringstjänster (25-00050) </w:t>
      </w:r>
      <w:r>
        <w:tab/>
      </w:r>
      <w:r>
        <w:tab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Utvärderingsmodell</w:t>
      </w:r>
    </w:p>
    <w:p>
      <w:pPr>
        <w:autoSpaceDN w:val="0"/>
        <w:autoSpaceDE w:val="0"/>
        <w:widowControl/>
        <w:spacing w:line="322" w:lineRule="exact" w:before="436" w:after="0"/>
        <w:ind w:left="0" w:right="6048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6"/>
        </w:rPr>
        <w:t xml:space="preserve">2.1 Prisfråga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ANBUDSPRIS - BAKGRUNDSKONTROLLER</w:t>
      </w:r>
    </w:p>
    <w:p>
      <w:pPr>
        <w:autoSpaceDN w:val="0"/>
        <w:autoSpaceDE w:val="0"/>
        <w:widowControl/>
        <w:spacing w:line="220" w:lineRule="exact" w:before="440" w:after="0"/>
        <w:ind w:left="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Ange det totala anbudspriset genom att flytta över summan från bilaga "Prislistan", cell G 36.</w:t>
      </w:r>
    </w:p>
    <w:p>
      <w:pPr>
        <w:autoSpaceDN w:val="0"/>
        <w:autoSpaceDE w:val="0"/>
        <w:widowControl/>
        <w:spacing w:line="328" w:lineRule="exact" w:before="310" w:after="240"/>
        <w:ind w:left="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6"/>
        </w:rPr>
        <w:t xml:space="preserve">2.1.1 Bedömning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Den inlämnade beskrivningen av arbetssättet (punkt 2.0.2)  kommer att ligga till grund för bedömningen av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detta utvärderingskriterium. Betyget sätts efter en helhetsbedömning efter en tregradig skala enligt följande: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- Utmärkt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>- Godkänd/Bra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- Ofullständig (vid ofullständig eller bristfällig beskrivning av referensuppdragen)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Definition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Vid noll poäng uppräknas jämförelsetalet med 70% av anbudspriset. Full poäng ger ingen procentuell </w:t>
      </w:r>
      <w:r>
        <w:rPr>
          <w:rFonts w:ascii="ArialUnicodeMS" w:hAnsi="ArialUnicodeMS" w:eastAsia="ArialUnicodeMS"/>
          <w:b w:val="0"/>
          <w:i w:val="0"/>
          <w:color w:val="000000"/>
          <w:sz w:val="22"/>
        </w:rPr>
        <w:t xml:space="preserve">uppräkning.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527"/>
        <w:gridCol w:w="3527"/>
        <w:gridCol w:w="3527"/>
      </w:tblGrid>
      <w:tr>
        <w:trPr>
          <w:trHeight w:hRule="exact" w:val="34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4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Poäng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76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Beskrivning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76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Påslag %</w:t>
            </w:r>
          </w:p>
        </w:tc>
      </w:tr>
      <w:tr>
        <w:trPr>
          <w:trHeight w:hRule="exact" w:val="34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4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OFULLSTÄNDIG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76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70,00</w:t>
            </w:r>
          </w:p>
        </w:tc>
      </w:tr>
      <w:tr>
        <w:trPr>
          <w:trHeight w:hRule="exact" w:val="34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4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GODKÄND/BRA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76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35,00</w:t>
            </w:r>
          </w:p>
        </w:tc>
      </w:tr>
      <w:tr>
        <w:trPr>
          <w:trHeight w:hRule="exact" w:val="34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4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76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UTMÄRKT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76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2"/>
              </w:rPr>
              <w:t>0,00</w:t>
            </w:r>
          </w:p>
        </w:tc>
      </w:tr>
    </w:tbl>
    <w:p>
      <w:pPr>
        <w:autoSpaceDN w:val="0"/>
        <w:autoSpaceDE w:val="0"/>
        <w:widowControl/>
        <w:spacing w:line="220" w:lineRule="exact" w:before="8328" w:after="0"/>
        <w:ind w:left="0" w:right="39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327464: 2025-03-18 09:50          5/5</w:t>
      </w:r>
    </w:p>
    <w:sectPr w:rsidR="00FC693F" w:rsidRPr="0006063C" w:rsidSect="00034616">
      <w:pgSz w:w="11900" w:h="16840"/>
      <w:pgMar w:top="150" w:right="320" w:bottom="276" w:left="10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