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entury Gothic" w:hAnsi="Century Gothic"/>
          <w:b/>
          <w:color w:val="A53C08"/>
          <w:sz w:val="19"/>
        </w:rPr>
        <w:t>OUTLOOK PRODUCTIVITY SUITE // STRATEGIC PRODUCT ROADMAP</w:t>
      </w:r>
    </w:p>
    <w:p>
      <w:pPr>
        <w:spacing w:before="0" w:after="80"/>
      </w:pPr>
      <w:r>
        <w:rPr>
          <w:rFonts w:ascii="Century Gothic" w:hAnsi="Century Gothic"/>
          <w:b/>
          <w:color w:val="7A2904"/>
          <w:sz w:val="48"/>
        </w:rPr>
        <w:t>Portal Feature Expansion &amp; Innovation Guide</w:t>
      </w:r>
    </w:p>
    <w:p>
      <w:pPr>
        <w:spacing w:after="320"/>
      </w:pPr>
      <w:r>
        <w:rPr>
          <w:rFonts w:ascii="Century Gothic" w:hAnsi="Century Gothic"/>
          <w:color w:val="787D82"/>
          <w:sz w:val="24"/>
        </w:rPr>
        <w:t>High-Impact Capabilities, Microsoft 365 Integrations, and Executive Productivity Tools to Enhance the Portal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FBF8F5"/>
            <w:tcMar>
              <w:top w:w="80" w:type="dxa"/>
              <w:bottom w:w="80" w:type="dxa"/>
              <w:left w:w="100" w:type="dxa"/>
              <w:right w:w="100" w:type="dxa"/>
            </w:tcMar>
          </w:tcPr>
          <w:p>
            <w:r>
              <w:rPr>
                <w:rFonts w:ascii="Century Gothic" w:hAnsi="Century Gothic"/>
                <w:b/>
                <w:color w:val="787D82"/>
                <w:sz w:val="16"/>
              </w:rPr>
              <w:t>DOCUMENT VERSION</w:t>
            </w:r>
          </w:p>
        </w:tc>
        <w:tc>
          <w:tcPr>
            <w:tcW w:type="dxa" w:w="2304"/>
            <w:shd w:fill="FBF8F5"/>
            <w:tcMar>
              <w:top w:w="80" w:type="dxa"/>
              <w:bottom w:w="80" w:type="dxa"/>
              <w:left w:w="100" w:type="dxa"/>
              <w:right w:w="100" w:type="dxa"/>
            </w:tcMar>
          </w:tcPr>
          <w:p>
            <w:r>
              <w:rPr>
                <w:rFonts w:ascii="Century Gothic" w:hAnsi="Century Gothic"/>
                <w:b/>
                <w:color w:val="787D82"/>
                <w:sz w:val="16"/>
              </w:rPr>
              <w:t>STATUS</w:t>
            </w:r>
          </w:p>
        </w:tc>
        <w:tc>
          <w:tcPr>
            <w:tcW w:type="dxa" w:w="2304"/>
            <w:shd w:fill="FBF8F5"/>
            <w:tcMar>
              <w:top w:w="80" w:type="dxa"/>
              <w:bottom w:w="80" w:type="dxa"/>
              <w:left w:w="100" w:type="dxa"/>
              <w:right w:w="100" w:type="dxa"/>
            </w:tcMar>
          </w:tcPr>
          <w:p>
            <w:r>
              <w:rPr>
                <w:rFonts w:ascii="Century Gothic" w:hAnsi="Century Gothic"/>
                <w:b/>
                <w:color w:val="787D82"/>
                <w:sz w:val="16"/>
              </w:rPr>
              <w:t>TARGET INTEGRATION</w:t>
            </w:r>
          </w:p>
        </w:tc>
        <w:tc>
          <w:tcPr>
            <w:tcW w:type="dxa" w:w="2448"/>
            <w:shd w:fill="FBF8F5"/>
            <w:tcMar>
              <w:top w:w="80" w:type="dxa"/>
              <w:bottom w:w="80" w:type="dxa"/>
              <w:left w:w="100" w:type="dxa"/>
              <w:right w:w="100" w:type="dxa"/>
            </w:tcMar>
          </w:tcPr>
          <w:p>
            <w:r>
              <w:rPr>
                <w:rFonts w:ascii="Century Gothic" w:hAnsi="Century Gothic"/>
                <w:b/>
                <w:color w:val="787D82"/>
                <w:sz w:val="16"/>
              </w:rPr>
              <w:t>CORE AESTHETIC</w:t>
            </w:r>
          </w:p>
        </w:tc>
      </w:tr>
      <w:tr>
        <w:tc>
          <w:tcPr>
            <w:tcW w:type="dxa" w:w="2304"/>
            <w:shd w:fill="FFFFFF"/>
            <w:tcMar>
              <w:top w:w="80" w:type="dxa"/>
              <w:bottom w:w="80" w:type="dxa"/>
              <w:left w:w="100" w:type="dxa"/>
              <w:right w:w="100" w:type="dxa"/>
            </w:tcMar>
          </w:tcPr>
          <w:p>
            <w:r>
              <w:rPr>
                <w:rFonts w:ascii="Century Gothic" w:hAnsi="Century Gothic"/>
                <w:b/>
                <w:color w:val="33373B"/>
                <w:sz w:val="17"/>
              </w:rPr>
              <w:t>1.1.0</w:t>
            </w:r>
          </w:p>
        </w:tc>
        <w:tc>
          <w:tcPr>
            <w:tcW w:type="dxa" w:w="2304"/>
            <w:shd w:fill="FFFFFF"/>
            <w:tcMar>
              <w:top w:w="80" w:type="dxa"/>
              <w:bottom w:w="80" w:type="dxa"/>
              <w:left w:w="100" w:type="dxa"/>
              <w:right w:w="100" w:type="dxa"/>
            </w:tcMar>
          </w:tcPr>
          <w:p>
            <w:r>
              <w:rPr>
                <w:rFonts w:ascii="Century Gothic" w:hAnsi="Century Gothic"/>
                <w:b/>
                <w:color w:val="33373B"/>
                <w:sz w:val="17"/>
              </w:rPr>
              <w:t>Strategic Recommendation</w:t>
            </w:r>
          </w:p>
        </w:tc>
        <w:tc>
          <w:tcPr>
            <w:tcW w:type="dxa" w:w="2304"/>
            <w:shd w:fill="FFFFFF"/>
            <w:tcMar>
              <w:top w:w="80" w:type="dxa"/>
              <w:bottom w:w="80" w:type="dxa"/>
              <w:left w:w="100" w:type="dxa"/>
              <w:right w:w="100" w:type="dxa"/>
            </w:tcMar>
          </w:tcPr>
          <w:p>
            <w:r>
              <w:rPr>
                <w:rFonts w:ascii="Century Gothic" w:hAnsi="Century Gothic"/>
                <w:b/>
                <w:color w:val="33373B"/>
                <w:sz w:val="17"/>
              </w:rPr>
              <w:t>Microsoft Graph API v1.0</w:t>
            </w:r>
          </w:p>
        </w:tc>
        <w:tc>
          <w:tcPr>
            <w:tcW w:type="dxa" w:w="2448"/>
            <w:shd w:fill="FFFFFF"/>
            <w:tcMar>
              <w:top w:w="80" w:type="dxa"/>
              <w:bottom w:w="80" w:type="dxa"/>
              <w:left w:w="100" w:type="dxa"/>
              <w:right w:w="100" w:type="dxa"/>
            </w:tcMar>
          </w:tcPr>
          <w:p>
            <w:r>
              <w:rPr>
                <w:rFonts w:ascii="Century Gothic" w:hAnsi="Century Gothic"/>
                <w:b/>
                <w:color w:val="33373B"/>
                <w:sz w:val="17"/>
              </w:rPr>
              <w:t>Century Gothic / Orange Minimalist</w:t>
            </w:r>
          </w:p>
        </w:tc>
      </w:tr>
    </w:tbl>
    <w:p>
      <w:pPr>
        <w:spacing w:after="240"/>
      </w:pPr>
    </w:p>
    <w:p>
      <w:pPr>
        <w:keepNext/>
        <w:spacing w:before="400" w:after="120"/>
      </w:pPr>
      <w:r>
        <w:rPr>
          <w:rFonts w:ascii="Century Gothic" w:hAnsi="Century Gothic"/>
          <w:b/>
          <w:color w:val="A53C08"/>
          <w:sz w:val="32"/>
        </w:rPr>
        <w:t>1. Executive Summary &amp; Expansion Philosophy</w:t>
      </w:r>
    </w:p>
    <w:p>
      <w:pPr>
        <w:spacing w:after="160"/>
      </w:pPr>
      <w:r>
        <w:t>The current Outlook Productivity Suite (OPS) establishes an architectural, ultra-clean foundation for managing Pending Tasks and Aligned Strategic Objectives synced directly from Microsoft Outlook. As the portal matures, additional features can be introduced to elevate it from a focused task dashboard into an unmatched executive command center—while rigorously upholding your design principles: universal sharp geometry, zero visual fluff, zero emojis, zero status dots, and Century Gothic typography.</w:t>
      </w:r>
    </w:p>
    <w:tbl>
      <w:tblPr>
        <w:tblW w:type="auto" w:w="0"/>
        <w:jc w:val="center"/>
        <w:tblLayout w:type="fixed"/>
        <w:tblLook w:firstColumn="1" w:firstRow="1" w:lastColumn="0" w:lastRow="0" w:noHBand="0" w:noVBand="1" w:val="04A0"/>
      </w:tblPr>
      <w:tblGrid>
        <w:gridCol w:w="9360"/>
      </w:tblGrid>
      <w:tr>
        <w:tc>
          <w:tcPr>
            <w:tcW w:type="dxa" w:w="9360"/>
            <w:shd w:fill="FBF8F5"/>
            <w:tcMar>
              <w:top w:w="160" w:type="dxa"/>
              <w:bottom w:w="160" w:type="dxa"/>
              <w:left w:w="200" w:type="dxa"/>
              <w:right w:w="200" w:type="dxa"/>
            </w:tcMar>
            <w:tcBorders>
              <w:top w:val="none"/>
              <w:left w:val="single" w:sz="24" w:space="0" w:color="A53C08"/>
              <w:bottom w:val="none"/>
              <w:right w:val="none"/>
            </w:tcBorders>
          </w:tcPr>
          <w:p>
            <w:pPr>
              <w:spacing w:after="60"/>
            </w:pPr>
            <w:r>
              <w:rPr>
                <w:rFonts w:ascii="Century Gothic" w:hAnsi="Century Gothic"/>
                <w:b/>
                <w:color w:val="A53C08"/>
                <w:sz w:val="20"/>
              </w:rPr>
              <w:t>EXPANSION DIRECTIVE: HIGH SIGNAL, ZERO NOISE</w:t>
            </w:r>
          </w:p>
          <w:p>
            <w:pPr>
              <w:spacing w:after="0"/>
            </w:pPr>
            <w:r>
              <w:rPr>
                <w:rFonts w:ascii="Century Gothic" w:hAnsi="Century Gothic"/>
                <w:color w:val="33373B"/>
                <w:sz w:val="19"/>
              </w:rPr>
              <w:t>Every new tool added to this portal must reduce cognitive load rather than increase it. Features must leverage Microsoft Graph API intelligence in the background to automatically organize, summarize, and schedule work—presenting you with crisp, decisive actions rather than cluttered screens.</w:t>
            </w:r>
          </w:p>
        </w:tc>
      </w:tr>
    </w:tbl>
    <w:p>
      <w:pPr>
        <w:spacing w:after="80"/>
      </w:pPr>
    </w:p>
    <w:p>
      <w:pPr>
        <w:keepNext/>
        <w:spacing w:before="400" w:after="120"/>
      </w:pPr>
      <w:r>
        <w:rPr>
          <w:rFonts w:ascii="Century Gothic" w:hAnsi="Century Gothic"/>
          <w:b/>
          <w:color w:val="A53C08"/>
          <w:sz w:val="32"/>
        </w:rPr>
        <w:t>2. AI-Powered Email Triage &amp; Thread Intelligence</w:t>
      </w:r>
    </w:p>
    <w:p>
      <w:pPr>
        <w:spacing w:after="120"/>
      </w:pPr>
      <w:r>
        <w:t>Instead of just listing flagged emails, the portal can harness natural language processing (via Microsoft Graph or secure LLM endpoints) to perform proactive cognitive labor on your incoming communication:</w:t>
      </w:r>
    </w:p>
    <w:p>
      <w:pPr>
        <w:keepNext/>
        <w:spacing w:before="280" w:after="80"/>
      </w:pPr>
      <w:r>
        <w:rPr>
          <w:rFonts w:ascii="Century Gothic" w:hAnsi="Century Gothic"/>
          <w:b/>
          <w:color w:val="7A2904"/>
          <w:sz w:val="26"/>
        </w:rPr>
        <w:t>• Automated Action Item Extraction</w:t>
      </w:r>
    </w:p>
    <w:p>
      <w:pPr>
        <w:spacing w:after="120"/>
      </w:pPr>
      <w:r>
        <w:t>When a high-priority email arrives or is flagged, AI analyzes the message body and extracts concrete deliverables (e.g., 'Submit quarterly audit response by Thursday 17:00'). It automatically drafts a pending task card with the counterparty name, context snippet, and proposed deadline.</w:t>
      </w:r>
    </w:p>
    <w:p>
      <w:pPr>
        <w:keepNext/>
        <w:spacing w:before="280" w:after="80"/>
      </w:pPr>
      <w:r>
        <w:rPr>
          <w:rFonts w:ascii="Century Gothic" w:hAnsi="Century Gothic"/>
          <w:b/>
          <w:color w:val="7A2904"/>
          <w:sz w:val="26"/>
        </w:rPr>
        <w:t>• One-Paragraph Thread Summarization</w:t>
      </w:r>
    </w:p>
    <w:p>
      <w:pPr>
        <w:spacing w:after="120"/>
      </w:pPr>
      <w:r>
        <w:t>Long email threads involving multiple stakeholders are summarized into 2 to 3 concise, bulleted sentences visible inside an inspection side-sheet, eliminating the need to read through endless reply chains.</w:t>
      </w:r>
    </w:p>
    <w:p>
      <w:pPr>
        <w:keepNext/>
        <w:spacing w:before="280" w:after="80"/>
      </w:pPr>
      <w:r>
        <w:rPr>
          <w:rFonts w:ascii="Century Gothic" w:hAnsi="Century Gothic"/>
          <w:b/>
          <w:color w:val="7A2904"/>
          <w:sz w:val="26"/>
        </w:rPr>
        <w:t>• Executive Sentiment &amp; Urgency Radar</w:t>
      </w:r>
    </w:p>
    <w:p>
      <w:pPr>
        <w:spacing w:after="120"/>
      </w:pPr>
      <w:r>
        <w:t>Algorithmic detection of urgency signals (e.g., legal notices, escalations, board queries, contractual deadlines). Items requiring immediate personal intervention are automatically prioritized at the top of your Pending queue without adding colored dots or flashing badges.</w:t>
      </w:r>
    </w:p>
    <w:p>
      <w:pPr>
        <w:keepNext/>
        <w:spacing w:before="280" w:after="80"/>
      </w:pPr>
      <w:r>
        <w:rPr>
          <w:rFonts w:ascii="Century Gothic" w:hAnsi="Century Gothic"/>
          <w:b/>
          <w:color w:val="7A2904"/>
          <w:sz w:val="26"/>
        </w:rPr>
        <w:t>• One-Click Canned Responses (Graph SendMail)</w:t>
      </w:r>
    </w:p>
    <w:p>
      <w:pPr>
        <w:spacing w:after="120"/>
      </w:pPr>
      <w:r>
        <w:t>Execute rapid triage directly from the portal: 'Acknowledged, reviewing today', 'Approved as submitted', or 'Deferring to next week'. Sends authenticated replies through your Outlook account without opening the bulky Outlook desktop app.</w:t>
      </w:r>
    </w:p>
    <w:p>
      <w:pPr>
        <w:keepNext/>
        <w:spacing w:before="400" w:after="120"/>
      </w:pPr>
      <w:r>
        <w:rPr>
          <w:rFonts w:ascii="Century Gothic" w:hAnsi="Century Gothic"/>
          <w:b/>
          <w:color w:val="A53C08"/>
          <w:sz w:val="32"/>
        </w:rPr>
        <w:t>3. Calendar Synchronization &amp; Automated Time-Blocking</w:t>
      </w:r>
    </w:p>
    <w:p>
      <w:pPr>
        <w:spacing w:after="120"/>
      </w:pPr>
      <w:r>
        <w:t>Bridging task triage directly with your Outlook Calendar transforms your schedule from a passive appointment viewer into an active execution engine:</w:t>
      </w:r>
    </w:p>
    <w:p>
      <w:pPr>
        <w:keepNext/>
        <w:spacing w:before="280" w:after="80"/>
      </w:pPr>
      <w:r>
        <w:rPr>
          <w:rFonts w:ascii="Century Gothic" w:hAnsi="Century Gothic"/>
          <w:b/>
          <w:color w:val="7A2904"/>
          <w:sz w:val="26"/>
        </w:rPr>
        <w:t>• Smart 'Focus Time' Auto-Blocking</w:t>
      </w:r>
    </w:p>
    <w:p>
      <w:pPr>
        <w:spacing w:after="120"/>
      </w:pPr>
      <w:r>
        <w:t>When you move a task to 'Aligned', the portal can inspect your Outlook Calendar for open gaps and automatically book a dedicated 45-minute or 90-minute 'Focus Work: [Task Name]' calendar hold, protecting your time from meeting encroachment.</w:t>
      </w:r>
    </w:p>
    <w:p>
      <w:pPr>
        <w:keepNext/>
        <w:spacing w:before="280" w:after="80"/>
      </w:pPr>
      <w:r>
        <w:rPr>
          <w:rFonts w:ascii="Century Gothic" w:hAnsi="Century Gothic"/>
          <w:b/>
          <w:color w:val="7A2904"/>
          <w:sz w:val="26"/>
        </w:rPr>
        <w:t>• Meeting Preparation Dossier</w:t>
      </w:r>
    </w:p>
    <w:p>
      <w:pPr>
        <w:spacing w:after="120"/>
      </w:pPr>
      <w:r>
        <w:t>For any upcoming calendar event today, the portal automatically attaches relevant flagged emails, previous meeting action points, and shared OneDrive files into a single pre-meeting briefing drawer 15 minutes before the start time.</w:t>
      </w:r>
    </w:p>
    <w:p>
      <w:pPr>
        <w:keepNext/>
        <w:spacing w:before="280" w:after="80"/>
      </w:pPr>
      <w:r>
        <w:rPr>
          <w:rFonts w:ascii="Century Gothic" w:hAnsi="Century Gothic"/>
          <w:b/>
          <w:color w:val="7A2904"/>
          <w:sz w:val="26"/>
        </w:rPr>
        <w:t>• Buffer Time Defense &amp; Conflict Resolution</w:t>
      </w:r>
    </w:p>
    <w:p>
      <w:pPr>
        <w:spacing w:after="120"/>
      </w:pPr>
      <w:r>
        <w:t>Detect back-to-back meeting fatigue. The system automatically inserts 10-minute focus buffers between consecutive calendar invites and suggests alternate open meeting slots using Microsoft Graph free/busy lookups.</w:t>
      </w:r>
    </w:p>
    <w:p>
      <w:pPr>
        <w:keepNext/>
        <w:spacing w:before="280" w:after="80"/>
      </w:pPr>
      <w:r>
        <w:rPr>
          <w:rFonts w:ascii="Century Gothic" w:hAnsi="Century Gothic"/>
          <w:b/>
          <w:color w:val="7A2904"/>
          <w:sz w:val="26"/>
        </w:rPr>
        <w:t>• Daily Meeting Load vs Focus Ratio</w:t>
      </w:r>
    </w:p>
    <w:p>
      <w:pPr>
        <w:spacing w:after="120"/>
      </w:pPr>
      <w:r>
        <w:t>A minimal numeric metric showing how much of your workday is committed to meetings vs execution (e.g., '62% Meetings // 38% Focus Time'), helping you guard deep work blocks.</w:t>
      </w:r>
    </w:p>
    <w:p>
      <w:pPr>
        <w:keepNext/>
        <w:spacing w:before="400" w:after="120"/>
      </w:pPr>
      <w:r>
        <w:rPr>
          <w:rFonts w:ascii="Century Gothic" w:hAnsi="Century Gothic"/>
          <w:b/>
          <w:color w:val="A53C08"/>
          <w:sz w:val="32"/>
        </w:rPr>
        <w:t>4. Deeper Microsoft 365 Ecosystem Integrations</w:t>
      </w:r>
    </w:p>
    <w:p>
      <w:pPr>
        <w:spacing w:after="120"/>
      </w:pPr>
      <w:r>
        <w:t>Expand beyond Outlook Mail to aggregate the full suite of Microsoft 365 productivity tools into your unified command center:</w:t>
      </w:r>
    </w:p>
    <w:p>
      <w:pPr>
        <w:keepNext/>
        <w:spacing w:before="280" w:after="80"/>
      </w:pPr>
      <w:r>
        <w:rPr>
          <w:rFonts w:ascii="Century Gothic" w:hAnsi="Century Gothic"/>
          <w:b/>
          <w:color w:val="7A2904"/>
          <w:sz w:val="26"/>
        </w:rPr>
        <w:t>• Microsoft Teams @Mentions &amp; Action Items</w:t>
      </w:r>
    </w:p>
    <w:p>
      <w:pPr>
        <w:spacing w:after="120"/>
      </w:pPr>
      <w:r>
        <w:t>Import chats and channel posts where you are explicitly @mentioned or assigned an action into your Pending triage queue, unifying fragmented communication across Teams and Outlook.</w:t>
      </w:r>
    </w:p>
    <w:p>
      <w:pPr>
        <w:keepNext/>
        <w:spacing w:before="280" w:after="80"/>
      </w:pPr>
      <w:r>
        <w:rPr>
          <w:rFonts w:ascii="Century Gothic" w:hAnsi="Century Gothic"/>
          <w:b/>
          <w:color w:val="7A2904"/>
          <w:sz w:val="26"/>
        </w:rPr>
        <w:t>• OneNote &amp; Microsoft Loop Linking</w:t>
      </w:r>
    </w:p>
    <w:p>
      <w:pPr>
        <w:spacing w:after="120"/>
      </w:pPr>
      <w:r>
        <w:t>Directly associate an Aligned Task with a shared OneNote meeting notebook or live Microsoft Loop workspace, providing instant access to collaborative notes without leaving the portal.</w:t>
      </w:r>
    </w:p>
    <w:p>
      <w:pPr>
        <w:keepNext/>
        <w:spacing w:before="280" w:after="80"/>
      </w:pPr>
      <w:r>
        <w:rPr>
          <w:rFonts w:ascii="Century Gothic" w:hAnsi="Century Gothic"/>
          <w:b/>
          <w:color w:val="7A2904"/>
          <w:sz w:val="26"/>
        </w:rPr>
        <w:t>• OneDrive / SharePoint Key Attachment Shelf</w:t>
      </w:r>
    </w:p>
    <w:p>
      <w:pPr>
        <w:spacing w:after="120"/>
      </w:pPr>
      <w:r>
        <w:t>A dedicated minimal shelf listing critical documents (PDFs, spreadsheets, slide decks) attached to your flagged emails and upcoming calendar appointments, accessible with single-click previews.</w:t>
      </w:r>
    </w:p>
    <w:p>
      <w:pPr>
        <w:keepNext/>
        <w:spacing w:before="280" w:after="80"/>
      </w:pPr>
      <w:r>
        <w:rPr>
          <w:rFonts w:ascii="Century Gothic" w:hAnsi="Century Gothic"/>
          <w:b/>
          <w:color w:val="7A2904"/>
          <w:sz w:val="26"/>
        </w:rPr>
        <w:t>• Microsoft Planner &amp; To Do Team Synchronization</w:t>
      </w:r>
    </w:p>
    <w:p>
      <w:pPr>
        <w:spacing w:after="120"/>
      </w:pPr>
      <w:r>
        <w:t>Bidirectional sync with team Planner boards. Tasks assigned to you by project managers or colleagues automatically appear in your Aligned workspace categorized under their parent initiative.</w:t>
      </w:r>
    </w:p>
    <w:p>
      <w:pPr>
        <w:keepNext/>
        <w:spacing w:before="400" w:after="120"/>
      </w:pPr>
      <w:r>
        <w:rPr>
          <w:rFonts w:ascii="Century Gothic" w:hAnsi="Century Gothic"/>
          <w:b/>
          <w:color w:val="A53C08"/>
          <w:sz w:val="32"/>
        </w:rPr>
        <w:t>5. Executive Decision &amp; Workflow Enhancements</w:t>
      </w:r>
    </w:p>
    <w:p>
      <w:pPr>
        <w:keepNext/>
        <w:spacing w:before="280" w:after="80"/>
      </w:pPr>
      <w:r>
        <w:rPr>
          <w:rFonts w:ascii="Century Gothic" w:hAnsi="Century Gothic"/>
          <w:b/>
          <w:color w:val="7A2904"/>
          <w:sz w:val="26"/>
        </w:rPr>
        <w:t>• Automated Morning Briefing &amp; End-of-Day Digest</w:t>
      </w:r>
    </w:p>
    <w:p>
      <w:pPr>
        <w:spacing w:after="120"/>
      </w:pPr>
      <w:r>
        <w:t>At 08:30 each morning, the portal generates a clean 1-screen briefing: today's non-negotiable commitments, top 3 pending emails, and calendar schedule. At 17:30, it delivers an End-of-Day Clearance summary showing items triaged, meetings completed, and items deferred to tomorrow.</w:t>
      </w:r>
    </w:p>
    <w:p>
      <w:pPr>
        <w:keepNext/>
        <w:spacing w:before="280" w:after="80"/>
      </w:pPr>
      <w:r>
        <w:rPr>
          <w:rFonts w:ascii="Century Gothic" w:hAnsi="Century Gothic"/>
          <w:b/>
          <w:color w:val="7A2904"/>
          <w:sz w:val="26"/>
        </w:rPr>
        <w:t>• Delegation &amp; Assignment Gateway</w:t>
      </w:r>
    </w:p>
    <w:p>
      <w:pPr>
        <w:spacing w:after="120"/>
      </w:pPr>
      <w:r>
        <w:t>Delegate pending emails or tasks to team members or executive assistants with one click. The portal can draft an automated forwarding note in Outlook and track the item under a 'Delegated' status until resolved.</w:t>
      </w:r>
    </w:p>
    <w:p>
      <w:pPr>
        <w:keepNext/>
        <w:spacing w:before="280" w:after="80"/>
      </w:pPr>
      <w:r>
        <w:rPr>
          <w:rFonts w:ascii="Century Gothic" w:hAnsi="Century Gothic"/>
          <w:b/>
          <w:color w:val="7A2904"/>
          <w:sz w:val="26"/>
        </w:rPr>
        <w:t>• VIP Client &amp; Executive Watchlist</w:t>
      </w:r>
    </w:p>
    <w:p>
      <w:pPr>
        <w:spacing w:after="120"/>
      </w:pPr>
      <w:r>
        <w:t>Define critical email addresses (e.g., Board Members, Key Clients, Chief Executive). Messages from these individuals bypass standard filters and surface immediately in your primary focus queue.</w:t>
      </w:r>
    </w:p>
    <w:p>
      <w:pPr>
        <w:keepNext/>
        <w:spacing w:before="280" w:after="80"/>
      </w:pPr>
      <w:r>
        <w:rPr>
          <w:rFonts w:ascii="Century Gothic" w:hAnsi="Century Gothic"/>
          <w:b/>
          <w:color w:val="7A2904"/>
          <w:sz w:val="26"/>
        </w:rPr>
        <w:t>• Task Effort Tagging &amp; Workload Forecasting</w:t>
      </w:r>
    </w:p>
    <w:p>
      <w:pPr>
        <w:spacing w:after="120"/>
      </w:pPr>
      <w:r>
        <w:t>Assign lightweight effort estimates (15 min, 30 min, 1 hour). The portal calculates the total hours needed to achieve 'Inbox Zero', preventing overcommitment on busy calendar days.</w:t>
      </w:r>
    </w:p>
    <w:p>
      <w:pPr>
        <w:keepNext/>
        <w:spacing w:before="400" w:after="120"/>
      </w:pPr>
      <w:r>
        <w:rPr>
          <w:rFonts w:ascii="Century Gothic" w:hAnsi="Century Gothic"/>
          <w:b/>
          <w:color w:val="A53C08"/>
          <w:sz w:val="32"/>
        </w:rPr>
        <w:t>6. Implementation Prioritization Matrix</w:t>
      </w:r>
    </w:p>
    <w:p>
      <w:pPr>
        <w:spacing w:after="160"/>
      </w:pPr>
      <w:r>
        <w:t>To maximize return on investment while preserving interface simplicity, the proposed features are mapped by business value and implementation complexity: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600"/>
            <w:shd w:fill="A53C08"/>
            <w:tcMar>
              <w:top w:w="120" w:type="dxa"/>
              <w:bottom w:w="120" w:type="dxa"/>
              <w:left w:w="120" w:type="dxa"/>
              <w:right w:w="120" w:type="dxa"/>
            </w:tcMar>
          </w:tcPr>
          <w:p>
            <w:r>
              <w:rPr>
                <w:rFonts w:ascii="Century Gothic" w:hAnsi="Century Gothic"/>
                <w:b/>
                <w:color w:val="FFFFFF"/>
                <w:sz w:val="17"/>
              </w:rPr>
              <w:t>FEATURE CAPABILITY</w:t>
            </w:r>
          </w:p>
        </w:tc>
        <w:tc>
          <w:tcPr>
            <w:tcW w:type="dxa" w:w="1872"/>
            <w:shd w:fill="A53C08"/>
            <w:tcMar>
              <w:top w:w="120" w:type="dxa"/>
              <w:bottom w:w="120" w:type="dxa"/>
              <w:left w:w="120" w:type="dxa"/>
              <w:right w:w="120" w:type="dxa"/>
            </w:tcMar>
          </w:tcPr>
          <w:p>
            <w:r>
              <w:rPr>
                <w:rFonts w:ascii="Century Gothic" w:hAnsi="Century Gothic"/>
                <w:b/>
                <w:color w:val="FFFFFF"/>
                <w:sz w:val="17"/>
              </w:rPr>
              <w:t>STRATEGIC VALUE</w:t>
            </w:r>
          </w:p>
        </w:tc>
        <w:tc>
          <w:tcPr>
            <w:tcW w:type="dxa" w:w="1872"/>
            <w:shd w:fill="A53C08"/>
            <w:tcMar>
              <w:top w:w="120" w:type="dxa"/>
              <w:bottom w:w="120" w:type="dxa"/>
              <w:left w:w="120" w:type="dxa"/>
              <w:right w:w="120" w:type="dxa"/>
            </w:tcMar>
          </w:tcPr>
          <w:p>
            <w:r>
              <w:rPr>
                <w:rFonts w:ascii="Century Gothic" w:hAnsi="Century Gothic"/>
                <w:b/>
                <w:color w:val="FFFFFF"/>
                <w:sz w:val="17"/>
              </w:rPr>
              <w:t>TECHNICAL EFFORT</w:t>
            </w:r>
          </w:p>
        </w:tc>
        <w:tc>
          <w:tcPr>
            <w:tcW w:type="dxa" w:w="2016"/>
            <w:shd w:fill="A53C08"/>
            <w:tcMar>
              <w:top w:w="120" w:type="dxa"/>
              <w:bottom w:w="120" w:type="dxa"/>
              <w:left w:w="120" w:type="dxa"/>
              <w:right w:w="120" w:type="dxa"/>
            </w:tcMar>
          </w:tcPr>
          <w:p>
            <w:r>
              <w:rPr>
                <w:rFonts w:ascii="Century Gothic" w:hAnsi="Century Gothic"/>
                <w:b/>
                <w:color w:val="FFFFFF"/>
                <w:sz w:val="17"/>
              </w:rPr>
              <w:t>RECOMMENDED PHASE</w:t>
            </w:r>
          </w:p>
        </w:tc>
      </w:tr>
      <w:tr>
        <w:tc>
          <w:tcPr>
            <w:tcW w:type="dxa" w:w="3600"/>
            <w:shd w:fill="FFFFFF"/>
            <w:tcMar>
              <w:top w:w="90" w:type="dxa"/>
              <w:bottom w:w="90" w:type="dxa"/>
              <w:left w:w="120" w:type="dxa"/>
              <w:right w:w="120" w:type="dxa"/>
            </w:tcMar>
          </w:tcPr>
          <w:p>
            <w:r>
              <w:rPr>
                <w:rFonts w:ascii="Century Gothic" w:hAnsi="Century Gothic"/>
                <w:b/>
                <w:color w:val="33373B"/>
                <w:sz w:val="17"/>
              </w:rPr>
              <w:t>AI Action Item Extraction from Flagged Mail</w:t>
            </w:r>
          </w:p>
        </w:tc>
        <w:tc>
          <w:tcPr>
            <w:tcW w:type="dxa" w:w="1872"/>
            <w:shd w:fill="FFFFFF"/>
            <w:tcMar>
              <w:top w:w="90" w:type="dxa"/>
              <w:bottom w:w="90" w:type="dxa"/>
              <w:left w:w="120" w:type="dxa"/>
              <w:right w:w="120" w:type="dxa"/>
            </w:tcMar>
          </w:tcPr>
          <w:p>
            <w:r>
              <w:rPr>
                <w:rFonts w:ascii="Century Gothic" w:hAnsi="Century Gothic"/>
                <w:color w:val="A53C08"/>
                <w:sz w:val="17"/>
              </w:rPr>
              <w:t>Very High</w:t>
            </w:r>
          </w:p>
        </w:tc>
        <w:tc>
          <w:tcPr>
            <w:tcW w:type="dxa" w:w="1872"/>
            <w:shd w:fill="FFFFFF"/>
            <w:tcMar>
              <w:top w:w="90" w:type="dxa"/>
              <w:bottom w:w="90" w:type="dxa"/>
              <w:left w:w="120" w:type="dxa"/>
              <w:right w:w="120" w:type="dxa"/>
            </w:tcMar>
          </w:tcPr>
          <w:p>
            <w:r>
              <w:rPr>
                <w:rFonts w:ascii="Century Gothic" w:hAnsi="Century Gothic"/>
                <w:color w:val="33373B"/>
                <w:sz w:val="17"/>
              </w:rPr>
              <w:t>Medium (Graph API + LLM)</w:t>
            </w:r>
          </w:p>
        </w:tc>
        <w:tc>
          <w:tcPr>
            <w:tcW w:type="dxa" w:w="2016"/>
            <w:shd w:fill="FFFFFF"/>
            <w:tcMar>
              <w:top w:w="90" w:type="dxa"/>
              <w:bottom w:w="90" w:type="dxa"/>
              <w:left w:w="120" w:type="dxa"/>
              <w:right w:w="120" w:type="dxa"/>
            </w:tcMar>
          </w:tcPr>
          <w:p>
            <w:r>
              <w:rPr>
                <w:rFonts w:ascii="Century Gothic" w:hAnsi="Century Gothic"/>
                <w:color w:val="33373B"/>
                <w:sz w:val="17"/>
              </w:rPr>
              <w:t>Phase 2 (Immediate)</w:t>
            </w:r>
          </w:p>
        </w:tc>
      </w:tr>
      <w:tr>
        <w:tc>
          <w:tcPr>
            <w:tcW w:type="dxa" w:w="3600"/>
            <w:shd w:fill="FBF8F5"/>
            <w:tcMar>
              <w:top w:w="90" w:type="dxa"/>
              <w:bottom w:w="90" w:type="dxa"/>
              <w:left w:w="120" w:type="dxa"/>
              <w:right w:w="120" w:type="dxa"/>
            </w:tcMar>
          </w:tcPr>
          <w:p>
            <w:r>
              <w:rPr>
                <w:rFonts w:ascii="Century Gothic" w:hAnsi="Century Gothic"/>
                <w:b/>
                <w:color w:val="33373B"/>
                <w:sz w:val="17"/>
              </w:rPr>
              <w:t>Smart Calendar Focus Time Auto-Blocking</w:t>
            </w:r>
          </w:p>
        </w:tc>
        <w:tc>
          <w:tcPr>
            <w:tcW w:type="dxa" w:w="1872"/>
            <w:shd w:fill="FBF8F5"/>
            <w:tcMar>
              <w:top w:w="90" w:type="dxa"/>
              <w:bottom w:w="90" w:type="dxa"/>
              <w:left w:w="120" w:type="dxa"/>
              <w:right w:w="120" w:type="dxa"/>
            </w:tcMar>
          </w:tcPr>
          <w:p>
            <w:r>
              <w:rPr>
                <w:rFonts w:ascii="Century Gothic" w:hAnsi="Century Gothic"/>
                <w:color w:val="A53C08"/>
                <w:sz w:val="17"/>
              </w:rPr>
              <w:t>High</w:t>
            </w:r>
          </w:p>
        </w:tc>
        <w:tc>
          <w:tcPr>
            <w:tcW w:type="dxa" w:w="1872"/>
            <w:shd w:fill="FBF8F5"/>
            <w:tcMar>
              <w:top w:w="90" w:type="dxa"/>
              <w:bottom w:w="90" w:type="dxa"/>
              <w:left w:w="120" w:type="dxa"/>
              <w:right w:w="120" w:type="dxa"/>
            </w:tcMar>
          </w:tcPr>
          <w:p>
            <w:r>
              <w:rPr>
                <w:rFonts w:ascii="Century Gothic" w:hAnsi="Century Gothic"/>
                <w:color w:val="33373B"/>
                <w:sz w:val="17"/>
              </w:rPr>
              <w:t>Low (Graph Calendars API)</w:t>
            </w:r>
          </w:p>
        </w:tc>
        <w:tc>
          <w:tcPr>
            <w:tcW w:type="dxa" w:w="2016"/>
            <w:shd w:fill="FBF8F5"/>
            <w:tcMar>
              <w:top w:w="90" w:type="dxa"/>
              <w:bottom w:w="90" w:type="dxa"/>
              <w:left w:w="120" w:type="dxa"/>
              <w:right w:w="120" w:type="dxa"/>
            </w:tcMar>
          </w:tcPr>
          <w:p>
            <w:r>
              <w:rPr>
                <w:rFonts w:ascii="Century Gothic" w:hAnsi="Century Gothic"/>
                <w:color w:val="33373B"/>
                <w:sz w:val="17"/>
              </w:rPr>
              <w:t>Phase 2 (Immediate)</w:t>
            </w:r>
          </w:p>
        </w:tc>
      </w:tr>
      <w:tr>
        <w:tc>
          <w:tcPr>
            <w:tcW w:type="dxa" w:w="3600"/>
            <w:shd w:fill="FFFFFF"/>
            <w:tcMar>
              <w:top w:w="90" w:type="dxa"/>
              <w:bottom w:w="90" w:type="dxa"/>
              <w:left w:w="120" w:type="dxa"/>
              <w:right w:w="120" w:type="dxa"/>
            </w:tcMar>
          </w:tcPr>
          <w:p>
            <w:r>
              <w:rPr>
                <w:rFonts w:ascii="Century Gothic" w:hAnsi="Century Gothic"/>
                <w:b/>
                <w:color w:val="33373B"/>
                <w:sz w:val="17"/>
              </w:rPr>
              <w:t>Daily Morning &amp; EOD Executive Digests</w:t>
            </w:r>
          </w:p>
        </w:tc>
        <w:tc>
          <w:tcPr>
            <w:tcW w:type="dxa" w:w="1872"/>
            <w:shd w:fill="FFFFFF"/>
            <w:tcMar>
              <w:top w:w="90" w:type="dxa"/>
              <w:bottom w:w="90" w:type="dxa"/>
              <w:left w:w="120" w:type="dxa"/>
              <w:right w:w="120" w:type="dxa"/>
            </w:tcMar>
          </w:tcPr>
          <w:p>
            <w:r>
              <w:rPr>
                <w:rFonts w:ascii="Century Gothic" w:hAnsi="Century Gothic"/>
                <w:color w:val="A53C08"/>
                <w:sz w:val="17"/>
              </w:rPr>
              <w:t>High</w:t>
            </w:r>
          </w:p>
        </w:tc>
        <w:tc>
          <w:tcPr>
            <w:tcW w:type="dxa" w:w="1872"/>
            <w:shd w:fill="FFFFFF"/>
            <w:tcMar>
              <w:top w:w="90" w:type="dxa"/>
              <w:bottom w:w="90" w:type="dxa"/>
              <w:left w:w="120" w:type="dxa"/>
              <w:right w:w="120" w:type="dxa"/>
            </w:tcMar>
          </w:tcPr>
          <w:p>
            <w:r>
              <w:rPr>
                <w:rFonts w:ascii="Century Gothic" w:hAnsi="Century Gothic"/>
                <w:color w:val="33373B"/>
                <w:sz w:val="17"/>
              </w:rPr>
              <w:t>Low (Client-Side State)</w:t>
            </w:r>
          </w:p>
        </w:tc>
        <w:tc>
          <w:tcPr>
            <w:tcW w:type="dxa" w:w="2016"/>
            <w:shd w:fill="FFFFFF"/>
            <w:tcMar>
              <w:top w:w="90" w:type="dxa"/>
              <w:bottom w:w="90" w:type="dxa"/>
              <w:left w:w="120" w:type="dxa"/>
              <w:right w:w="120" w:type="dxa"/>
            </w:tcMar>
          </w:tcPr>
          <w:p>
            <w:r>
              <w:rPr>
                <w:rFonts w:ascii="Century Gothic" w:hAnsi="Century Gothic"/>
                <w:color w:val="33373B"/>
                <w:sz w:val="17"/>
              </w:rPr>
              <w:t>Phase 2 (Immediate)</w:t>
            </w:r>
          </w:p>
        </w:tc>
      </w:tr>
      <w:tr>
        <w:tc>
          <w:tcPr>
            <w:tcW w:type="dxa" w:w="3600"/>
            <w:shd w:fill="FBF8F5"/>
            <w:tcMar>
              <w:top w:w="90" w:type="dxa"/>
              <w:bottom w:w="90" w:type="dxa"/>
              <w:left w:w="120" w:type="dxa"/>
              <w:right w:w="120" w:type="dxa"/>
            </w:tcMar>
          </w:tcPr>
          <w:p>
            <w:r>
              <w:rPr>
                <w:rFonts w:ascii="Century Gothic" w:hAnsi="Century Gothic"/>
                <w:b/>
                <w:color w:val="33373B"/>
                <w:sz w:val="17"/>
              </w:rPr>
              <w:t>One-Click Canned Responses (SendMail)</w:t>
            </w:r>
          </w:p>
        </w:tc>
        <w:tc>
          <w:tcPr>
            <w:tcW w:type="dxa" w:w="1872"/>
            <w:shd w:fill="FBF8F5"/>
            <w:tcMar>
              <w:top w:w="90" w:type="dxa"/>
              <w:bottom w:w="90" w:type="dxa"/>
              <w:left w:w="120" w:type="dxa"/>
              <w:right w:w="120" w:type="dxa"/>
            </w:tcMar>
          </w:tcPr>
          <w:p>
            <w:r>
              <w:rPr>
                <w:rFonts w:ascii="Century Gothic" w:hAnsi="Century Gothic"/>
                <w:color w:val="A53C08"/>
                <w:sz w:val="17"/>
              </w:rPr>
              <w:t>High</w:t>
            </w:r>
          </w:p>
        </w:tc>
        <w:tc>
          <w:tcPr>
            <w:tcW w:type="dxa" w:w="1872"/>
            <w:shd w:fill="FBF8F5"/>
            <w:tcMar>
              <w:top w:w="90" w:type="dxa"/>
              <w:bottom w:w="90" w:type="dxa"/>
              <w:left w:w="120" w:type="dxa"/>
              <w:right w:w="120" w:type="dxa"/>
            </w:tcMar>
          </w:tcPr>
          <w:p>
            <w:r>
              <w:rPr>
                <w:rFonts w:ascii="Century Gothic" w:hAnsi="Century Gothic"/>
                <w:color w:val="33373B"/>
                <w:sz w:val="17"/>
              </w:rPr>
              <w:t>Low (Graph Mail.Send)</w:t>
            </w:r>
          </w:p>
        </w:tc>
        <w:tc>
          <w:tcPr>
            <w:tcW w:type="dxa" w:w="2016"/>
            <w:shd w:fill="FBF8F5"/>
            <w:tcMar>
              <w:top w:w="90" w:type="dxa"/>
              <w:bottom w:w="90" w:type="dxa"/>
              <w:left w:w="120" w:type="dxa"/>
              <w:right w:w="120" w:type="dxa"/>
            </w:tcMar>
          </w:tcPr>
          <w:p>
            <w:r>
              <w:rPr>
                <w:rFonts w:ascii="Century Gothic" w:hAnsi="Century Gothic"/>
                <w:color w:val="33373B"/>
                <w:sz w:val="17"/>
              </w:rPr>
              <w:t>Phase 2 (Immediate)</w:t>
            </w:r>
          </w:p>
        </w:tc>
      </w:tr>
      <w:tr>
        <w:tc>
          <w:tcPr>
            <w:tcW w:type="dxa" w:w="3600"/>
            <w:shd w:fill="FFFFFF"/>
            <w:tcMar>
              <w:top w:w="90" w:type="dxa"/>
              <w:bottom w:w="90" w:type="dxa"/>
              <w:left w:w="120" w:type="dxa"/>
              <w:right w:w="120" w:type="dxa"/>
            </w:tcMar>
          </w:tcPr>
          <w:p>
            <w:r>
              <w:rPr>
                <w:rFonts w:ascii="Century Gothic" w:hAnsi="Century Gothic"/>
                <w:b/>
                <w:color w:val="33373B"/>
                <w:sz w:val="17"/>
              </w:rPr>
              <w:t>Microsoft Teams @Mention Sync</w:t>
            </w:r>
          </w:p>
        </w:tc>
        <w:tc>
          <w:tcPr>
            <w:tcW w:type="dxa" w:w="1872"/>
            <w:shd w:fill="FFFFFF"/>
            <w:tcMar>
              <w:top w:w="90" w:type="dxa"/>
              <w:bottom w:w="90" w:type="dxa"/>
              <w:left w:w="120" w:type="dxa"/>
              <w:right w:w="120" w:type="dxa"/>
            </w:tcMar>
          </w:tcPr>
          <w:p>
            <w:r>
              <w:rPr>
                <w:rFonts w:ascii="Century Gothic" w:hAnsi="Century Gothic"/>
                <w:color w:val="A53C08"/>
                <w:sz w:val="17"/>
              </w:rPr>
              <w:t>High</w:t>
            </w:r>
          </w:p>
        </w:tc>
        <w:tc>
          <w:tcPr>
            <w:tcW w:type="dxa" w:w="1872"/>
            <w:shd w:fill="FFFFFF"/>
            <w:tcMar>
              <w:top w:w="90" w:type="dxa"/>
              <w:bottom w:w="90" w:type="dxa"/>
              <w:left w:w="120" w:type="dxa"/>
              <w:right w:w="120" w:type="dxa"/>
            </w:tcMar>
          </w:tcPr>
          <w:p>
            <w:r>
              <w:rPr>
                <w:rFonts w:ascii="Century Gothic" w:hAnsi="Century Gothic"/>
                <w:color w:val="33373B"/>
                <w:sz w:val="17"/>
              </w:rPr>
              <w:t>Medium (Graph Teams API)</w:t>
            </w:r>
          </w:p>
        </w:tc>
        <w:tc>
          <w:tcPr>
            <w:tcW w:type="dxa" w:w="2016"/>
            <w:shd w:fill="FFFFFF"/>
            <w:tcMar>
              <w:top w:w="90" w:type="dxa"/>
              <w:bottom w:w="90" w:type="dxa"/>
              <w:left w:w="120" w:type="dxa"/>
              <w:right w:w="120" w:type="dxa"/>
            </w:tcMar>
          </w:tcPr>
          <w:p>
            <w:r>
              <w:rPr>
                <w:rFonts w:ascii="Century Gothic" w:hAnsi="Century Gothic"/>
                <w:color w:val="33373B"/>
                <w:sz w:val="17"/>
              </w:rPr>
              <w:t>Phase 3 (Next Sprint)</w:t>
            </w:r>
          </w:p>
        </w:tc>
      </w:tr>
      <w:tr>
        <w:tc>
          <w:tcPr>
            <w:tcW w:type="dxa" w:w="3600"/>
            <w:shd w:fill="FBF8F5"/>
            <w:tcMar>
              <w:top w:w="90" w:type="dxa"/>
              <w:bottom w:w="90" w:type="dxa"/>
              <w:left w:w="120" w:type="dxa"/>
              <w:right w:w="120" w:type="dxa"/>
            </w:tcMar>
          </w:tcPr>
          <w:p>
            <w:r>
              <w:rPr>
                <w:rFonts w:ascii="Century Gothic" w:hAnsi="Century Gothic"/>
                <w:b/>
                <w:color w:val="33373B"/>
                <w:sz w:val="17"/>
              </w:rPr>
              <w:t>VIP Executive &amp; Client Watchlist Rules</w:t>
            </w:r>
          </w:p>
        </w:tc>
        <w:tc>
          <w:tcPr>
            <w:tcW w:type="dxa" w:w="1872"/>
            <w:shd w:fill="FBF8F5"/>
            <w:tcMar>
              <w:top w:w="90" w:type="dxa"/>
              <w:bottom w:w="90" w:type="dxa"/>
              <w:left w:w="120" w:type="dxa"/>
              <w:right w:w="120" w:type="dxa"/>
            </w:tcMar>
          </w:tcPr>
          <w:p>
            <w:r>
              <w:rPr>
                <w:rFonts w:ascii="Century Gothic" w:hAnsi="Century Gothic"/>
                <w:color w:val="33373B"/>
                <w:sz w:val="17"/>
              </w:rPr>
              <w:t>Medium</w:t>
            </w:r>
          </w:p>
        </w:tc>
        <w:tc>
          <w:tcPr>
            <w:tcW w:type="dxa" w:w="1872"/>
            <w:shd w:fill="FBF8F5"/>
            <w:tcMar>
              <w:top w:w="90" w:type="dxa"/>
              <w:bottom w:w="90" w:type="dxa"/>
              <w:left w:w="120" w:type="dxa"/>
              <w:right w:w="120" w:type="dxa"/>
            </w:tcMar>
          </w:tcPr>
          <w:p>
            <w:r>
              <w:rPr>
                <w:rFonts w:ascii="Century Gothic" w:hAnsi="Century Gothic"/>
                <w:color w:val="33373B"/>
                <w:sz w:val="17"/>
              </w:rPr>
              <w:t>Low (Filter Engine)</w:t>
            </w:r>
          </w:p>
        </w:tc>
        <w:tc>
          <w:tcPr>
            <w:tcW w:type="dxa" w:w="2016"/>
            <w:shd w:fill="FBF8F5"/>
            <w:tcMar>
              <w:top w:w="90" w:type="dxa"/>
              <w:bottom w:w="90" w:type="dxa"/>
              <w:left w:w="120" w:type="dxa"/>
              <w:right w:w="120" w:type="dxa"/>
            </w:tcMar>
          </w:tcPr>
          <w:p>
            <w:r>
              <w:rPr>
                <w:rFonts w:ascii="Century Gothic" w:hAnsi="Century Gothic"/>
                <w:color w:val="33373B"/>
                <w:sz w:val="17"/>
              </w:rPr>
              <w:t>Phase 3 (Next Sprint)</w:t>
            </w:r>
          </w:p>
        </w:tc>
      </w:tr>
      <w:tr>
        <w:tc>
          <w:tcPr>
            <w:tcW w:type="dxa" w:w="3600"/>
            <w:shd w:fill="FFFFFF"/>
            <w:tcMar>
              <w:top w:w="90" w:type="dxa"/>
              <w:bottom w:w="90" w:type="dxa"/>
              <w:left w:w="120" w:type="dxa"/>
              <w:right w:w="120" w:type="dxa"/>
            </w:tcMar>
          </w:tcPr>
          <w:p>
            <w:r>
              <w:rPr>
                <w:rFonts w:ascii="Century Gothic" w:hAnsi="Century Gothic"/>
                <w:b/>
                <w:color w:val="33373B"/>
                <w:sz w:val="17"/>
              </w:rPr>
              <w:t>Meeting Prep Dossier &amp; Attachment Shelf</w:t>
            </w:r>
          </w:p>
        </w:tc>
        <w:tc>
          <w:tcPr>
            <w:tcW w:type="dxa" w:w="1872"/>
            <w:shd w:fill="FFFFFF"/>
            <w:tcMar>
              <w:top w:w="90" w:type="dxa"/>
              <w:bottom w:w="90" w:type="dxa"/>
              <w:left w:w="120" w:type="dxa"/>
              <w:right w:w="120" w:type="dxa"/>
            </w:tcMar>
          </w:tcPr>
          <w:p>
            <w:r>
              <w:rPr>
                <w:rFonts w:ascii="Century Gothic" w:hAnsi="Century Gothic"/>
                <w:color w:val="A53C08"/>
                <w:sz w:val="17"/>
              </w:rPr>
              <w:t>High</w:t>
            </w:r>
          </w:p>
        </w:tc>
        <w:tc>
          <w:tcPr>
            <w:tcW w:type="dxa" w:w="1872"/>
            <w:shd w:fill="FFFFFF"/>
            <w:tcMar>
              <w:top w:w="90" w:type="dxa"/>
              <w:bottom w:w="90" w:type="dxa"/>
              <w:left w:w="120" w:type="dxa"/>
              <w:right w:w="120" w:type="dxa"/>
            </w:tcMar>
          </w:tcPr>
          <w:p>
            <w:r>
              <w:rPr>
                <w:rFonts w:ascii="Century Gothic" w:hAnsi="Century Gothic"/>
                <w:color w:val="33373B"/>
                <w:sz w:val="17"/>
              </w:rPr>
              <w:t>Medium (Graph Drive/Mail)</w:t>
            </w:r>
          </w:p>
        </w:tc>
        <w:tc>
          <w:tcPr>
            <w:tcW w:type="dxa" w:w="2016"/>
            <w:shd w:fill="FFFFFF"/>
            <w:tcMar>
              <w:top w:w="90" w:type="dxa"/>
              <w:bottom w:w="90" w:type="dxa"/>
              <w:left w:w="120" w:type="dxa"/>
              <w:right w:w="120" w:type="dxa"/>
            </w:tcMar>
          </w:tcPr>
          <w:p>
            <w:r>
              <w:rPr>
                <w:rFonts w:ascii="Century Gothic" w:hAnsi="Century Gothic"/>
                <w:color w:val="33373B"/>
                <w:sz w:val="17"/>
              </w:rPr>
              <w:t>Phase 3 (Next Sprint)</w:t>
            </w:r>
          </w:p>
        </w:tc>
      </w:tr>
      <w:tr>
        <w:tc>
          <w:tcPr>
            <w:tcW w:type="dxa" w:w="3600"/>
            <w:shd w:fill="FBF8F5"/>
            <w:tcMar>
              <w:top w:w="90" w:type="dxa"/>
              <w:bottom w:w="90" w:type="dxa"/>
              <w:left w:w="120" w:type="dxa"/>
              <w:right w:w="120" w:type="dxa"/>
            </w:tcMar>
          </w:tcPr>
          <w:p>
            <w:r>
              <w:rPr>
                <w:rFonts w:ascii="Century Gothic" w:hAnsi="Century Gothic"/>
                <w:b/>
                <w:color w:val="33373B"/>
                <w:sz w:val="17"/>
              </w:rPr>
              <w:t>Task Delegation &amp; Assignment Gateway</w:t>
            </w:r>
          </w:p>
        </w:tc>
        <w:tc>
          <w:tcPr>
            <w:tcW w:type="dxa" w:w="1872"/>
            <w:shd w:fill="FBF8F5"/>
            <w:tcMar>
              <w:top w:w="90" w:type="dxa"/>
              <w:bottom w:w="90" w:type="dxa"/>
              <w:left w:w="120" w:type="dxa"/>
              <w:right w:w="120" w:type="dxa"/>
            </w:tcMar>
          </w:tcPr>
          <w:p>
            <w:r>
              <w:rPr>
                <w:rFonts w:ascii="Century Gothic" w:hAnsi="Century Gothic"/>
                <w:color w:val="33373B"/>
                <w:sz w:val="17"/>
              </w:rPr>
              <w:t>Medium</w:t>
            </w:r>
          </w:p>
        </w:tc>
        <w:tc>
          <w:tcPr>
            <w:tcW w:type="dxa" w:w="1872"/>
            <w:shd w:fill="FBF8F5"/>
            <w:tcMar>
              <w:top w:w="90" w:type="dxa"/>
              <w:bottom w:w="90" w:type="dxa"/>
              <w:left w:w="120" w:type="dxa"/>
              <w:right w:w="120" w:type="dxa"/>
            </w:tcMar>
          </w:tcPr>
          <w:p>
            <w:r>
              <w:rPr>
                <w:rFonts w:ascii="Century Gothic" w:hAnsi="Century Gothic"/>
                <w:color w:val="33373B"/>
                <w:sz w:val="17"/>
              </w:rPr>
              <w:t>Medium (Outlook Routing)</w:t>
            </w:r>
          </w:p>
        </w:tc>
        <w:tc>
          <w:tcPr>
            <w:tcW w:type="dxa" w:w="2016"/>
            <w:shd w:fill="FBF8F5"/>
            <w:tcMar>
              <w:top w:w="90" w:type="dxa"/>
              <w:bottom w:w="90" w:type="dxa"/>
              <w:left w:w="120" w:type="dxa"/>
              <w:right w:w="120" w:type="dxa"/>
            </w:tcMar>
          </w:tcPr>
          <w:p>
            <w:r>
              <w:rPr>
                <w:rFonts w:ascii="Century Gothic" w:hAnsi="Century Gothic"/>
                <w:color w:val="33373B"/>
                <w:sz w:val="17"/>
              </w:rPr>
              <w:t>Phase 4 (Future)</w:t>
            </w:r>
          </w:p>
        </w:tc>
      </w:tr>
    </w:tbl>
    <w:p>
      <w:pPr>
        <w:spacing w:after="280"/>
      </w:pPr>
    </w:p>
    <w:p>
      <w:pPr>
        <w:keepNext/>
        <w:spacing w:before="400" w:after="120"/>
      </w:pPr>
      <w:r>
        <w:rPr>
          <w:rFonts w:ascii="Century Gothic" w:hAnsi="Century Gothic"/>
          <w:b/>
          <w:color w:val="A53C08"/>
          <w:sz w:val="32"/>
        </w:rPr>
        <w:t>7. Recommended Next Steps</w:t>
      </w:r>
    </w:p>
    <w:p>
      <w:pPr>
        <w:spacing w:after="80"/>
      </w:pPr>
      <w:r>
        <w:rPr>
          <w:rFonts w:ascii="Century Gothic" w:hAnsi="Century Gothic"/>
          <w:b/>
          <w:color w:val="A53C08"/>
        </w:rPr>
        <w:t xml:space="preserve">Step 1: Select Phase 2 Features — </w:t>
      </w:r>
      <w:r>
        <w:rPr>
          <w:rFonts w:ascii="Century Gothic" w:hAnsi="Century Gothic"/>
          <w:color w:val="33373B"/>
        </w:rPr>
        <w:t>Review the table above and choose which 2 to 3 additions would deliver the most immediate personal value (e.g., Focus Time Auto-Blocking or Daily Executive Digests).</w:t>
      </w:r>
    </w:p>
    <w:p>
      <w:pPr>
        <w:spacing w:after="80"/>
      </w:pPr>
      <w:r>
        <w:rPr>
          <w:rFonts w:ascii="Century Gothic" w:hAnsi="Century Gothic"/>
          <w:b/>
          <w:color w:val="A53C08"/>
        </w:rPr>
        <w:t xml:space="preserve">Step 2: Extend Microsoft Graph Scopes — </w:t>
      </w:r>
      <w:r>
        <w:rPr>
          <w:rFonts w:ascii="Century Gothic" w:hAnsi="Century Gothic"/>
          <w:color w:val="33373B"/>
        </w:rPr>
        <w:t>Ensure required delegated scopes (`Calendars.ReadWrite`, `Mail.Send`, `ChatMessage.Read`) are included in your Azure Entra App Registration.</w:t>
      </w:r>
    </w:p>
    <w:p>
      <w:pPr>
        <w:spacing w:after="80"/>
      </w:pPr>
      <w:r>
        <w:rPr>
          <w:rFonts w:ascii="Century Gothic" w:hAnsi="Century Gothic"/>
          <w:b/>
          <w:color w:val="A53C08"/>
        </w:rPr>
        <w:t xml:space="preserve">Step 3: Maintain Architectural Restraint — </w:t>
      </w:r>
      <w:r>
        <w:rPr>
          <w:rFonts w:ascii="Century Gothic" w:hAnsi="Century Gothic"/>
          <w:color w:val="33373B"/>
        </w:rPr>
        <w:t>Implement new modules within dedicated sub-views or clean slide-in drawers, strictly preserving zero-emoji, zero-glow, and Century Gothic aesthetics.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color w:val="3337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