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9A227" w:sz="12" w:space="4"/>
        </w:pBdr>
        <w:spacing w:after="300" w:before="200"/>
      </w:pPr>
      <w:r>
        <w:rPr>
          <w:b/>
          <w:bCs/>
          <w:color w:val="1B3A6B"/>
          <w:sz w:val="34"/>
          <w:szCs w:val="34"/>
        </w:rPr>
        <w:t xml:space="preserve">Chapitre 1 : Cadre général du projet</w:t>
      </w:r>
    </w:p>
    <w:p>
      <w:pPr>
        <w:pStyle w:val="Heading2"/>
        <w:spacing w:after="160" w:before="320"/>
      </w:pPr>
      <w:r>
        <w:rPr>
          <w:b/>
          <w:bCs/>
          <w:color w:val="1B3A6B"/>
          <w:sz w:val="26"/>
          <w:szCs w:val="26"/>
        </w:rPr>
        <w:t xml:space="preserve">Introduction</w:t>
      </w:r>
    </w:p>
    <w:p>
      <w:pPr>
        <w:spacing w:after="160" w:line="300"/>
        <w:jc w:val="both"/>
      </w:pPr>
      <w:r>
        <w:rPr>
          <w:b w:val="false"/>
          <w:bCs w:val="false"/>
          <w:i w:val="false"/>
          <w:iCs w:val="false"/>
          <w:sz w:val="22"/>
          <w:szCs w:val="22"/>
        </w:rPr>
        <w:t xml:space="preserve">Ce premier chapitre pose le cadre général du projet de fin d'études. Il présente dans un premier temps l'organisme d'accueil, la BIAT, avant de détailler le contexte métier, l'analyse et la critique de l'existant, la problématique soulevée et la solution retenue. Il se termine par la présentation et la justification de la méthodologie de gestion de projet adoptée pour mener à bien ce travail.</w:t>
      </w:r>
    </w:p>
    <w:p>
      <w:pPr>
        <w:pStyle w:val="Heading2"/>
        <w:spacing w:after="160" w:before="320"/>
      </w:pPr>
      <w:r>
        <w:rPr>
          <w:b/>
          <w:bCs/>
          <w:color w:val="1B3A6B"/>
          <w:sz w:val="26"/>
          <w:szCs w:val="26"/>
        </w:rPr>
        <w:t xml:space="preserve">I. Présentation de l'organisme d'accueil</w:t>
      </w:r>
    </w:p>
    <w:p>
      <w:pPr>
        <w:spacing w:after="160" w:line="300"/>
        <w:jc w:val="both"/>
      </w:pPr>
      <w:r>
        <w:rPr>
          <w:b w:val="false"/>
          <w:bCs w:val="false"/>
          <w:i w:val="false"/>
          <w:iCs w:val="false"/>
          <w:sz w:val="22"/>
          <w:szCs w:val="22"/>
        </w:rPr>
        <w:t xml:space="preserve">La Banque Internationale Arabe de Tunisie (BIAT) a été fondée en février 1976 par Mansour Moalla, Habib Bourguiba Jr et Mokhtar Fakhfakh, par le regroupement des agences tunisiennes de la Société Marseillaise de Crédit (SMC) et de la British Bank of the Middle East (BBME). Elle est officiellement immatriculée au registre du commerce le 1er avril 1976 et installe son siège avenue Habib Bourguiba, au cœur de Tunis.</w:t>
      </w:r>
    </w:p>
    <w:p>
      <w:pPr>
        <w:spacing w:after="160" w:line="300"/>
        <w:jc w:val="both"/>
      </w:pPr>
      <w:r>
        <w:rPr>
          <w:b w:val="false"/>
          <w:bCs w:val="false"/>
          <w:i w:val="false"/>
          <w:iCs w:val="false"/>
          <w:sz w:val="22"/>
          <w:szCs w:val="22"/>
        </w:rPr>
        <w:t xml:space="preserve">Aujourd'hui première banque du pays sur de nombreux indicateurs, la BIAT est une banque universelle qui a développé l'ensemble des métiers bancaires et constitue un groupe financier disposant de filiales actives dans l'assurance, la gestion d'actifs, le capital-investissement et l'intermédiation boursière. Le réseau BIAT compte plus de 200 agences réparties sur l'ensemble des gouvernorats du pays, complétées par plus de 313 distributeurs automatiques et par une offre complète de services de banque à distance.</w:t>
      </w:r>
    </w:p>
    <w:p>
      <w:pPr>
        <w:spacing w:after="160" w:line="300"/>
        <w:jc w:val="both"/>
      </w:pPr>
      <w:r>
        <w:rPr>
          <w:b w:val="false"/>
          <w:bCs w:val="false"/>
          <w:i w:val="false"/>
          <w:iCs w:val="false"/>
          <w:sz w:val="22"/>
          <w:szCs w:val="22"/>
        </w:rPr>
        <w:t xml:space="preserve">Cotée à la Bourse de Tunis, la BIAT demeure une entreprise à capitaux tunisiens ; le Groupe Mabrouk, entré au capital en 2005, en est l'actionnaire de référence avec 40 % des parts depuis 2007. Sur le plan sociétal, la banque a créé en 2014 la Fondation BIAT pour la jeunesse, dédiée à des projets d'éducation et de culture au bénéfice des jeunes Tunisiens.</w:t>
      </w:r>
    </w:p>
    <w:p>
      <w:pPr>
        <w:spacing w:after="160" w:line="300"/>
        <w:jc w:val="both"/>
      </w:pPr>
      <w:r>
        <w:rPr>
          <w:b w:val="false"/>
          <w:bCs w:val="false"/>
          <w:i w:val="false"/>
          <w:iCs w:val="false"/>
          <w:sz w:val="22"/>
          <w:szCs w:val="22"/>
        </w:rPr>
        <w:t xml:space="preserve">Sur le plan financier, l'exercice 2025 confirme la position de premier plan de la banque : un produit net bancaire (PNB) de 1 594,8 millions de dinars (en progression de 7,8 % par rapport aux 1 479,7 MD de 2024), un total de bilan de 26,6 milliards de dinars, un résultat net de 385 millions de dinars, des dépôts de la clientèle de 22 291 millions de dinars et un encours de crédits de 13 045,4 millions de dinars injectés dans l'économie. Le groupe s'appuie par ailleurs sur des filiales performantes : BIAT Assurances (chiffre d'affaires de 318 MD en 2025, dont 188 MD réalisés en bancassurance), BIAT Capital Risque (905,1 MDT de fonds gérés) et Tunisie Valeurs, leader du marché boursier tunisien avec 29,3 % de part de marché.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B3A6B" w:val="clear"/>
            <w:tcMar>
              <w:top w:type="dxa" w:w="80"/>
              <w:left w:type="dxa" w:w="100"/>
              <w:bottom w:type="dxa" w:w="80"/>
              <w:right w:type="dxa" w:w="100"/>
            </w:tcMar>
            <w:vAlign w:val="center"/>
          </w:tcPr>
          <w:p>
            <w:r>
              <w:rPr>
                <w:b/>
                <w:bCs/>
                <w:color w:val="FFFFFF"/>
                <w:sz w:val="20"/>
                <w:szCs w:val="20"/>
              </w:rPr>
              <w:t xml:space="preserve">Élément</w:t>
            </w:r>
          </w:p>
        </w:tc>
        <w:tc>
          <w:tcPr>
            <w:tcW w:type="dxa" w:w="6000"/>
            <w:shd w:fill="1B3A6B" w:val="clear"/>
            <w:tcMar>
              <w:top w:type="dxa" w:w="80"/>
              <w:left w:type="dxa" w:w="100"/>
              <w:bottom w:type="dxa" w:w="80"/>
              <w:right w:type="dxa" w:w="100"/>
            </w:tcMar>
            <w:vAlign w:val="center"/>
          </w:tcPr>
          <w:p>
            <w:r>
              <w:rPr>
                <w:b/>
                <w:bCs/>
                <w:color w:val="FFFFFF"/>
                <w:sz w:val="20"/>
                <w:szCs w:val="20"/>
              </w:rPr>
              <w:t xml:space="preserve">Description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Raison sociale</w:t>
            </w:r>
          </w:p>
        </w:tc>
        <w:tc>
          <w:tcPr>
            <w:tcW w:type="dxa" w:w="6000"/>
            <w:tcMar>
              <w:top w:type="dxa" w:w="80"/>
              <w:left w:type="dxa" w:w="100"/>
              <w:bottom w:type="dxa" w:w="80"/>
              <w:right w:type="dxa" w:w="100"/>
            </w:tcMar>
            <w:vAlign w:val="center"/>
          </w:tcPr>
          <w:p>
            <w:r>
              <w:rPr>
                <w:b w:val="false"/>
                <w:bCs w:val="false"/>
                <w:color w:val="000000"/>
                <w:sz w:val="20"/>
                <w:szCs w:val="20"/>
              </w:rPr>
              <w:t xml:space="preserve">Banque Internationale Arabe de Tunisie (BIAT)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Forme juridique</w:t>
            </w:r>
          </w:p>
        </w:tc>
        <w:tc>
          <w:tcPr>
            <w:tcW w:type="dxa" w:w="6000"/>
            <w:tcMar>
              <w:top w:type="dxa" w:w="80"/>
              <w:left w:type="dxa" w:w="100"/>
              <w:bottom w:type="dxa" w:w="80"/>
              <w:right w:type="dxa" w:w="100"/>
            </w:tcMar>
            <w:vAlign w:val="center"/>
          </w:tcPr>
          <w:p>
            <w:r>
              <w:rPr>
                <w:b w:val="false"/>
                <w:bCs w:val="false"/>
                <w:color w:val="000000"/>
                <w:sz w:val="20"/>
                <w:szCs w:val="20"/>
              </w:rPr>
              <w:t xml:space="preserve">Société anonyme, banque universelle de droit tunisien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Date de création</w:t>
            </w:r>
          </w:p>
        </w:tc>
        <w:tc>
          <w:tcPr>
            <w:tcW w:type="dxa" w:w="6000"/>
            <w:tcMar>
              <w:top w:type="dxa" w:w="80"/>
              <w:left w:type="dxa" w:w="100"/>
              <w:bottom w:type="dxa" w:w="80"/>
              <w:right w:type="dxa" w:w="100"/>
            </w:tcMar>
            <w:vAlign w:val="center"/>
          </w:tcPr>
          <w:p>
            <w:r>
              <w:rPr>
                <w:b w:val="false"/>
                <w:bCs w:val="false"/>
                <w:color w:val="000000"/>
                <w:sz w:val="20"/>
                <w:szCs w:val="20"/>
              </w:rPr>
              <w:t xml:space="preserve">Février 1976 — immatriculation le 1er avril 1976</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Fondateurs</w:t>
            </w:r>
          </w:p>
        </w:tc>
        <w:tc>
          <w:tcPr>
            <w:tcW w:type="dxa" w:w="6000"/>
            <w:tcMar>
              <w:top w:type="dxa" w:w="80"/>
              <w:left w:type="dxa" w:w="100"/>
              <w:bottom w:type="dxa" w:w="80"/>
              <w:right w:type="dxa" w:w="100"/>
            </w:tcMar>
            <w:vAlign w:val="center"/>
          </w:tcPr>
          <w:p>
            <w:r>
              <w:rPr>
                <w:b w:val="false"/>
                <w:bCs w:val="false"/>
                <w:color w:val="000000"/>
                <w:sz w:val="20"/>
                <w:szCs w:val="20"/>
              </w:rPr>
              <w:t xml:space="preserve">Mansour Moalla, Habib Bourguiba Jr, Mokhtar Fakhfakh</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Siège social</w:t>
            </w:r>
          </w:p>
        </w:tc>
        <w:tc>
          <w:tcPr>
            <w:tcW w:type="dxa" w:w="6000"/>
            <w:tcMar>
              <w:top w:type="dxa" w:w="80"/>
              <w:left w:type="dxa" w:w="100"/>
              <w:bottom w:type="dxa" w:w="80"/>
              <w:right w:type="dxa" w:w="100"/>
            </w:tcMar>
            <w:vAlign w:val="center"/>
          </w:tcPr>
          <w:p>
            <w:r>
              <w:rPr>
                <w:b w:val="false"/>
                <w:bCs w:val="false"/>
                <w:color w:val="000000"/>
                <w:sz w:val="20"/>
                <w:szCs w:val="20"/>
              </w:rPr>
              <w:t xml:space="preserve">Avenue Habib Bourguiba, Tunis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Réseau</w:t>
            </w:r>
          </w:p>
        </w:tc>
        <w:tc>
          <w:tcPr>
            <w:tcW w:type="dxa" w:w="6000"/>
            <w:tcMar>
              <w:top w:type="dxa" w:w="80"/>
              <w:left w:type="dxa" w:w="100"/>
              <w:bottom w:type="dxa" w:w="80"/>
              <w:right w:type="dxa" w:w="100"/>
            </w:tcMar>
            <w:vAlign w:val="center"/>
          </w:tcPr>
          <w:p>
            <w:r>
              <w:rPr>
                <w:b w:val="false"/>
                <w:bCs w:val="false"/>
                <w:color w:val="000000"/>
                <w:sz w:val="20"/>
                <w:szCs w:val="20"/>
              </w:rPr>
              <w:t xml:space="preserve">Plus de 200 agences et plus de 313 GAB sur tout le territoire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Cotation</w:t>
            </w:r>
          </w:p>
        </w:tc>
        <w:tc>
          <w:tcPr>
            <w:tcW w:type="dxa" w:w="6000"/>
            <w:tcMar>
              <w:top w:type="dxa" w:w="80"/>
              <w:left w:type="dxa" w:w="100"/>
              <w:bottom w:type="dxa" w:w="80"/>
              <w:right w:type="dxa" w:w="100"/>
            </w:tcMar>
            <w:vAlign w:val="center"/>
          </w:tcPr>
          <w:p>
            <w:r>
              <w:rPr>
                <w:b w:val="false"/>
                <w:bCs w:val="false"/>
                <w:color w:val="000000"/>
                <w:sz w:val="20"/>
                <w:szCs w:val="20"/>
              </w:rPr>
              <w:t xml:space="preserve">Bourse des Valeurs Mobilières de Tunis (BVMT)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Actionnaire de référence</w:t>
            </w:r>
          </w:p>
        </w:tc>
        <w:tc>
          <w:tcPr>
            <w:tcW w:type="dxa" w:w="6000"/>
            <w:tcMar>
              <w:top w:type="dxa" w:w="80"/>
              <w:left w:type="dxa" w:w="100"/>
              <w:bottom w:type="dxa" w:w="80"/>
              <w:right w:type="dxa" w:w="100"/>
            </w:tcMar>
            <w:vAlign w:val="center"/>
          </w:tcPr>
          <w:p>
            <w:r>
              <w:rPr>
                <w:b w:val="false"/>
                <w:bCs w:val="false"/>
                <w:color w:val="000000"/>
                <w:sz w:val="20"/>
                <w:szCs w:val="20"/>
              </w:rPr>
              <w:t xml:space="preserve">Groupe Mabrouk (40 % du capital depuis 2007)</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Filiales principales</w:t>
            </w:r>
          </w:p>
        </w:tc>
        <w:tc>
          <w:tcPr>
            <w:tcW w:type="dxa" w:w="6000"/>
            <w:tcMar>
              <w:top w:type="dxa" w:w="80"/>
              <w:left w:type="dxa" w:w="100"/>
              <w:bottom w:type="dxa" w:w="80"/>
              <w:right w:type="dxa" w:w="100"/>
            </w:tcMar>
            <w:vAlign w:val="center"/>
          </w:tcPr>
          <w:p>
            <w:r>
              <w:rPr>
                <w:b w:val="false"/>
                <w:bCs w:val="false"/>
                <w:color w:val="000000"/>
                <w:sz w:val="20"/>
                <w:szCs w:val="20"/>
              </w:rPr>
              <w:t xml:space="preserve">BIAT Assurances, BIAT Capital Risque, Tunisie Valeurs, BIAT Asset Management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PNB 2025</w:t>
            </w:r>
          </w:p>
        </w:tc>
        <w:tc>
          <w:tcPr>
            <w:tcW w:type="dxa" w:w="6000"/>
            <w:tcMar>
              <w:top w:type="dxa" w:w="80"/>
              <w:left w:type="dxa" w:w="100"/>
              <w:bottom w:type="dxa" w:w="80"/>
              <w:right w:type="dxa" w:w="100"/>
            </w:tcMar>
            <w:vAlign w:val="center"/>
          </w:tcPr>
          <w:p>
            <w:r>
              <w:rPr>
                <w:b w:val="false"/>
                <w:bCs w:val="false"/>
                <w:color w:val="000000"/>
                <w:sz w:val="20"/>
                <w:szCs w:val="20"/>
              </w:rPr>
              <w:t xml:space="preserve">1 594,8 MD (+7,8 % vs 2024)</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Résultat net 2025</w:t>
            </w:r>
          </w:p>
        </w:tc>
        <w:tc>
          <w:tcPr>
            <w:tcW w:type="dxa" w:w="6000"/>
            <w:tcMar>
              <w:top w:type="dxa" w:w="80"/>
              <w:left w:type="dxa" w:w="100"/>
              <w:bottom w:type="dxa" w:w="80"/>
              <w:right w:type="dxa" w:w="100"/>
            </w:tcMar>
            <w:vAlign w:val="center"/>
          </w:tcPr>
          <w:p>
            <w:r>
              <w:rPr>
                <w:b w:val="false"/>
                <w:bCs w:val="false"/>
                <w:color w:val="000000"/>
                <w:sz w:val="20"/>
                <w:szCs w:val="20"/>
              </w:rPr>
              <w:t xml:space="preserve">385 MD</w:t>
            </w:r>
          </w:p>
        </w:tc>
      </w:tr>
    </w:tbl>
    <w:p>
      <w:pPr>
        <w:spacing w:after="200"/>
      </w:pPr>
    </w:p>
    <w:p>
      <w:pPr>
        <w:spacing w:after="160" w:line="300"/>
        <w:jc w:val="both"/>
      </w:pPr>
      <w:r>
        <w:rPr>
          <w:b w:val="false"/>
          <w:bCs w:val="false"/>
          <w:i/>
          <w:iCs/>
          <w:sz w:val="22"/>
          <w:szCs w:val="22"/>
        </w:rPr>
        <w:t xml:space="preserve">C'est au sein de cette organisation, et plus particulièrement dans le cadre de l'application de sa politique commerciale de segmentation de la clientèle des particuliers, professionnels, non-résidents et Tunisiens résidents à l'étranger, que s'inscrit le présent projet de fin d'études.</w:t>
      </w:r>
    </w:p>
    <w:p>
      <w:pPr>
        <w:pStyle w:val="Heading2"/>
        <w:spacing w:after="160" w:before="320"/>
      </w:pPr>
      <w:r>
        <w:rPr>
          <w:b/>
          <w:bCs/>
          <w:color w:val="1B3A6B"/>
          <w:sz w:val="26"/>
          <w:szCs w:val="26"/>
        </w:rPr>
        <w:t xml:space="preserve">II. Présentation du projet</w:t>
      </w:r>
    </w:p>
    <w:p>
      <w:pPr>
        <w:pStyle w:val="Heading3"/>
        <w:spacing w:after="120" w:before="240"/>
      </w:pPr>
      <w:r>
        <w:rPr>
          <w:b/>
          <w:bCs/>
          <w:color w:val="2C5282"/>
          <w:sz w:val="23"/>
          <w:szCs w:val="23"/>
        </w:rPr>
        <w:t xml:space="preserve">1. Analyse de l'existant</w:t>
      </w:r>
    </w:p>
    <w:p>
      <w:pPr>
        <w:spacing w:after="160" w:line="300"/>
        <w:jc w:val="both"/>
      </w:pPr>
      <w:r>
        <w:rPr>
          <w:b w:val="false"/>
          <w:bCs w:val="false"/>
          <w:i w:val="false"/>
          <w:iCs w:val="false"/>
          <w:sz w:val="22"/>
          <w:szCs w:val="22"/>
        </w:rPr>
        <w:t xml:space="preserve">La BIAT dispose d'une note interne de référence, la « Note BIAT à l'ensemble du personnel N°2023-06 » du 14/02/2023, qui définit la nouvelle segmentation de la clientèle « PBD » (Particuliers, Professionnels, TRE — Tunisiens Résidents à l'Étranger — et ENR — Étrangers Non-Résidents), les marchés TPME/PME/TPE étant explicitement exclus de son périmètre. Cette note établit, pour chaque marché, une hiérarchie de segments et de sous-segments (par exemple Haut de Gamme, Classe Moyenne, Grand Public pour le marché Particuliers) déterminés à partir de plusieurs critères : l'âge du client, sa profession (avec renvoi à des annexes listant des professions dites « à potentiel » ou « libérales »), ses mouvements mensuels moyens (MMM) et le total de ses avoirs / valeurs représentatives de dépôts (VRD), ces deux derniers critères étant combinés par une logique « OU ».</w:t>
      </w:r>
    </w:p>
    <w:p>
      <w:pPr>
        <w:spacing w:after="160" w:line="300"/>
        <w:jc w:val="both"/>
      </w:pPr>
      <w:r>
        <w:rPr>
          <w:b w:val="false"/>
          <w:bCs w:val="false"/>
          <w:i w:val="false"/>
          <w:iCs w:val="false"/>
          <w:sz w:val="22"/>
          <w:szCs w:val="22"/>
        </w:rPr>
        <w:t xml:space="preserve">En pratique, l'application de cette note reste aujourd'hui un exercice manuel : chaque chargé de clientèle doit lire la note, identifier le tableau de seuils correspondant au marché du client, croiser plusieurs annexes de professions, puis positionner lui-même le client dans le bon segment, sans outil dédié ni vérification automatisée. Aucune application informatique ne centralise à ce jour cette logique de règles.</w:t>
      </w:r>
    </w:p>
    <w:p>
      <w:pPr>
        <w:pStyle w:val="Heading3"/>
        <w:spacing w:after="120" w:before="240"/>
      </w:pPr>
      <w:r>
        <w:rPr>
          <w:b/>
          <w:bCs/>
          <w:color w:val="2C5282"/>
          <w:sz w:val="23"/>
          <w:szCs w:val="23"/>
        </w:rPr>
        <w:t xml:space="preserve">2. Critique de l'existant</w:t>
      </w:r>
    </w:p>
    <w:p>
      <w:pPr>
        <w:spacing w:after="90" w:line="280"/>
        <w:ind w:left="360"/>
      </w:pPr>
      <w:r>
        <w:rPr>
          <w:sz w:val="22"/>
          <w:szCs w:val="22"/>
        </w:rPr>
        <w:t xml:space="preserve">–  Risque d'erreur humaine : la lecture croisée de plusieurs tableaux de seuils et annexes de professions augmente le risque de mauvaise interprétation, en particulier sur les bornes des intervalles (seuils inclusifs ou exclusifs).</w:t>
      </w:r>
    </w:p>
    <w:p>
      <w:pPr>
        <w:spacing w:after="90" w:line="280"/>
        <w:ind w:left="360"/>
      </w:pPr>
      <w:r>
        <w:rPr>
          <w:sz w:val="22"/>
          <w:szCs w:val="22"/>
        </w:rPr>
        <w:t xml:space="preserve">–  Hétérogénéité entre agences et conseillers : en l'absence d'outil commun, deux conseillers peuvent aboutir à des conclusions différentes pour un même profil client.</w:t>
      </w:r>
    </w:p>
    <w:p>
      <w:pPr>
        <w:spacing w:after="90" w:line="280"/>
        <w:ind w:left="360"/>
      </w:pPr>
      <w:r>
        <w:rPr>
          <w:sz w:val="22"/>
          <w:szCs w:val="22"/>
        </w:rPr>
        <w:t xml:space="preserve">–  Absence de traçabilité : rien ne permet de justifier a posteriori pourquoi un client a été affecté à tel segment plutôt qu'à un autre.</w:t>
      </w:r>
    </w:p>
    <w:p>
      <w:pPr>
        <w:spacing w:after="90" w:line="280"/>
        <w:ind w:left="360"/>
      </w:pPr>
      <w:r>
        <w:rPr>
          <w:sz w:val="22"/>
          <w:szCs w:val="22"/>
        </w:rPr>
        <w:t xml:space="preserve">–  Absence de source unique documentée : les zones d'ambiguïté ou de recoupement de la note (par exemple entre plusieurs annexes de professions) ne sont pas consignées, ce qui favorise les interprétations divergentes au fil du temps.</w:t>
      </w:r>
    </w:p>
    <w:p>
      <w:pPr>
        <w:spacing w:after="90" w:line="280"/>
        <w:ind w:left="360"/>
      </w:pPr>
      <w:r>
        <w:rPr>
          <w:sz w:val="22"/>
          <w:szCs w:val="22"/>
        </w:rPr>
        <w:t xml:space="preserve">–  Absence de traitement de masse : il n'existe aucun moyen simple de resegmenter un portefeuille entier de clients en une seule opération.</w:t>
      </w:r>
    </w:p>
    <w:p>
      <w:pPr>
        <w:spacing w:after="90" w:line="280"/>
        <w:ind w:left="360"/>
      </w:pPr>
      <w:r>
        <w:rPr>
          <w:sz w:val="22"/>
          <w:szCs w:val="22"/>
        </w:rPr>
        <w:t xml:space="preserve">–  Temps de traitement : l'application manuelle de la note est chronophage, ce qui limite les contrôles de cohérence réguliers.</w:t>
      </w:r>
    </w:p>
    <w:p>
      <w:pPr>
        <w:spacing w:after="120"/>
      </w:pPr>
    </w:p>
    <w:p>
      <w:pPr>
        <w:pStyle w:val="Heading3"/>
        <w:spacing w:after="120" w:before="240"/>
      </w:pPr>
      <w:r>
        <w:rPr>
          <w:b/>
          <w:bCs/>
          <w:color w:val="2C5282"/>
          <w:sz w:val="23"/>
          <w:szCs w:val="23"/>
        </w:rPr>
        <w:t xml:space="preserve">3. Problématique</w:t>
      </w:r>
    </w:p>
    <w:p>
      <w:pPr>
        <w:spacing w:after="160" w:line="300"/>
        <w:jc w:val="both"/>
      </w:pPr>
      <w:r>
        <w:rPr>
          <w:b w:val="false"/>
          <w:bCs w:val="false"/>
          <w:i w:val="false"/>
          <w:iCs w:val="false"/>
          <w:sz w:val="22"/>
          <w:szCs w:val="22"/>
        </w:rPr>
        <w:t xml:space="preserve">La problématique centrale de ce projet peut être formulée ainsi : comment garantir une segmentation de la clientèle strictement conforme à la Note BIAT 2023-06, homogène entre les agences, traçable et auditable, exploitable aussi bien pour un client isolé que pour un portefeuille entier, tout en restant simple d'utilisation pour des conseillers non-techniques ? Il s'agit en particulier de proposer un outil qui ne se substitue pas au jugement métier mais qui applique fidèlement et de façon reproductible des règles explicites, sans jamais en inventer de nouvelles lorsque la note reste silencieuse ou ambiguë sur un cas particulier.</w:t>
      </w:r>
    </w:p>
    <w:p>
      <w:pPr>
        <w:pStyle w:val="Heading3"/>
        <w:spacing w:after="120" w:before="240"/>
      </w:pPr>
      <w:r>
        <w:rPr>
          <w:b/>
          <w:bCs/>
          <w:color w:val="2C5282"/>
          <w:sz w:val="23"/>
          <w:szCs w:val="23"/>
        </w:rPr>
        <w:t xml:space="preserve">4. Solution proposée</w:t>
      </w:r>
    </w:p>
    <w:p>
      <w:pPr>
        <w:spacing w:after="160" w:line="300"/>
        <w:jc w:val="both"/>
      </w:pPr>
      <w:r>
        <w:rPr>
          <w:b w:val="false"/>
          <w:bCs w:val="false"/>
          <w:i w:val="false"/>
          <w:iCs w:val="false"/>
          <w:sz w:val="22"/>
          <w:szCs w:val="22"/>
        </w:rPr>
        <w:t xml:space="preserve">La solution proposée est une application web développée en Python avec le framework Streamlit, organisée autour d'un moteur de segmentation unique et centralisé. L'ensemble des seuils, conditions d'âge, listes de professions et priorités de règles est transcrit fidèlement depuis la note officielle dans un fichier de configuration unique (config/regles_segmentation.json), qui constitue la seule source de vérité du système. Ce moteur évalue, pour chaque marché, les règles par ordre de priorité et retient la première règle satisfaite, en appliquant systématiquement une logique « OU » entre les critères MMM et VRD, avec une convention de bornes fixe (borne minimale incluse, borne maximale exclue).</w:t>
      </w:r>
    </w:p>
    <w:p>
      <w:pPr>
        <w:spacing w:after="160" w:line="300"/>
        <w:jc w:val="both"/>
      </w:pPr>
      <w:r>
        <w:rPr>
          <w:b w:val="false"/>
          <w:bCs w:val="false"/>
          <w:i w:val="false"/>
          <w:iCs w:val="false"/>
          <w:sz w:val="22"/>
          <w:szCs w:val="22"/>
        </w:rPr>
        <w:t xml:space="preserve">Ce moteur unique est ensuite exploité, sans aucune duplication de logique, par plusieurs fonctionnalités complémentaires : un simulateur de segmentation individuelle, un module d'import en masse de fichiers CSV/Excel avec validation préalable des données, un chatbot expert permettant d'interroger les règles en langage naturel, un tableau de bord de synthèse des segmentations réalisées, ainsi qu'une page de paramétrage permettant de faire évoluer les règles sans modifier le code source. Chaque zone d'ambiguïté rencontrée dans la note officielle est explicitement documentée dans un journal de décisions (« _notes_conflits ») plutôt que tranchée arbitrairement, ce qui garantit la traçabilité et l'auditabilité de l'outil.</w:t>
      </w:r>
    </w:p>
    <w:p>
      <w:pPr>
        <w:pStyle w:val="Heading2"/>
        <w:spacing w:after="160" w:before="320"/>
      </w:pPr>
      <w:r>
        <w:rPr>
          <w:b/>
          <w:bCs/>
          <w:color w:val="1B3A6B"/>
          <w:sz w:val="26"/>
          <w:szCs w:val="26"/>
        </w:rPr>
        <w:t xml:space="preserve">III. Méthodologie de gestion de projet</w:t>
      </w:r>
    </w:p>
    <w:p>
      <w:pPr>
        <w:pStyle w:val="Heading3"/>
        <w:spacing w:after="120" w:before="240"/>
      </w:pPr>
      <w:r>
        <w:rPr>
          <w:b/>
          <w:bCs/>
          <w:color w:val="2C5282"/>
          <w:sz w:val="23"/>
          <w:szCs w:val="23"/>
        </w:rPr>
        <w:t xml:space="preserve">1. Comparaison entre les méthodologies</w:t>
      </w:r>
    </w:p>
    <w:p>
      <w:pPr>
        <w:spacing w:after="160" w:line="300"/>
        <w:jc w:val="both"/>
      </w:pPr>
      <w:r>
        <w:rPr>
          <w:b w:val="false"/>
          <w:bCs w:val="false"/>
          <w:i w:val="false"/>
          <w:iCs w:val="false"/>
          <w:sz w:val="22"/>
          <w:szCs w:val="22"/>
        </w:rPr>
        <w:t xml:space="preserve">Deux grandes familles de méthodologies de gestion de projet ont été envisagées pour ce travail : les méthodologies dites « traditionnelles » (cycle en V / Waterfall) reposant sur une planification séquentielle et exhaustive en amont, et les méthodologies agiles (Scrum, Kanban, XP) reposant sur des itérations courtes et une adaptation continue au fil de l'avancement.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B3A6B" w:val="clear"/>
            <w:tcMar>
              <w:top w:type="dxa" w:w="80"/>
              <w:left w:type="dxa" w:w="100"/>
              <w:bottom w:type="dxa" w:w="80"/>
              <w:right w:type="dxa" w:w="100"/>
            </w:tcMar>
            <w:vAlign w:val="center"/>
          </w:tcPr>
          <w:p>
            <w:r>
              <w:rPr>
                <w:b/>
                <w:bCs/>
                <w:color w:val="FFFFFF"/>
                <w:sz w:val="20"/>
                <w:szCs w:val="20"/>
              </w:rPr>
              <w:t xml:space="preserve">Critère</w:t>
            </w:r>
          </w:p>
        </w:tc>
        <w:tc>
          <w:tcPr>
            <w:tcW w:type="dxa" w:w="3200"/>
            <w:shd w:fill="1B3A6B" w:val="clear"/>
            <w:tcMar>
              <w:top w:type="dxa" w:w="80"/>
              <w:left w:type="dxa" w:w="100"/>
              <w:bottom w:type="dxa" w:w="80"/>
              <w:right w:type="dxa" w:w="100"/>
            </w:tcMar>
            <w:vAlign w:val="center"/>
          </w:tcPr>
          <w:p>
            <w:r>
              <w:rPr>
                <w:b/>
                <w:bCs/>
                <w:color w:val="FFFFFF"/>
                <w:sz w:val="20"/>
                <w:szCs w:val="20"/>
              </w:rPr>
              <w:t xml:space="preserve">Cycle en V / Waterfall</w:t>
            </w:r>
          </w:p>
        </w:tc>
        <w:tc>
          <w:tcPr>
            <w:tcW w:type="dxa" w:w="3200"/>
            <w:shd w:fill="1B3A6B" w:val="clear"/>
            <w:tcMar>
              <w:top w:type="dxa" w:w="80"/>
              <w:left w:type="dxa" w:w="100"/>
              <w:bottom w:type="dxa" w:w="80"/>
              <w:right w:type="dxa" w:w="100"/>
            </w:tcMar>
            <w:vAlign w:val="center"/>
          </w:tcPr>
          <w:p>
            <w:r>
              <w:rPr>
                <w:b/>
                <w:bCs/>
                <w:color w:val="FFFFFF"/>
                <w:sz w:val="20"/>
                <w:szCs w:val="20"/>
              </w:rPr>
              <w:t xml:space="preserve">Méthodes agiles (Scrum, Kanban...)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Gestion du changement</w:t>
            </w:r>
          </w:p>
        </w:tc>
        <w:tc>
          <w:tcPr>
            <w:tcW w:type="dxa" w:w="3200"/>
            <w:tcMar>
              <w:top w:type="dxa" w:w="80"/>
              <w:left w:type="dxa" w:w="100"/>
              <w:bottom w:type="dxa" w:w="80"/>
              <w:right w:type="dxa" w:w="100"/>
            </w:tcMar>
            <w:vAlign w:val="center"/>
          </w:tcPr>
          <w:p>
            <w:r>
              <w:rPr>
                <w:b w:val="false"/>
                <w:bCs w:val="false"/>
                <w:color w:val="000000"/>
                <w:sz w:val="20"/>
                <w:szCs w:val="20"/>
              </w:rPr>
              <w:t xml:space="preserve">Rigide et coûteuse en cours de projet</w:t>
            </w:r>
          </w:p>
        </w:tc>
        <w:tc>
          <w:tcPr>
            <w:tcW w:type="dxa" w:w="3200"/>
            <w:tcMar>
              <w:top w:type="dxa" w:w="80"/>
              <w:left w:type="dxa" w:w="100"/>
              <w:bottom w:type="dxa" w:w="80"/>
              <w:right w:type="dxa" w:w="100"/>
            </w:tcMar>
            <w:vAlign w:val="center"/>
          </w:tcPr>
          <w:p>
            <w:r>
              <w:rPr>
                <w:b w:val="false"/>
                <w:bCs w:val="false"/>
                <w:color w:val="000000"/>
                <w:sz w:val="20"/>
                <w:szCs w:val="20"/>
              </w:rPr>
              <w:t xml:space="preserve">Intégrée naturellement à chaque itération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Visibilité pour le client / encadrant</w:t>
            </w:r>
          </w:p>
        </w:tc>
        <w:tc>
          <w:tcPr>
            <w:tcW w:type="dxa" w:w="3200"/>
            <w:tcMar>
              <w:top w:type="dxa" w:w="80"/>
              <w:left w:type="dxa" w:w="100"/>
              <w:bottom w:type="dxa" w:w="80"/>
              <w:right w:type="dxa" w:w="100"/>
            </w:tcMar>
            <w:vAlign w:val="center"/>
          </w:tcPr>
          <w:p>
            <w:r>
              <w:rPr>
                <w:b w:val="false"/>
                <w:bCs w:val="false"/>
                <w:color w:val="000000"/>
                <w:sz w:val="20"/>
                <w:szCs w:val="20"/>
              </w:rPr>
              <w:t xml:space="preserve">Essentiellement en fin de phase</w:t>
            </w:r>
          </w:p>
        </w:tc>
        <w:tc>
          <w:tcPr>
            <w:tcW w:type="dxa" w:w="3200"/>
            <w:tcMar>
              <w:top w:type="dxa" w:w="80"/>
              <w:left w:type="dxa" w:w="100"/>
              <w:bottom w:type="dxa" w:w="80"/>
              <w:right w:type="dxa" w:w="100"/>
            </w:tcMar>
            <w:vAlign w:val="center"/>
          </w:tcPr>
          <w:p>
            <w:r>
              <w:rPr>
                <w:b w:val="false"/>
                <w:bCs w:val="false"/>
                <w:color w:val="000000"/>
                <w:sz w:val="20"/>
                <w:szCs w:val="20"/>
              </w:rPr>
              <w:t xml:space="preserve">Continue, via des revues régulières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Traitement des ambiguïtés de spécification</w:t>
            </w:r>
          </w:p>
        </w:tc>
        <w:tc>
          <w:tcPr>
            <w:tcW w:type="dxa" w:w="3200"/>
            <w:tcMar>
              <w:top w:type="dxa" w:w="80"/>
              <w:left w:type="dxa" w:w="100"/>
              <w:bottom w:type="dxa" w:w="80"/>
              <w:right w:type="dxa" w:w="100"/>
            </w:tcMar>
            <w:vAlign w:val="center"/>
          </w:tcPr>
          <w:p>
            <w:r>
              <w:rPr>
                <w:b w:val="false"/>
                <w:bCs w:val="false"/>
                <w:color w:val="000000"/>
                <w:sz w:val="20"/>
                <w:szCs w:val="20"/>
              </w:rPr>
              <w:t xml:space="preserve">Suppose une spécification complète et figée en amont</w:t>
            </w:r>
          </w:p>
        </w:tc>
        <w:tc>
          <w:tcPr>
            <w:tcW w:type="dxa" w:w="3200"/>
            <w:tcMar>
              <w:top w:type="dxa" w:w="80"/>
              <w:left w:type="dxa" w:w="100"/>
              <w:bottom w:type="dxa" w:w="80"/>
              <w:right w:type="dxa" w:w="100"/>
            </w:tcMar>
            <w:vAlign w:val="center"/>
          </w:tcPr>
          <w:p>
            <w:r>
              <w:rPr>
                <w:b w:val="false"/>
                <w:bCs w:val="false"/>
                <w:color w:val="000000"/>
                <w:sz w:val="20"/>
                <w:szCs w:val="20"/>
              </w:rPr>
              <w:t xml:space="preserve">Permet de lever progressivement les zones grises avec le métier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Mode de livraison</w:t>
            </w:r>
          </w:p>
        </w:tc>
        <w:tc>
          <w:tcPr>
            <w:tcW w:type="dxa" w:w="3200"/>
            <w:tcMar>
              <w:top w:type="dxa" w:w="80"/>
              <w:left w:type="dxa" w:w="100"/>
              <w:bottom w:type="dxa" w:w="80"/>
              <w:right w:type="dxa" w:w="100"/>
            </w:tcMar>
            <w:vAlign w:val="center"/>
          </w:tcPr>
          <w:p>
            <w:r>
              <w:rPr>
                <w:b w:val="false"/>
                <w:bCs w:val="false"/>
                <w:color w:val="000000"/>
                <w:sz w:val="20"/>
                <w:szCs w:val="20"/>
              </w:rPr>
              <w:t xml:space="preserve">Une livraison unique en fin de projet</w:t>
            </w:r>
          </w:p>
        </w:tc>
        <w:tc>
          <w:tcPr>
            <w:tcW w:type="dxa" w:w="3200"/>
            <w:tcMar>
              <w:top w:type="dxa" w:w="80"/>
              <w:left w:type="dxa" w:w="100"/>
              <w:bottom w:type="dxa" w:w="80"/>
              <w:right w:type="dxa" w:w="100"/>
            </w:tcMar>
            <w:vAlign w:val="center"/>
          </w:tcPr>
          <w:p>
            <w:r>
              <w:rPr>
                <w:b w:val="false"/>
                <w:bCs w:val="false"/>
                <w:color w:val="000000"/>
                <w:sz w:val="20"/>
                <w:szCs w:val="20"/>
              </w:rPr>
              <w:t xml:space="preserve">Livraisons incrémentales à chaque itération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Adéquation à un projet solo à spécification évolutive</w:t>
            </w:r>
          </w:p>
        </w:tc>
        <w:tc>
          <w:tcPr>
            <w:tcW w:type="dxa" w:w="3200"/>
            <w:tcMar>
              <w:top w:type="dxa" w:w="80"/>
              <w:left w:type="dxa" w:w="100"/>
              <w:bottom w:type="dxa" w:w="80"/>
              <w:right w:type="dxa" w:w="100"/>
            </w:tcMar>
            <w:vAlign w:val="center"/>
          </w:tcPr>
          <w:p>
            <w:r>
              <w:rPr>
                <w:b w:val="false"/>
                <w:bCs w:val="false"/>
                <w:color w:val="000000"/>
                <w:sz w:val="20"/>
                <w:szCs w:val="20"/>
              </w:rPr>
              <w:t xml:space="preserve">Faible</w:t>
            </w:r>
          </w:p>
        </w:tc>
        <w:tc>
          <w:tcPr>
            <w:tcW w:type="dxa" w:w="3200"/>
            <w:tcMar>
              <w:top w:type="dxa" w:w="80"/>
              <w:left w:type="dxa" w:w="100"/>
              <w:bottom w:type="dxa" w:w="80"/>
              <w:right w:type="dxa" w:w="100"/>
            </w:tcMar>
            <w:vAlign w:val="center"/>
          </w:tcPr>
          <w:p>
            <w:r>
              <w:rPr>
                <w:b w:val="false"/>
                <w:bCs w:val="false"/>
                <w:color w:val="000000"/>
                <w:sz w:val="20"/>
                <w:szCs w:val="20"/>
              </w:rPr>
              <w:t xml:space="preserve">Élevée</w:t>
            </w:r>
          </w:p>
        </w:tc>
      </w:tr>
    </w:tbl>
    <w:p>
      <w:pPr>
        <w:spacing w:after="200"/>
      </w:pPr>
    </w:p>
    <w:p>
      <w:pPr>
        <w:pStyle w:val="Heading3"/>
        <w:spacing w:after="120" w:before="240"/>
      </w:pPr>
      <w:r>
        <w:rPr>
          <w:b/>
          <w:bCs/>
          <w:color w:val="2C5282"/>
          <w:sz w:val="23"/>
          <w:szCs w:val="23"/>
        </w:rPr>
        <w:t xml:space="preserve">2. Choix de la méthodologie</w:t>
      </w:r>
    </w:p>
    <w:p>
      <w:pPr>
        <w:spacing w:after="160" w:line="300"/>
        <w:jc w:val="both"/>
      </w:pPr>
      <w:r>
        <w:rPr>
          <w:b w:val="false"/>
          <w:bCs w:val="false"/>
          <w:i w:val="false"/>
          <w:iCs w:val="false"/>
          <w:sz w:val="22"/>
          <w:szCs w:val="22"/>
        </w:rPr>
        <w:t xml:space="preserve">Le choix s'est porté sur une méthodologie agile. En effet, la spécification du besoin — l'interprétation exacte de la Note BIAT 2023-06 — s'est révélée évolutive tout au long du projet : certains seuils n'ont pu être confirmés qu'après obtention et lecture intégrale du document officiel de 24 pages, une erreur de seuil sur le marché TRE n'a été détectée et corrigée qu'après vérification croisée en cours de réalisation, et une fonctionnalité supplémentaire (la prise en compte des clients épargnants/déposants exclusifs) a été demandée en cours de projet. Une approche séquentielle de type cycle en V, figeant les spécifications dès le départ, n'aurait pas permis d'absorber ces évolutions sans remise en cause majeure de la planification. L'approche agile, avec ses cycles courts de validation auprès des encadrants, était donc la mieux adaptée.</w:t>
      </w:r>
    </w:p>
    <w:p>
      <w:pPr>
        <w:pStyle w:val="Heading3"/>
        <w:spacing w:after="120" w:before="240"/>
      </w:pPr>
      <w:r>
        <w:rPr>
          <w:b/>
          <w:bCs/>
          <w:color w:val="2C5282"/>
          <w:sz w:val="23"/>
          <w:szCs w:val="23"/>
        </w:rPr>
        <w:t xml:space="preserve">3. Choix de la méthode</w:t>
      </w:r>
    </w:p>
    <w:p>
      <w:pPr>
        <w:spacing w:after="160" w:line="300"/>
        <w:jc w:val="both"/>
      </w:pPr>
      <w:r>
        <w:rPr>
          <w:b w:val="false"/>
          <w:bCs w:val="false"/>
          <w:i w:val="false"/>
          <w:iCs w:val="false"/>
          <w:sz w:val="22"/>
          <w:szCs w:val="22"/>
        </w:rPr>
        <w:t xml:space="preserve">Parmi les méthodes agiles, le choix s'est porté sur Scrum plutôt que sur Kanban ou l'Extreme Programming (XP). Scrum a été privilégié car son découpage en sprints de durée fixe s'articule naturellement avec les jalons académiques d'un projet de fin d'études, que ses rôles sont clairement définis (Product Owner côté métier, Scrum Master pour le cadrage méthodologique, équipe de développement), et que les revues de sprint offrent des points de contrôle réguliers et formels avec l'encadrant professionnel et l'encadrant académique, permettant de valider au fil de l'eau la conformité des règles implémentées à la note officielle.</w:t>
      </w:r>
    </w:p>
    <w:p>
      <w:pPr>
        <w:pStyle w:val="Heading2"/>
        <w:spacing w:after="160" w:before="320"/>
      </w:pPr>
      <w:r>
        <w:rPr>
          <w:b/>
          <w:bCs/>
          <w:color w:val="1B3A6B"/>
          <w:sz w:val="26"/>
          <w:szCs w:val="26"/>
        </w:rPr>
        <w:t xml:space="preserve">Conclusion</w:t>
      </w:r>
    </w:p>
    <w:p>
      <w:pPr>
        <w:spacing w:after="160" w:line="300"/>
        <w:jc w:val="both"/>
      </w:pPr>
      <w:r>
        <w:rPr>
          <w:b w:val="false"/>
          <w:bCs w:val="false"/>
          <w:i w:val="false"/>
          <w:iCs w:val="false"/>
          <w:sz w:val="22"/>
          <w:szCs w:val="22"/>
        </w:rPr>
        <w:t xml:space="preserve">Ce chapitre a permis de situer le projet dans son contexte organisationnel, d'établir le diagnostic de l'existant, de formuler la problématique et de présenter la solution retenue ainsi que le choix méthodologique qui encadre sa réalisation. Le chapitre suivant détaille la spécification des besoins et la mise en œuvre concrète du projet selon le cadre Scrum.</w:t>
      </w:r>
    </w:p>
    <w:p>
      <w:pPr>
        <w:pageBreakBefore/>
      </w:pPr>
    </w:p>
    <w:p>
      <w:pPr>
        <w:pStyle w:val="Heading1"/>
        <w:pBdr>
          <w:bottom w:val="single" w:color="C9A227" w:sz="12" w:space="4"/>
        </w:pBdr>
        <w:spacing w:after="300" w:before="200"/>
      </w:pPr>
      <w:r>
        <w:rPr>
          <w:b/>
          <w:bCs/>
          <w:color w:val="1B3A6B"/>
          <w:sz w:val="34"/>
          <w:szCs w:val="34"/>
        </w:rPr>
        <w:t xml:space="preserve">Chapitre 2 : Spécification des besoins et mise en place avec SCRUM</w:t>
      </w:r>
    </w:p>
    <w:p>
      <w:pPr>
        <w:pStyle w:val="Heading2"/>
        <w:spacing w:after="160" w:before="320"/>
      </w:pPr>
      <w:r>
        <w:rPr>
          <w:b/>
          <w:bCs/>
          <w:color w:val="1B3A6B"/>
          <w:sz w:val="26"/>
          <w:szCs w:val="26"/>
        </w:rPr>
        <w:t xml:space="preserve">Introduction</w:t>
      </w:r>
    </w:p>
    <w:p>
      <w:pPr>
        <w:spacing w:after="160" w:line="300"/>
        <w:jc w:val="both"/>
      </w:pPr>
      <w:r>
        <w:rPr>
          <w:b w:val="false"/>
          <w:bCs w:val="false"/>
          <w:i w:val="false"/>
          <w:iCs w:val="false"/>
          <w:sz w:val="22"/>
          <w:szCs w:val="22"/>
        </w:rPr>
        <w:t xml:space="preserve">Ce second chapitre détaille la spécification des besoins du projet, à travers l'identification des acteurs, des besoins fonctionnels et non-fonctionnels, ainsi que des indicateurs de performance (KPIs) retenus. Il présente ensuite la mise en œuvre concrète du projet selon le cadre méthodologique Scrum choisi au chapitre précédent : distribution des rôles, backlog produit, découpage en sprints et planification générale du projet.</w:t>
      </w:r>
    </w:p>
    <w:p>
      <w:pPr>
        <w:pStyle w:val="Heading2"/>
        <w:spacing w:after="160" w:before="320"/>
      </w:pPr>
      <w:r>
        <w:rPr>
          <w:b/>
          <w:bCs/>
          <w:color w:val="1B3A6B"/>
          <w:sz w:val="26"/>
          <w:szCs w:val="26"/>
        </w:rPr>
        <w:t xml:space="preserve">I. Analyse des besoins</w:t>
      </w:r>
    </w:p>
    <w:p>
      <w:pPr>
        <w:pStyle w:val="Heading3"/>
        <w:spacing w:after="120" w:before="240"/>
      </w:pPr>
      <w:r>
        <w:rPr>
          <w:b/>
          <w:bCs/>
          <w:color w:val="2C5282"/>
          <w:sz w:val="23"/>
          <w:szCs w:val="23"/>
        </w:rPr>
        <w:t xml:space="preserve">1. Identification des acteurs</w:t>
      </w:r>
    </w:p>
    <w:p>
      <w:pPr>
        <w:spacing w:after="160" w:line="300"/>
        <w:jc w:val="both"/>
      </w:pPr>
      <w:r>
        <w:rPr>
          <w:b w:val="false"/>
          <w:bCs w:val="false"/>
          <w:i w:val="false"/>
          <w:iCs w:val="false"/>
          <w:sz w:val="22"/>
          <w:szCs w:val="22"/>
        </w:rPr>
        <w:t xml:space="preserve">Le projet, mené dans le cadre d'un stage de fin d'études, mobilise un nombre restreint d'acteurs aux rôles bien distincts, résumés dans le tableau ci-dessous.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1B3A6B" w:val="clear"/>
            <w:tcMar>
              <w:top w:type="dxa" w:w="80"/>
              <w:left w:type="dxa" w:w="100"/>
              <w:bottom w:type="dxa" w:w="80"/>
              <w:right w:type="dxa" w:w="100"/>
            </w:tcMar>
            <w:vAlign w:val="center"/>
          </w:tcPr>
          <w:p>
            <w:r>
              <w:rPr>
                <w:b/>
                <w:bCs/>
                <w:color w:val="FFFFFF"/>
                <w:sz w:val="20"/>
                <w:szCs w:val="20"/>
              </w:rPr>
              <w:t xml:space="preserve">Acteur</w:t>
            </w:r>
          </w:p>
        </w:tc>
        <w:tc>
          <w:tcPr>
            <w:tcW w:type="dxa" w:w="2400"/>
            <w:shd w:fill="1B3A6B" w:val="clear"/>
            <w:tcMar>
              <w:top w:type="dxa" w:w="80"/>
              <w:left w:type="dxa" w:w="100"/>
              <w:bottom w:type="dxa" w:w="80"/>
              <w:right w:type="dxa" w:w="100"/>
            </w:tcMar>
            <w:vAlign w:val="center"/>
          </w:tcPr>
          <w:p>
            <w:r>
              <w:rPr>
                <w:b/>
                <w:bCs/>
                <w:color w:val="FFFFFF"/>
                <w:sz w:val="20"/>
                <w:szCs w:val="20"/>
              </w:rPr>
              <w:t xml:space="preserve">Rôle Scrum</w:t>
            </w:r>
          </w:p>
        </w:tc>
        <w:tc>
          <w:tcPr>
            <w:tcW w:type="dxa" w:w="4000"/>
            <w:shd w:fill="1B3A6B" w:val="clear"/>
            <w:tcMar>
              <w:top w:type="dxa" w:w="80"/>
              <w:left w:type="dxa" w:w="100"/>
              <w:bottom w:type="dxa" w:w="80"/>
              <w:right w:type="dxa" w:w="100"/>
            </w:tcMar>
            <w:vAlign w:val="center"/>
          </w:tcPr>
          <w:p>
            <w:r>
              <w:rPr>
                <w:b/>
                <w:bCs/>
                <w:color w:val="FFFFFF"/>
                <w:sz w:val="20"/>
                <w:szCs w:val="20"/>
              </w:rPr>
              <w:t xml:space="preserve">Responsabilités principales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Encadrant professionnel (BIAT)</w:t>
            </w:r>
          </w:p>
        </w:tc>
        <w:tc>
          <w:tcPr>
            <w:tcW w:type="dxa" w:w="2400"/>
            <w:tcMar>
              <w:top w:type="dxa" w:w="80"/>
              <w:left w:type="dxa" w:w="100"/>
              <w:bottom w:type="dxa" w:w="80"/>
              <w:right w:type="dxa" w:w="100"/>
            </w:tcMar>
            <w:vAlign w:val="center"/>
          </w:tcPr>
          <w:p>
            <w:r>
              <w:rPr>
                <w:b w:val="false"/>
                <w:bCs w:val="false"/>
                <w:color w:val="000000"/>
                <w:sz w:val="20"/>
                <w:szCs w:val="20"/>
              </w:rPr>
              <w:t xml:space="preserve">Product Owner</w:t>
            </w:r>
          </w:p>
        </w:tc>
        <w:tc>
          <w:tcPr>
            <w:tcW w:type="dxa" w:w="4000"/>
            <w:tcMar>
              <w:top w:type="dxa" w:w="80"/>
              <w:left w:type="dxa" w:w="100"/>
              <w:bottom w:type="dxa" w:w="80"/>
              <w:right w:type="dxa" w:w="100"/>
            </w:tcMar>
            <w:vAlign w:val="center"/>
          </w:tcPr>
          <w:p>
            <w:r>
              <w:rPr>
                <w:b w:val="false"/>
                <w:bCs w:val="false"/>
                <w:color w:val="000000"/>
                <w:sz w:val="20"/>
                <w:szCs w:val="20"/>
              </w:rPr>
              <w:t xml:space="preserve">Valide la conformité des règles à la Note 2023-06, priorise le backlog, arbitre les questions métier et les ambiguïtés de la note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Encadrant académique</w:t>
            </w:r>
          </w:p>
        </w:tc>
        <w:tc>
          <w:tcPr>
            <w:tcW w:type="dxa" w:w="2400"/>
            <w:tcMar>
              <w:top w:type="dxa" w:w="80"/>
              <w:left w:type="dxa" w:w="100"/>
              <w:bottom w:type="dxa" w:w="80"/>
              <w:right w:type="dxa" w:w="100"/>
            </w:tcMar>
            <w:vAlign w:val="center"/>
          </w:tcPr>
          <w:p>
            <w:r>
              <w:rPr>
                <w:b w:val="false"/>
                <w:bCs w:val="false"/>
                <w:color w:val="000000"/>
                <w:sz w:val="20"/>
                <w:szCs w:val="20"/>
              </w:rPr>
              <w:t xml:space="preserve">Scrum Master / copilotage méthodologique</w:t>
            </w:r>
          </w:p>
        </w:tc>
        <w:tc>
          <w:tcPr>
            <w:tcW w:type="dxa" w:w="4000"/>
            <w:tcMar>
              <w:top w:type="dxa" w:w="80"/>
              <w:left w:type="dxa" w:w="100"/>
              <w:bottom w:type="dxa" w:w="80"/>
              <w:right w:type="dxa" w:w="100"/>
            </w:tcMar>
            <w:vAlign w:val="center"/>
          </w:tcPr>
          <w:p>
            <w:r>
              <w:rPr>
                <w:b w:val="false"/>
                <w:bCs w:val="false"/>
                <w:color w:val="000000"/>
                <w:sz w:val="20"/>
                <w:szCs w:val="20"/>
              </w:rPr>
              <w:t xml:space="preserve">Garantit le respect du cadre méthodologique, anime les revues de sprint, veille à la qualité de la démarche projet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Étudiant (stagiaire PFE)</w:t>
            </w:r>
          </w:p>
        </w:tc>
        <w:tc>
          <w:tcPr>
            <w:tcW w:type="dxa" w:w="2400"/>
            <w:tcMar>
              <w:top w:type="dxa" w:w="80"/>
              <w:left w:type="dxa" w:w="100"/>
              <w:bottom w:type="dxa" w:w="80"/>
              <w:right w:type="dxa" w:w="100"/>
            </w:tcMar>
            <w:vAlign w:val="center"/>
          </w:tcPr>
          <w:p>
            <w:r>
              <w:rPr>
                <w:b w:val="false"/>
                <w:bCs w:val="false"/>
                <w:color w:val="000000"/>
                <w:sz w:val="20"/>
                <w:szCs w:val="20"/>
              </w:rPr>
              <w:t xml:space="preserve">Équipe de développement (Dev Team)</w:t>
            </w:r>
          </w:p>
        </w:tc>
        <w:tc>
          <w:tcPr>
            <w:tcW w:type="dxa" w:w="4000"/>
            <w:tcMar>
              <w:top w:type="dxa" w:w="80"/>
              <w:left w:type="dxa" w:w="100"/>
              <w:bottom w:type="dxa" w:w="80"/>
              <w:right w:type="dxa" w:w="100"/>
            </w:tcMar>
            <w:vAlign w:val="center"/>
          </w:tcPr>
          <w:p>
            <w:r>
              <w:rPr>
                <w:b w:val="false"/>
                <w:bCs w:val="false"/>
                <w:color w:val="000000"/>
                <w:sz w:val="20"/>
                <w:szCs w:val="20"/>
              </w:rPr>
              <w:t xml:space="preserve">Conception, développement, tests et documentation de l'application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Chargés de clientèle / conseillers d'agence</w:t>
            </w:r>
          </w:p>
        </w:tc>
        <w:tc>
          <w:tcPr>
            <w:tcW w:type="dxa" w:w="2400"/>
            <w:tcMar>
              <w:top w:type="dxa" w:w="80"/>
              <w:left w:type="dxa" w:w="100"/>
              <w:bottom w:type="dxa" w:w="80"/>
              <w:right w:type="dxa" w:w="100"/>
            </w:tcMar>
            <w:vAlign w:val="center"/>
          </w:tcPr>
          <w:p>
            <w:r>
              <w:rPr>
                <w:b w:val="false"/>
                <w:bCs w:val="false"/>
                <w:color w:val="000000"/>
                <w:sz w:val="20"/>
                <w:szCs w:val="20"/>
              </w:rPr>
              <w:t xml:space="preserve">Utilisateurs finaux</w:t>
            </w:r>
          </w:p>
        </w:tc>
        <w:tc>
          <w:tcPr>
            <w:tcW w:type="dxa" w:w="4000"/>
            <w:tcMar>
              <w:top w:type="dxa" w:w="80"/>
              <w:left w:type="dxa" w:w="100"/>
              <w:bottom w:type="dxa" w:w="80"/>
              <w:right w:type="dxa" w:w="100"/>
            </w:tcMar>
            <w:vAlign w:val="center"/>
          </w:tcPr>
          <w:p>
            <w:r>
              <w:rPr>
                <w:b w:val="false"/>
                <w:bCs w:val="false"/>
                <w:color w:val="000000"/>
                <w:sz w:val="20"/>
                <w:szCs w:val="20"/>
              </w:rPr>
              <w:t xml:space="preserve">Utilisateurs cibles du simulateur ; retours d'usage lors des démonstrations de sprint</w:t>
            </w:r>
          </w:p>
        </w:tc>
      </w:tr>
    </w:tbl>
    <w:p>
      <w:pPr>
        <w:pStyle w:val="Heading3"/>
        <w:spacing w:after="120" w:before="240"/>
      </w:pPr>
      <w:r>
        <w:rPr>
          <w:b/>
          <w:bCs/>
          <w:color w:val="2C5282"/>
          <w:sz w:val="23"/>
          <w:szCs w:val="23"/>
        </w:rPr>
        <w:t xml:space="preserve">2. Les besoins fonctionnels</w:t>
      </w:r>
    </w:p>
    <w:p>
      <w:pPr>
        <w:spacing w:after="160" w:line="300"/>
        <w:jc w:val="both"/>
      </w:pPr>
      <w:r>
        <w:rPr>
          <w:b w:val="false"/>
          <w:bCs w:val="false"/>
          <w:i w:val="false"/>
          <w:iCs w:val="false"/>
          <w:sz w:val="22"/>
          <w:szCs w:val="22"/>
        </w:rPr>
        <w:t xml:space="preserve">Les besoins fonctionnels ont été formalisés sous forme de user stories, priorisées selon la méthode MoSCoW (Must have, Should have, Could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200"/>
      </w:tblGrid>
      <w:tr>
        <w:trPr>
          <w:tblHeader/>
        </w:trPr>
        <w:tc>
          <w:tcPr>
            <w:tcW w:type="dxa" w:w="900"/>
            <w:shd w:fill="1B3A6B" w:val="clear"/>
            <w:tcMar>
              <w:top w:type="dxa" w:w="80"/>
              <w:left w:type="dxa" w:w="100"/>
              <w:bottom w:type="dxa" w:w="80"/>
              <w:right w:type="dxa" w:w="100"/>
            </w:tcMar>
            <w:vAlign w:val="center"/>
          </w:tcPr>
          <w:p>
            <w:r>
              <w:rPr>
                <w:b/>
                <w:bCs/>
                <w:color w:val="FFFFFF"/>
                <w:sz w:val="20"/>
                <w:szCs w:val="20"/>
              </w:rPr>
              <w:t xml:space="preserve">ID</w:t>
            </w:r>
          </w:p>
        </w:tc>
        <w:tc>
          <w:tcPr>
            <w:tcW w:type="dxa" w:w="6900"/>
            <w:shd w:fill="1B3A6B" w:val="clear"/>
            <w:tcMar>
              <w:top w:type="dxa" w:w="80"/>
              <w:left w:type="dxa" w:w="100"/>
              <w:bottom w:type="dxa" w:w="80"/>
              <w:right w:type="dxa" w:w="100"/>
            </w:tcMar>
            <w:vAlign w:val="center"/>
          </w:tcPr>
          <w:p>
            <w:r>
              <w:rPr>
                <w:b/>
                <w:bCs/>
                <w:color w:val="FFFFFF"/>
                <w:sz w:val="20"/>
                <w:szCs w:val="20"/>
              </w:rPr>
              <w:t xml:space="preserve">User story</w:t>
            </w:r>
          </w:p>
        </w:tc>
        <w:tc>
          <w:tcPr>
            <w:tcW w:type="dxa" w:w="1200"/>
            <w:shd w:fill="1B3A6B" w:val="clear"/>
            <w:tcMar>
              <w:top w:type="dxa" w:w="80"/>
              <w:left w:type="dxa" w:w="100"/>
              <w:bottom w:type="dxa" w:w="80"/>
              <w:right w:type="dxa" w:w="100"/>
            </w:tcMar>
            <w:vAlign w:val="center"/>
          </w:tcPr>
          <w:p>
            <w:r>
              <w:rPr>
                <w:b/>
                <w:bCs/>
                <w:color w:val="FFFFFF"/>
                <w:sz w:val="20"/>
                <w:szCs w:val="20"/>
              </w:rPr>
              <w:t xml:space="preserve">Priorité</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BF01</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que conseiller, je veux segmenter un client individuellement afin de connaître immédiatement son marché et son sous-segment BIAT.</w:t>
            </w:r>
          </w:p>
        </w:tc>
        <w:tc>
          <w:tcPr>
            <w:tcW w:type="dxa" w:w="12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BF02</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qu'utilisateur, je veux que le moteur applique strictement et uniquement les règles de la Note BIAT 2023-06, sans règle inventée.</w:t>
            </w:r>
          </w:p>
        </w:tc>
        <w:tc>
          <w:tcPr>
            <w:tcW w:type="dxa" w:w="12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BF03</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qu'utilisateur, je veux qu'un seul et même moteur de segmentation soit utilisé par toutes les fonctionnalités de l'application, afin de garantir la cohérence des résultats.</w:t>
            </w:r>
          </w:p>
        </w:tc>
        <w:tc>
          <w:tcPr>
            <w:tcW w:type="dxa" w:w="12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BF04</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que conseiller, je veux importer un fichier CSV/Excel de plusieurs clients pour les segmenter en masse.</w:t>
            </w:r>
          </w:p>
        </w:tc>
        <w:tc>
          <w:tcPr>
            <w:tcW w:type="dxa" w:w="12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BF05</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qu'utilisateur, je veux que les lignes invalides (valeurs manquantes, hors bornes, mal typées) soient détectées et signalées avant la segmentation.</w:t>
            </w:r>
          </w:p>
        </w:tc>
        <w:tc>
          <w:tcPr>
            <w:tcW w:type="dxa" w:w="12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BF06</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qu'utilisateur, je veux télécharger un modèle Excel avec des listes déroulantes pré-remplies afin de limiter les erreurs de saisie.</w:t>
            </w:r>
          </w:p>
        </w:tc>
        <w:tc>
          <w:tcPr>
            <w:tcW w:type="dxa" w:w="1200"/>
            <w:tcMar>
              <w:top w:type="dxa" w:w="80"/>
              <w:left w:type="dxa" w:w="100"/>
              <w:bottom w:type="dxa" w:w="80"/>
              <w:right w:type="dxa" w:w="100"/>
            </w:tcMar>
            <w:vAlign w:val="center"/>
          </w:tcPr>
          <w:p>
            <w:r>
              <w:rPr>
                <w:b w:val="false"/>
                <w:bCs w:val="false"/>
                <w:color w:val="000000"/>
                <w:sz w:val="20"/>
                <w:szCs w:val="20"/>
              </w:rPr>
              <w:t xml:space="preserve">Should</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BF07</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qu'utilisateur, je veux visualiser une synthèse des segmentations réalisées dans un tableau de bord.</w:t>
            </w:r>
          </w:p>
        </w:tc>
        <w:tc>
          <w:tcPr>
            <w:tcW w:type="dxa" w:w="1200"/>
            <w:tcMar>
              <w:top w:type="dxa" w:w="80"/>
              <w:left w:type="dxa" w:w="100"/>
              <w:bottom w:type="dxa" w:w="80"/>
              <w:right w:type="dxa" w:w="100"/>
            </w:tcMar>
            <w:vAlign w:val="center"/>
          </w:tcPr>
          <w:p>
            <w:r>
              <w:rPr>
                <w:b w:val="false"/>
                <w:bCs w:val="false"/>
                <w:color w:val="000000"/>
                <w:sz w:val="20"/>
                <w:szCs w:val="20"/>
              </w:rPr>
              <w:t xml:space="preserve">Should</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BF08</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qu'utilisateur, je veux pouvoir interroger un chatbot expert sur les règles de segmentation en langage naturel.</w:t>
            </w:r>
          </w:p>
        </w:tc>
        <w:tc>
          <w:tcPr>
            <w:tcW w:type="dxa" w:w="1200"/>
            <w:tcMar>
              <w:top w:type="dxa" w:w="80"/>
              <w:left w:type="dxa" w:w="100"/>
              <w:bottom w:type="dxa" w:w="80"/>
              <w:right w:type="dxa" w:w="100"/>
            </w:tcMar>
            <w:vAlign w:val="center"/>
          </w:tcPr>
          <w:p>
            <w:r>
              <w:rPr>
                <w:b w:val="false"/>
                <w:bCs w:val="false"/>
                <w:color w:val="000000"/>
                <w:sz w:val="20"/>
                <w:szCs w:val="20"/>
              </w:rPr>
              <w:t xml:space="preserve">Should</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BF09</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qu'administrateur, je veux pouvoir consulter et modifier les règles de segmentation depuis une page de paramétrage, sans toucher au code.</w:t>
            </w:r>
          </w:p>
        </w:tc>
        <w:tc>
          <w:tcPr>
            <w:tcW w:type="dxa" w:w="1200"/>
            <w:tcMar>
              <w:top w:type="dxa" w:w="80"/>
              <w:left w:type="dxa" w:w="100"/>
              <w:bottom w:type="dxa" w:w="80"/>
              <w:right w:type="dxa" w:w="100"/>
            </w:tcMar>
            <w:vAlign w:val="center"/>
          </w:tcPr>
          <w:p>
            <w:r>
              <w:rPr>
                <w:b w:val="false"/>
                <w:bCs w:val="false"/>
                <w:color w:val="000000"/>
                <w:sz w:val="20"/>
                <w:szCs w:val="20"/>
              </w:rPr>
              <w:t xml:space="preserve">Should</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BF10</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qu'utilisateur, je veux obtenir la justification (trace des règles évaluées) de chaque décision de segmentation.</w:t>
            </w:r>
          </w:p>
        </w:tc>
        <w:tc>
          <w:tcPr>
            <w:tcW w:type="dxa" w:w="1200"/>
            <w:tcMar>
              <w:top w:type="dxa" w:w="80"/>
              <w:left w:type="dxa" w:w="100"/>
              <w:bottom w:type="dxa" w:w="80"/>
              <w:right w:type="dxa" w:w="100"/>
            </w:tcMar>
            <w:vAlign w:val="center"/>
          </w:tcPr>
          <w:p>
            <w:r>
              <w:rPr>
                <w:b w:val="false"/>
                <w:bCs w:val="false"/>
                <w:color w:val="000000"/>
                <w:sz w:val="20"/>
                <w:szCs w:val="20"/>
              </w:rPr>
              <w:t xml:space="preserve">Could</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BF11</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que conseiller, je veux signaler qu'un client ne détient que des comptes épargne / dépôts à terme afin d'activer, le cas échéant, le sous-segment « Épargnants et déposants exclusifs ».</w:t>
            </w:r>
          </w:p>
        </w:tc>
        <w:tc>
          <w:tcPr>
            <w:tcW w:type="dxa" w:w="1200"/>
            <w:tcMar>
              <w:top w:type="dxa" w:w="80"/>
              <w:left w:type="dxa" w:w="100"/>
              <w:bottom w:type="dxa" w:w="80"/>
              <w:right w:type="dxa" w:w="100"/>
            </w:tcMar>
            <w:vAlign w:val="center"/>
          </w:tcPr>
          <w:p>
            <w:r>
              <w:rPr>
                <w:b w:val="false"/>
                <w:bCs w:val="false"/>
                <w:color w:val="000000"/>
                <w:sz w:val="20"/>
                <w:szCs w:val="20"/>
              </w:rPr>
              <w:t xml:space="preserve">Could</w:t>
            </w:r>
          </w:p>
        </w:tc>
      </w:tr>
      <w:tr>
        <w:tc>
          <w:tcPr>
            <w:tcW w:type="dxa" w:w="900"/>
            <w:tcMar>
              <w:top w:type="dxa" w:w="80"/>
              <w:left w:type="dxa" w:w="100"/>
              <w:bottom w:type="dxa" w:w="80"/>
              <w:right w:type="dxa" w:w="100"/>
            </w:tcMar>
            <w:vAlign w:val="center"/>
          </w:tcPr>
          <w:p>
            <w:r>
              <w:rPr>
                <w:b w:val="false"/>
                <w:bCs w:val="false"/>
                <w:color w:val="000000"/>
                <w:sz w:val="20"/>
                <w:szCs w:val="20"/>
              </w:rPr>
              <w:t xml:space="preserve">BF12</w:t>
            </w:r>
          </w:p>
        </w:tc>
        <w:tc>
          <w:tcPr>
            <w:tcW w:type="dxa" w:w="6900"/>
            <w:tcMar>
              <w:top w:type="dxa" w:w="80"/>
              <w:left w:type="dxa" w:w="100"/>
              <w:bottom w:type="dxa" w:w="80"/>
              <w:right w:type="dxa" w:w="100"/>
            </w:tcMar>
            <w:vAlign w:val="center"/>
          </w:tcPr>
          <w:p>
            <w:r>
              <w:rPr>
                <w:b w:val="false"/>
                <w:bCs w:val="false"/>
                <w:color w:val="000000"/>
                <w:sz w:val="20"/>
                <w:szCs w:val="20"/>
              </w:rPr>
              <w:t xml:space="preserve">En tant que responsable, je veux que toute ambiguïté de la note soit documentée explicitement plutôt qu'arbitrée automatiquement.</w:t>
            </w:r>
          </w:p>
        </w:tc>
        <w:tc>
          <w:tcPr>
            <w:tcW w:type="dxa" w:w="1200"/>
            <w:tcMar>
              <w:top w:type="dxa" w:w="80"/>
              <w:left w:type="dxa" w:w="100"/>
              <w:bottom w:type="dxa" w:w="80"/>
              <w:right w:type="dxa" w:w="100"/>
            </w:tcMar>
            <w:vAlign w:val="center"/>
          </w:tcPr>
          <w:p>
            <w:r>
              <w:rPr>
                <w:b w:val="false"/>
                <w:bCs w:val="false"/>
                <w:color w:val="000000"/>
                <w:sz w:val="20"/>
                <w:szCs w:val="20"/>
              </w:rPr>
              <w:t xml:space="preserve">Must</w:t>
            </w:r>
          </w:p>
        </w:tc>
      </w:tr>
    </w:tbl>
    <w:p>
      <w:pPr>
        <w:pStyle w:val="Heading3"/>
        <w:spacing w:after="120" w:before="240"/>
      </w:pPr>
      <w:r>
        <w:rPr>
          <w:b/>
          <w:bCs/>
          <w:color w:val="2C5282"/>
          <w:sz w:val="23"/>
          <w:szCs w:val="23"/>
        </w:rPr>
        <w:t xml:space="preserve">3. Les besoins non-fonctionnels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3A6B" w:val="clear"/>
            <w:tcMar>
              <w:top w:type="dxa" w:w="80"/>
              <w:left w:type="dxa" w:w="100"/>
              <w:bottom w:type="dxa" w:w="80"/>
              <w:right w:type="dxa" w:w="100"/>
            </w:tcMar>
            <w:vAlign w:val="center"/>
          </w:tcPr>
          <w:p>
            <w:r>
              <w:rPr>
                <w:b/>
                <w:bCs/>
                <w:color w:val="FFFFFF"/>
                <w:sz w:val="20"/>
                <w:szCs w:val="20"/>
              </w:rPr>
              <w:t xml:space="preserve">Catégorie</w:t>
            </w:r>
          </w:p>
        </w:tc>
        <w:tc>
          <w:tcPr>
            <w:tcW w:type="dxa" w:w="6800"/>
            <w:shd w:fill="1B3A6B" w:val="clear"/>
            <w:tcMar>
              <w:top w:type="dxa" w:w="80"/>
              <w:left w:type="dxa" w:w="100"/>
              <w:bottom w:type="dxa" w:w="80"/>
              <w:right w:type="dxa" w:w="100"/>
            </w:tcMar>
            <w:vAlign w:val="center"/>
          </w:tcPr>
          <w:p>
            <w:r>
              <w:rPr>
                <w:b/>
                <w:bCs/>
                <w:color w:val="FFFFFF"/>
                <w:sz w:val="20"/>
                <w:szCs w:val="20"/>
              </w:rPr>
              <w:t xml:space="preserve">Exigence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Conformité</w:t>
            </w:r>
          </w:p>
        </w:tc>
        <w:tc>
          <w:tcPr>
            <w:tcW w:type="dxa" w:w="6800"/>
            <w:tcMar>
              <w:top w:type="dxa" w:w="80"/>
              <w:left w:type="dxa" w:w="100"/>
              <w:bottom w:type="dxa" w:w="80"/>
              <w:right w:type="dxa" w:w="100"/>
            </w:tcMar>
            <w:vAlign w:val="center"/>
          </w:tcPr>
          <w:p>
            <w:r>
              <w:rPr>
                <w:b w:val="false"/>
                <w:bCs w:val="false"/>
                <w:color w:val="000000"/>
                <w:sz w:val="20"/>
                <w:szCs w:val="20"/>
              </w:rPr>
              <w:t xml:space="preserve">Aucune règle de segmentation ne doit être inventée ; tout seuil doit être strictement issu de la Note BIAT 2023-06, ou documenté comme hypothèse en attente de validation.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Cohérence</w:t>
            </w:r>
          </w:p>
        </w:tc>
        <w:tc>
          <w:tcPr>
            <w:tcW w:type="dxa" w:w="6800"/>
            <w:tcMar>
              <w:top w:type="dxa" w:w="80"/>
              <w:left w:type="dxa" w:w="100"/>
              <w:bottom w:type="dxa" w:w="80"/>
              <w:right w:type="dxa" w:w="100"/>
            </w:tcMar>
            <w:vAlign w:val="center"/>
          </w:tcPr>
          <w:p>
            <w:r>
              <w:rPr>
                <w:b w:val="false"/>
                <w:bCs w:val="false"/>
                <w:color w:val="000000"/>
                <w:sz w:val="20"/>
                <w:szCs w:val="20"/>
              </w:rPr>
              <w:t xml:space="preserve">Un moteur unique (core/engine.py) doit être partagé par l'ensemble des fonctionnalités, sans duplication de logique métier.</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Traçabilité</w:t>
            </w:r>
          </w:p>
        </w:tc>
        <w:tc>
          <w:tcPr>
            <w:tcW w:type="dxa" w:w="6800"/>
            <w:tcMar>
              <w:top w:type="dxa" w:w="80"/>
              <w:left w:type="dxa" w:w="100"/>
              <w:bottom w:type="dxa" w:w="80"/>
              <w:right w:type="dxa" w:w="100"/>
            </w:tcMar>
            <w:vAlign w:val="center"/>
          </w:tcPr>
          <w:p>
            <w:r>
              <w:rPr>
                <w:b w:val="false"/>
                <w:bCs w:val="false"/>
                <w:color w:val="000000"/>
                <w:sz w:val="20"/>
                <w:szCs w:val="20"/>
              </w:rPr>
              <w:t xml:space="preserve">Chaque segmentation doit produire une trace explicite des règles évaluées et de la règle finalement retenue.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Performance</w:t>
            </w:r>
          </w:p>
        </w:tc>
        <w:tc>
          <w:tcPr>
            <w:tcW w:type="dxa" w:w="6800"/>
            <w:tcMar>
              <w:top w:type="dxa" w:w="80"/>
              <w:left w:type="dxa" w:w="100"/>
              <w:bottom w:type="dxa" w:w="80"/>
              <w:right w:type="dxa" w:w="100"/>
            </w:tcMar>
            <w:vAlign w:val="center"/>
          </w:tcPr>
          <w:p>
            <w:r>
              <w:rPr>
                <w:b w:val="false"/>
                <w:bCs w:val="false"/>
                <w:color w:val="000000"/>
                <w:sz w:val="20"/>
                <w:szCs w:val="20"/>
              </w:rPr>
              <w:t xml:space="preserve">La segmentation d'un client isolé doit être quasi instantanée ; l'import d'un fichier de plusieurs centaines de lignes doit s'exécuter en quelques secondes.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Maintenabilité</w:t>
            </w:r>
          </w:p>
        </w:tc>
        <w:tc>
          <w:tcPr>
            <w:tcW w:type="dxa" w:w="6800"/>
            <w:tcMar>
              <w:top w:type="dxa" w:w="80"/>
              <w:left w:type="dxa" w:w="100"/>
              <w:bottom w:type="dxa" w:w="80"/>
              <w:right w:type="dxa" w:w="100"/>
            </w:tcMar>
            <w:vAlign w:val="center"/>
          </w:tcPr>
          <w:p>
            <w:r>
              <w:rPr>
                <w:b w:val="false"/>
                <w:bCs w:val="false"/>
                <w:color w:val="000000"/>
                <w:sz w:val="20"/>
                <w:szCs w:val="20"/>
              </w:rPr>
              <w:t xml:space="preserve">Les règles doivent être centralisées dans un fichier de configuration externe (JSON), modifiable sans redéploiement du code.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Ergonomie</w:t>
            </w:r>
          </w:p>
        </w:tc>
        <w:tc>
          <w:tcPr>
            <w:tcW w:type="dxa" w:w="6800"/>
            <w:tcMar>
              <w:top w:type="dxa" w:w="80"/>
              <w:left w:type="dxa" w:w="100"/>
              <w:bottom w:type="dxa" w:w="80"/>
              <w:right w:type="dxa" w:w="100"/>
            </w:tcMar>
            <w:vAlign w:val="center"/>
          </w:tcPr>
          <w:p>
            <w:r>
              <w:rPr>
                <w:b w:val="false"/>
                <w:bCs w:val="false"/>
                <w:color w:val="000000"/>
                <w:sz w:val="20"/>
                <w:szCs w:val="20"/>
              </w:rPr>
              <w:t xml:space="preserve">L'interface doit rester utilisable par des conseillers non-techniques, avec des messages d'erreur clairs.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Robustesse</w:t>
            </w:r>
          </w:p>
        </w:tc>
        <w:tc>
          <w:tcPr>
            <w:tcW w:type="dxa" w:w="6800"/>
            <w:tcMar>
              <w:top w:type="dxa" w:w="80"/>
              <w:left w:type="dxa" w:w="100"/>
              <w:bottom w:type="dxa" w:w="80"/>
              <w:right w:type="dxa" w:w="100"/>
            </w:tcMar>
            <w:vAlign w:val="center"/>
          </w:tcPr>
          <w:p>
            <w:r>
              <w:rPr>
                <w:b w:val="false"/>
                <w:bCs w:val="false"/>
                <w:color w:val="000000"/>
                <w:sz w:val="20"/>
                <w:szCs w:val="20"/>
              </w:rPr>
              <w:t xml:space="preserve">Toute donnée d'entrée doit être validée (types, bornes, valeurs autorisées) avant transmission au moteur.</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Portabilité</w:t>
            </w:r>
          </w:p>
        </w:tc>
        <w:tc>
          <w:tcPr>
            <w:tcW w:type="dxa" w:w="6800"/>
            <w:tcMar>
              <w:top w:type="dxa" w:w="80"/>
              <w:left w:type="dxa" w:w="100"/>
              <w:bottom w:type="dxa" w:w="80"/>
              <w:right w:type="dxa" w:w="100"/>
            </w:tcMar>
            <w:vAlign w:val="center"/>
          </w:tcPr>
          <w:p>
            <w:r>
              <w:rPr>
                <w:b w:val="false"/>
                <w:bCs w:val="false"/>
                <w:color w:val="000000"/>
                <w:sz w:val="20"/>
                <w:szCs w:val="20"/>
              </w:rPr>
              <w:t xml:space="preserve">L'application doit pouvoir être exécutée en local ou déployée sur un serveur interne BIAT.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Auditabilité</w:t>
            </w:r>
          </w:p>
        </w:tc>
        <w:tc>
          <w:tcPr>
            <w:tcW w:type="dxa" w:w="6800"/>
            <w:tcMar>
              <w:top w:type="dxa" w:w="80"/>
              <w:left w:type="dxa" w:w="100"/>
              <w:bottom w:type="dxa" w:w="80"/>
              <w:right w:type="dxa" w:w="100"/>
            </w:tcMar>
            <w:vAlign w:val="center"/>
          </w:tcPr>
          <w:p>
            <w:r>
              <w:rPr>
                <w:b w:val="false"/>
                <w:bCs w:val="false"/>
                <w:color w:val="000000"/>
                <w:sz w:val="20"/>
                <w:szCs w:val="20"/>
              </w:rPr>
              <w:t xml:space="preserve">Toute résolution d'ambiguïté ou correction de règle doit être consignée dans un journal de décisions dédié.</w:t>
            </w:r>
          </w:p>
        </w:tc>
      </w:tr>
    </w:tbl>
    <w:p>
      <w:pPr>
        <w:pStyle w:val="Heading3"/>
        <w:spacing w:after="120" w:before="240"/>
      </w:pPr>
      <w:r>
        <w:rPr>
          <w:b/>
          <w:bCs/>
          <w:color w:val="2C5282"/>
          <w:sz w:val="23"/>
          <w:szCs w:val="23"/>
        </w:rPr>
        <w:t xml:space="preserve">4. Identification des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3000"/>
      </w:tblGrid>
      <w:tr>
        <w:trPr>
          <w:tblHeader/>
        </w:trPr>
        <w:tc>
          <w:tcPr>
            <w:tcW w:type="dxa" w:w="4600"/>
            <w:shd w:fill="1B3A6B" w:val="clear"/>
            <w:tcMar>
              <w:top w:type="dxa" w:w="80"/>
              <w:left w:type="dxa" w:w="100"/>
              <w:bottom w:type="dxa" w:w="80"/>
              <w:right w:type="dxa" w:w="100"/>
            </w:tcMar>
            <w:vAlign w:val="center"/>
          </w:tcPr>
          <w:p>
            <w:r>
              <w:rPr>
                <w:b/>
                <w:bCs/>
                <w:color w:val="FFFFFF"/>
                <w:sz w:val="20"/>
                <w:szCs w:val="20"/>
              </w:rPr>
              <w:t xml:space="preserve">Indicateur</w:t>
            </w:r>
          </w:p>
        </w:tc>
        <w:tc>
          <w:tcPr>
            <w:tcW w:type="dxa" w:w="2400"/>
            <w:shd w:fill="1B3A6B" w:val="clear"/>
            <w:tcMar>
              <w:top w:type="dxa" w:w="80"/>
              <w:left w:type="dxa" w:w="100"/>
              <w:bottom w:type="dxa" w:w="80"/>
              <w:right w:type="dxa" w:w="100"/>
            </w:tcMar>
            <w:vAlign w:val="center"/>
          </w:tcPr>
          <w:p>
            <w:r>
              <w:rPr>
                <w:b/>
                <w:bCs/>
                <w:color w:val="FFFFFF"/>
                <w:sz w:val="20"/>
                <w:szCs w:val="20"/>
              </w:rPr>
              <w:t xml:space="preserve">Cible</w:t>
            </w:r>
          </w:p>
        </w:tc>
        <w:tc>
          <w:tcPr>
            <w:tcW w:type="dxa" w:w="3000"/>
            <w:shd w:fill="1B3A6B" w:val="clear"/>
            <w:tcMar>
              <w:top w:type="dxa" w:w="80"/>
              <w:left w:type="dxa" w:w="100"/>
              <w:bottom w:type="dxa" w:w="80"/>
              <w:right w:type="dxa" w:w="100"/>
            </w:tcMar>
            <w:vAlign w:val="center"/>
          </w:tcPr>
          <w:p>
            <w:r>
              <w:rPr>
                <w:b/>
                <w:bCs/>
                <w:color w:val="FFFFFF"/>
                <w:sz w:val="20"/>
                <w:szCs w:val="20"/>
              </w:rPr>
              <w:t xml:space="preserve">Résultat atteint</w:t>
            </w:r>
          </w:p>
        </w:tc>
      </w:tr>
      <w:tr>
        <w:tc>
          <w:tcPr>
            <w:tcW w:type="dxa" w:w="4600"/>
            <w:tcMar>
              <w:top w:type="dxa" w:w="80"/>
              <w:left w:type="dxa" w:w="100"/>
              <w:bottom w:type="dxa" w:w="80"/>
              <w:right w:type="dxa" w:w="100"/>
            </w:tcMar>
            <w:vAlign w:val="center"/>
          </w:tcPr>
          <w:p>
            <w:r>
              <w:rPr>
                <w:b w:val="false"/>
                <w:bCs w:val="false"/>
                <w:color w:val="000000"/>
                <w:sz w:val="20"/>
                <w:szCs w:val="20"/>
              </w:rPr>
              <w:t xml:space="preserve">Taux de réussite des tests unitaires du moteur</w:t>
            </w:r>
          </w:p>
        </w:tc>
        <w:tc>
          <w:tcPr>
            <w:tcW w:type="dxa" w:w="2400"/>
            <w:tcMar>
              <w:top w:type="dxa" w:w="80"/>
              <w:left w:type="dxa" w:w="100"/>
              <w:bottom w:type="dxa" w:w="80"/>
              <w:right w:type="dxa" w:w="100"/>
            </w:tcMar>
            <w:vAlign w:val="center"/>
          </w:tcPr>
          <w:p>
            <w:r>
              <w:rPr>
                <w:b w:val="false"/>
                <w:bCs w:val="false"/>
                <w:color w:val="000000"/>
                <w:sz w:val="20"/>
                <w:szCs w:val="20"/>
              </w:rPr>
              <w:t xml:space="preserve">100 %</w:t>
            </w:r>
          </w:p>
        </w:tc>
        <w:tc>
          <w:tcPr>
            <w:tcW w:type="dxa" w:w="3000"/>
            <w:tcMar>
              <w:top w:type="dxa" w:w="80"/>
              <w:left w:type="dxa" w:w="100"/>
              <w:bottom w:type="dxa" w:w="80"/>
              <w:right w:type="dxa" w:w="100"/>
            </w:tcMar>
            <w:vAlign w:val="center"/>
          </w:tcPr>
          <w:p>
            <w:r>
              <w:rPr>
                <w:b w:val="false"/>
                <w:bCs w:val="false"/>
                <w:color w:val="000000"/>
                <w:sz w:val="20"/>
                <w:szCs w:val="20"/>
              </w:rPr>
              <w:t xml:space="preserve">31 / 31 cas (100 %)</w:t>
            </w:r>
          </w:p>
        </w:tc>
      </w:tr>
      <w:tr>
        <w:tc>
          <w:tcPr>
            <w:tcW w:type="dxa" w:w="4600"/>
            <w:tcMar>
              <w:top w:type="dxa" w:w="80"/>
              <w:left w:type="dxa" w:w="100"/>
              <w:bottom w:type="dxa" w:w="80"/>
              <w:right w:type="dxa" w:w="100"/>
            </w:tcMar>
            <w:vAlign w:val="center"/>
          </w:tcPr>
          <w:p>
            <w:r>
              <w:rPr>
                <w:b w:val="false"/>
                <w:bCs w:val="false"/>
                <w:color w:val="000000"/>
                <w:sz w:val="20"/>
                <w:szCs w:val="20"/>
              </w:rPr>
              <w:t xml:space="preserve">Nombre de marchés de la note couverts</w:t>
            </w:r>
          </w:p>
        </w:tc>
        <w:tc>
          <w:tcPr>
            <w:tcW w:type="dxa" w:w="2400"/>
            <w:tcMar>
              <w:top w:type="dxa" w:w="80"/>
              <w:left w:type="dxa" w:w="100"/>
              <w:bottom w:type="dxa" w:w="80"/>
              <w:right w:type="dxa" w:w="100"/>
            </w:tcMar>
            <w:vAlign w:val="center"/>
          </w:tcPr>
          <w:p>
            <w:r>
              <w:rPr>
                <w:b w:val="false"/>
                <w:bCs w:val="false"/>
                <w:color w:val="000000"/>
                <w:sz w:val="20"/>
                <w:szCs w:val="20"/>
              </w:rPr>
              <w:t xml:space="preserve">4 (PART, PRO, TRE, ENR)</w:t>
            </w:r>
          </w:p>
        </w:tc>
        <w:tc>
          <w:tcPr>
            <w:tcW w:type="dxa" w:w="3000"/>
            <w:tcMar>
              <w:top w:type="dxa" w:w="80"/>
              <w:left w:type="dxa" w:w="100"/>
              <w:bottom w:type="dxa" w:w="80"/>
              <w:right w:type="dxa" w:w="100"/>
            </w:tcMar>
            <w:vAlign w:val="center"/>
          </w:tcPr>
          <w:p>
            <w:r>
              <w:rPr>
                <w:b w:val="false"/>
                <w:bCs w:val="false"/>
                <w:color w:val="000000"/>
                <w:sz w:val="20"/>
                <w:szCs w:val="20"/>
              </w:rPr>
              <w:t xml:space="preserve">4 / 4</w:t>
            </w:r>
          </w:p>
        </w:tc>
      </w:tr>
      <w:tr>
        <w:tc>
          <w:tcPr>
            <w:tcW w:type="dxa" w:w="4600"/>
            <w:tcMar>
              <w:top w:type="dxa" w:w="80"/>
              <w:left w:type="dxa" w:w="100"/>
              <w:bottom w:type="dxa" w:w="80"/>
              <w:right w:type="dxa" w:w="100"/>
            </w:tcMar>
            <w:vAlign w:val="center"/>
          </w:tcPr>
          <w:p>
            <w:r>
              <w:rPr>
                <w:b w:val="false"/>
                <w:bCs w:val="false"/>
                <w:color w:val="000000"/>
                <w:sz w:val="20"/>
                <w:szCs w:val="20"/>
              </w:rPr>
              <w:t xml:space="preserve">Nombre de règles centralisées dans le moteur</w:t>
            </w:r>
          </w:p>
        </w:tc>
        <w:tc>
          <w:tcPr>
            <w:tcW w:type="dxa" w:w="2400"/>
            <w:tcMar>
              <w:top w:type="dxa" w:w="80"/>
              <w:left w:type="dxa" w:w="100"/>
              <w:bottom w:type="dxa" w:w="80"/>
              <w:right w:type="dxa" w:w="100"/>
            </w:tcMar>
            <w:vAlign w:val="center"/>
          </w:tcPr>
          <w:p>
            <w:r>
              <w:rPr>
                <w:b w:val="false"/>
                <w:bCs w:val="false"/>
                <w:color w:val="000000"/>
                <w:sz w:val="20"/>
                <w:szCs w:val="20"/>
              </w:rPr>
              <w:t xml:space="preserve">~ 25</w:t>
            </w:r>
          </w:p>
        </w:tc>
        <w:tc>
          <w:tcPr>
            <w:tcW w:type="dxa" w:w="3000"/>
            <w:tcMar>
              <w:top w:type="dxa" w:w="80"/>
              <w:left w:type="dxa" w:w="100"/>
              <w:bottom w:type="dxa" w:w="80"/>
              <w:right w:type="dxa" w:w="100"/>
            </w:tcMar>
            <w:vAlign w:val="center"/>
          </w:tcPr>
          <w:p>
            <w:r>
              <w:rPr>
                <w:b w:val="false"/>
                <w:bCs w:val="false"/>
                <w:color w:val="000000"/>
                <w:sz w:val="20"/>
                <w:szCs w:val="20"/>
              </w:rPr>
              <w:t xml:space="preserve">26 règles</w:t>
            </w:r>
          </w:p>
        </w:tc>
      </w:tr>
      <w:tr>
        <w:tc>
          <w:tcPr>
            <w:tcW w:type="dxa" w:w="4600"/>
            <w:tcMar>
              <w:top w:type="dxa" w:w="80"/>
              <w:left w:type="dxa" w:w="100"/>
              <w:bottom w:type="dxa" w:w="80"/>
              <w:right w:type="dxa" w:w="100"/>
            </w:tcMar>
            <w:vAlign w:val="center"/>
          </w:tcPr>
          <w:p>
            <w:r>
              <w:rPr>
                <w:b w:val="false"/>
                <w:bCs w:val="false"/>
                <w:color w:val="000000"/>
                <w:sz w:val="20"/>
                <w:szCs w:val="20"/>
              </w:rPr>
              <w:t xml:space="preserve">Écarts de conformité détectés après audit complet du PDF officiel (24 pages)</w:t>
            </w:r>
          </w:p>
        </w:tc>
        <w:tc>
          <w:tcPr>
            <w:tcW w:type="dxa" w:w="2400"/>
            <w:tcMar>
              <w:top w:type="dxa" w:w="80"/>
              <w:left w:type="dxa" w:w="100"/>
              <w:bottom w:type="dxa" w:w="80"/>
              <w:right w:type="dxa" w:w="100"/>
            </w:tcMar>
            <w:vAlign w:val="center"/>
          </w:tcPr>
          <w:p>
            <w:r>
              <w:rPr>
                <w:b w:val="false"/>
                <w:bCs w:val="false"/>
                <w:color w:val="000000"/>
                <w:sz w:val="20"/>
                <w:szCs w:val="20"/>
              </w:rPr>
              <w:t xml:space="preserve">0 écart résiduel non corrigé</w:t>
            </w:r>
          </w:p>
        </w:tc>
        <w:tc>
          <w:tcPr>
            <w:tcW w:type="dxa" w:w="3000"/>
            <w:tcMar>
              <w:top w:type="dxa" w:w="80"/>
              <w:left w:type="dxa" w:w="100"/>
              <w:bottom w:type="dxa" w:w="80"/>
              <w:right w:type="dxa" w:w="100"/>
            </w:tcMar>
            <w:vAlign w:val="center"/>
          </w:tcPr>
          <w:p>
            <w:r>
              <w:rPr>
                <w:b w:val="false"/>
                <w:bCs w:val="false"/>
                <w:color w:val="000000"/>
                <w:sz w:val="20"/>
                <w:szCs w:val="20"/>
              </w:rPr>
              <w:t xml:space="preserve">1 écart majeur corrigé (seuils MMM du marché TRE)</w:t>
            </w:r>
          </w:p>
        </w:tc>
      </w:tr>
      <w:tr>
        <w:tc>
          <w:tcPr>
            <w:tcW w:type="dxa" w:w="4600"/>
            <w:tcMar>
              <w:top w:type="dxa" w:w="80"/>
              <w:left w:type="dxa" w:w="100"/>
              <w:bottom w:type="dxa" w:w="80"/>
              <w:right w:type="dxa" w:w="100"/>
            </w:tcMar>
            <w:vAlign w:val="center"/>
          </w:tcPr>
          <w:p>
            <w:r>
              <w:rPr>
                <w:b w:val="false"/>
                <w:bCs w:val="false"/>
                <w:color w:val="000000"/>
                <w:sz w:val="20"/>
                <w:szCs w:val="20"/>
              </w:rPr>
              <w:t xml:space="preserve">Ambiguïtés de la note explicitement documentées</w:t>
            </w:r>
          </w:p>
        </w:tc>
        <w:tc>
          <w:tcPr>
            <w:tcW w:type="dxa" w:w="2400"/>
            <w:tcMar>
              <w:top w:type="dxa" w:w="80"/>
              <w:left w:type="dxa" w:w="100"/>
              <w:bottom w:type="dxa" w:w="80"/>
              <w:right w:type="dxa" w:w="100"/>
            </w:tcMar>
            <w:vAlign w:val="center"/>
          </w:tcPr>
          <w:p>
            <w:r>
              <w:rPr>
                <w:b w:val="false"/>
                <w:bCs w:val="false"/>
                <w:color w:val="000000"/>
                <w:sz w:val="20"/>
                <w:szCs w:val="20"/>
              </w:rPr>
              <w:t xml:space="preserve">100 % des cas identifiés</w:t>
            </w:r>
          </w:p>
        </w:tc>
        <w:tc>
          <w:tcPr>
            <w:tcW w:type="dxa" w:w="3000"/>
            <w:tcMar>
              <w:top w:type="dxa" w:w="80"/>
              <w:left w:type="dxa" w:w="100"/>
              <w:bottom w:type="dxa" w:w="80"/>
              <w:right w:type="dxa" w:w="100"/>
            </w:tcMar>
            <w:vAlign w:val="center"/>
          </w:tcPr>
          <w:p>
            <w:r>
              <w:rPr>
                <w:b w:val="false"/>
                <w:bCs w:val="false"/>
                <w:color w:val="000000"/>
                <w:sz w:val="20"/>
                <w:szCs w:val="20"/>
              </w:rPr>
              <w:t xml:space="preserve">2 ambiguïtés documentées (dont 1 résolue, 1 en attente de validation)</w:t>
            </w:r>
          </w:p>
        </w:tc>
      </w:tr>
      <w:tr>
        <w:tc>
          <w:tcPr>
            <w:tcW w:type="dxa" w:w="4600"/>
            <w:tcMar>
              <w:top w:type="dxa" w:w="80"/>
              <w:left w:type="dxa" w:w="100"/>
              <w:bottom w:type="dxa" w:w="80"/>
              <w:right w:type="dxa" w:w="100"/>
            </w:tcMar>
            <w:vAlign w:val="center"/>
          </w:tcPr>
          <w:p>
            <w:r>
              <w:rPr>
                <w:b w:val="false"/>
                <w:bCs w:val="false"/>
                <w:color w:val="000000"/>
                <w:sz w:val="20"/>
                <w:szCs w:val="20"/>
              </w:rPr>
              <w:t xml:space="preserve">Temps de segmentation d'un profil individuel</w:t>
            </w:r>
          </w:p>
        </w:tc>
        <w:tc>
          <w:tcPr>
            <w:tcW w:type="dxa" w:w="2400"/>
            <w:tcMar>
              <w:top w:type="dxa" w:w="80"/>
              <w:left w:type="dxa" w:w="100"/>
              <w:bottom w:type="dxa" w:w="80"/>
              <w:right w:type="dxa" w:w="100"/>
            </w:tcMar>
            <w:vAlign w:val="center"/>
          </w:tcPr>
          <w:p>
            <w:r>
              <w:rPr>
                <w:b w:val="false"/>
                <w:bCs w:val="false"/>
                <w:color w:val="000000"/>
                <w:sz w:val="20"/>
                <w:szCs w:val="20"/>
              </w:rPr>
              <w:t xml:space="preserve">&lt; 100 ms</w:t>
            </w:r>
          </w:p>
        </w:tc>
        <w:tc>
          <w:tcPr>
            <w:tcW w:type="dxa" w:w="3000"/>
            <w:tcMar>
              <w:top w:type="dxa" w:w="80"/>
              <w:left w:type="dxa" w:w="100"/>
              <w:bottom w:type="dxa" w:w="80"/>
              <w:right w:type="dxa" w:w="100"/>
            </w:tcMar>
            <w:vAlign w:val="center"/>
          </w:tcPr>
          <w:p>
            <w:r>
              <w:rPr>
                <w:b w:val="false"/>
                <w:bCs w:val="false"/>
                <w:color w:val="000000"/>
                <w:sz w:val="20"/>
                <w:szCs w:val="20"/>
              </w:rPr>
              <w:t xml:space="preserve">Conforme (traitement entièrement en mémoire)</w:t>
            </w:r>
          </w:p>
        </w:tc>
      </w:tr>
    </w:tbl>
    <w:p>
      <w:pPr>
        <w:pStyle w:val="Heading2"/>
        <w:spacing w:after="160" w:before="320"/>
      </w:pPr>
      <w:r>
        <w:rPr>
          <w:b/>
          <w:bCs/>
          <w:color w:val="1B3A6B"/>
          <w:sz w:val="26"/>
          <w:szCs w:val="26"/>
        </w:rPr>
        <w:t xml:space="preserve">II. Mise en place du projet avec SCRUM</w:t>
      </w:r>
    </w:p>
    <w:p>
      <w:pPr>
        <w:pStyle w:val="Heading3"/>
        <w:spacing w:after="120" w:before="240"/>
      </w:pPr>
      <w:r>
        <w:rPr>
          <w:b/>
          <w:bCs/>
          <w:color w:val="2C5282"/>
          <w:sz w:val="23"/>
          <w:szCs w:val="23"/>
        </w:rPr>
        <w:t xml:space="preserve">1. Distribution des rôles</w:t>
      </w:r>
    </w:p>
    <w:p>
      <w:pPr>
        <w:spacing w:after="160" w:line="300"/>
        <w:jc w:val="both"/>
      </w:pPr>
      <w:r>
        <w:rPr>
          <w:b w:val="false"/>
          <w:bCs w:val="false"/>
          <w:i w:val="false"/>
          <w:iCs w:val="false"/>
          <w:sz w:val="22"/>
          <w:szCs w:val="22"/>
        </w:rPr>
        <w:t xml:space="preserve">Conformément au cadre Scrum retenu, les rôles ont été répartis comme suit : l'encadrant professionnel BIAT occupe la fonction de Product Owner, garant de la conformité métier et de la priorisation du backlog ; l'encadrant académique assure un rôle de Scrum Master et de copilotage méthodologique, veillant au bon déroulement du processus et à la qualité des livrables ; l'étudiant constitue à lui seul l'équipe de développement, en charge de la conception, du développement, des tests et de la documentation.</w:t>
      </w:r>
    </w:p>
    <w:p>
      <w:pPr>
        <w:pStyle w:val="Heading3"/>
        <w:spacing w:after="120" w:before="240"/>
      </w:pPr>
      <w:r>
        <w:rPr>
          <w:b/>
          <w:bCs/>
          <w:color w:val="2C5282"/>
          <w:sz w:val="23"/>
          <w:szCs w:val="23"/>
        </w:rPr>
        <w:t xml:space="preserve">2. Backlog Product</w:t>
      </w:r>
    </w:p>
    <w:p>
      <w:pPr>
        <w:spacing w:after="160" w:line="300"/>
        <w:jc w:val="both"/>
      </w:pPr>
      <w:r>
        <w:rPr>
          <w:b w:val="false"/>
          <w:bCs w:val="false"/>
          <w:i w:val="false"/>
          <w:iCs w:val="false"/>
          <w:sz w:val="22"/>
          <w:szCs w:val="22"/>
        </w:rPr>
        <w:t xml:space="preserve">Le backlog produit reprend l'ensemble des besoins fonctionnels identifiés (section I.2), priorisés selon la méthode MoSCoW et estimés en points d'effort relatifs, afin de préparer leur répartition dans les sprints.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1400"/>
      </w:tblGrid>
      <w:tr>
        <w:trPr>
          <w:tblHeader/>
        </w:trPr>
        <w:tc>
          <w:tcPr>
            <w:tcW w:type="dxa" w:w="1200"/>
            <w:shd w:fill="1B3A6B" w:val="clear"/>
            <w:tcMar>
              <w:top w:type="dxa" w:w="80"/>
              <w:left w:type="dxa" w:w="100"/>
              <w:bottom w:type="dxa" w:w="80"/>
              <w:right w:type="dxa" w:w="100"/>
            </w:tcMar>
            <w:vAlign w:val="center"/>
          </w:tcPr>
          <w:p>
            <w:r>
              <w:rPr>
                <w:b/>
                <w:bCs/>
                <w:color w:val="FFFFFF"/>
                <w:sz w:val="20"/>
                <w:szCs w:val="20"/>
              </w:rPr>
              <w:t xml:space="preserve">ID</w:t>
            </w:r>
          </w:p>
        </w:tc>
        <w:tc>
          <w:tcPr>
            <w:tcW w:type="dxa" w:w="5000"/>
            <w:shd w:fill="1B3A6B" w:val="clear"/>
            <w:tcMar>
              <w:top w:type="dxa" w:w="80"/>
              <w:left w:type="dxa" w:w="100"/>
              <w:bottom w:type="dxa" w:w="80"/>
              <w:right w:type="dxa" w:w="100"/>
            </w:tcMar>
            <w:vAlign w:val="center"/>
          </w:tcPr>
          <w:p>
            <w:r>
              <w:rPr>
                <w:b/>
                <w:bCs/>
                <w:color w:val="FFFFFF"/>
                <w:sz w:val="20"/>
                <w:szCs w:val="20"/>
              </w:rPr>
              <w:t xml:space="preserve">Élément du backlog (résumé)</w:t>
            </w:r>
          </w:p>
        </w:tc>
        <w:tc>
          <w:tcPr>
            <w:tcW w:type="dxa" w:w="1400"/>
            <w:shd w:fill="1B3A6B" w:val="clear"/>
            <w:tcMar>
              <w:top w:type="dxa" w:w="80"/>
              <w:left w:type="dxa" w:w="100"/>
              <w:bottom w:type="dxa" w:w="80"/>
              <w:right w:type="dxa" w:w="100"/>
            </w:tcMar>
            <w:vAlign w:val="center"/>
          </w:tcPr>
          <w:p>
            <w:r>
              <w:rPr>
                <w:b/>
                <w:bCs/>
                <w:color w:val="FFFFFF"/>
                <w:sz w:val="20"/>
                <w:szCs w:val="20"/>
              </w:rPr>
              <w:t xml:space="preserve">Priorité</w:t>
            </w:r>
          </w:p>
        </w:tc>
        <w:tc>
          <w:tcPr>
            <w:tcW w:type="dxa" w:w="1400"/>
            <w:shd w:fill="1B3A6B" w:val="clear"/>
            <w:tcMar>
              <w:top w:type="dxa" w:w="80"/>
              <w:left w:type="dxa" w:w="100"/>
              <w:bottom w:type="dxa" w:w="80"/>
              <w:right w:type="dxa" w:w="100"/>
            </w:tcMar>
            <w:vAlign w:val="center"/>
          </w:tcPr>
          <w:p>
            <w:r>
              <w:rPr>
                <w:b/>
                <w:bCs/>
                <w:color w:val="FFFFFF"/>
                <w:sz w:val="20"/>
                <w:szCs w:val="20"/>
              </w:rPr>
              <w:t xml:space="preserve">Estimation (points)</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BF02 / BF03</w:t>
            </w:r>
          </w:p>
        </w:tc>
        <w:tc>
          <w:tcPr>
            <w:tcW w:type="dxa" w:w="5000"/>
            <w:tcMar>
              <w:top w:type="dxa" w:w="80"/>
              <w:left w:type="dxa" w:w="100"/>
              <w:bottom w:type="dxa" w:w="80"/>
              <w:right w:type="dxa" w:w="100"/>
            </w:tcMar>
            <w:vAlign w:val="center"/>
          </w:tcPr>
          <w:p>
            <w:r>
              <w:rPr>
                <w:b w:val="false"/>
                <w:bCs w:val="false"/>
                <w:color w:val="000000"/>
                <w:sz w:val="20"/>
                <w:szCs w:val="20"/>
              </w:rPr>
              <w:t xml:space="preserve">Moteur de segmentation unique, conforme à la note</w:t>
            </w:r>
          </w:p>
        </w:tc>
        <w:tc>
          <w:tcPr>
            <w:tcW w:type="dxa" w:w="1400"/>
            <w:tcMar>
              <w:top w:type="dxa" w:w="80"/>
              <w:left w:type="dxa" w:w="100"/>
              <w:bottom w:type="dxa" w:w="80"/>
              <w:right w:type="dxa" w:w="100"/>
            </w:tcMar>
            <w:vAlign w:val="center"/>
          </w:tcPr>
          <w:p>
            <w:r>
              <w:rPr>
                <w:b w:val="false"/>
                <w:bCs w:val="false"/>
                <w:color w:val="000000"/>
                <w:sz w:val="20"/>
                <w:szCs w:val="20"/>
              </w:rPr>
              <w:t xml:space="preserve">Must</w:t>
            </w:r>
          </w:p>
        </w:tc>
        <w:tc>
          <w:tcPr>
            <w:tcW w:type="dxa" w:w="1400"/>
            <w:tcMar>
              <w:top w:type="dxa" w:w="80"/>
              <w:left w:type="dxa" w:w="100"/>
              <w:bottom w:type="dxa" w:w="80"/>
              <w:right w:type="dxa" w:w="100"/>
            </w:tcMar>
            <w:vAlign w:val="center"/>
          </w:tcPr>
          <w:p>
            <w:r>
              <w:rPr>
                <w:b w:val="false"/>
                <w:bCs w:val="false"/>
                <w:color w:val="000000"/>
                <w:sz w:val="20"/>
                <w:szCs w:val="20"/>
              </w:rPr>
              <w:t xml:space="preserve">8</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BF01</w:t>
            </w:r>
          </w:p>
        </w:tc>
        <w:tc>
          <w:tcPr>
            <w:tcW w:type="dxa" w:w="5000"/>
            <w:tcMar>
              <w:top w:type="dxa" w:w="80"/>
              <w:left w:type="dxa" w:w="100"/>
              <w:bottom w:type="dxa" w:w="80"/>
              <w:right w:type="dxa" w:w="100"/>
            </w:tcMar>
            <w:vAlign w:val="center"/>
          </w:tcPr>
          <w:p>
            <w:r>
              <w:rPr>
                <w:b w:val="false"/>
                <w:bCs w:val="false"/>
                <w:color w:val="000000"/>
                <w:sz w:val="20"/>
                <w:szCs w:val="20"/>
              </w:rPr>
              <w:t xml:space="preserve">Simulation individuelle (formulaire)</w:t>
            </w:r>
          </w:p>
        </w:tc>
        <w:tc>
          <w:tcPr>
            <w:tcW w:type="dxa" w:w="1400"/>
            <w:tcMar>
              <w:top w:type="dxa" w:w="80"/>
              <w:left w:type="dxa" w:w="100"/>
              <w:bottom w:type="dxa" w:w="80"/>
              <w:right w:type="dxa" w:w="100"/>
            </w:tcMar>
            <w:vAlign w:val="center"/>
          </w:tcPr>
          <w:p>
            <w:r>
              <w:rPr>
                <w:b w:val="false"/>
                <w:bCs w:val="false"/>
                <w:color w:val="000000"/>
                <w:sz w:val="20"/>
                <w:szCs w:val="20"/>
              </w:rPr>
              <w:t xml:space="preserve">Must</w:t>
            </w:r>
          </w:p>
        </w:tc>
        <w:tc>
          <w:tcPr>
            <w:tcW w:type="dxa" w:w="1400"/>
            <w:tcMar>
              <w:top w:type="dxa" w:w="80"/>
              <w:left w:type="dxa" w:w="100"/>
              <w:bottom w:type="dxa" w:w="80"/>
              <w:right w:type="dxa" w:w="100"/>
            </w:tcMar>
            <w:vAlign w:val="center"/>
          </w:tcPr>
          <w:p>
            <w:r>
              <w:rPr>
                <w:b w:val="false"/>
                <w:bCs w:val="false"/>
                <w:color w:val="000000"/>
                <w:sz w:val="20"/>
                <w:szCs w:val="20"/>
              </w:rPr>
              <w:t xml:space="preserve">5</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BF04 / BF05</w:t>
            </w:r>
          </w:p>
        </w:tc>
        <w:tc>
          <w:tcPr>
            <w:tcW w:type="dxa" w:w="5000"/>
            <w:tcMar>
              <w:top w:type="dxa" w:w="80"/>
              <w:left w:type="dxa" w:w="100"/>
              <w:bottom w:type="dxa" w:w="80"/>
              <w:right w:type="dxa" w:w="100"/>
            </w:tcMar>
            <w:vAlign w:val="center"/>
          </w:tcPr>
          <w:p>
            <w:r>
              <w:rPr>
                <w:b w:val="false"/>
                <w:bCs w:val="false"/>
                <w:color w:val="000000"/>
                <w:sz w:val="20"/>
                <w:szCs w:val="20"/>
              </w:rPr>
              <w:t xml:space="preserve">Import CSV/Excel en masse + validation</w:t>
            </w:r>
          </w:p>
        </w:tc>
        <w:tc>
          <w:tcPr>
            <w:tcW w:type="dxa" w:w="1400"/>
            <w:tcMar>
              <w:top w:type="dxa" w:w="80"/>
              <w:left w:type="dxa" w:w="100"/>
              <w:bottom w:type="dxa" w:w="80"/>
              <w:right w:type="dxa" w:w="100"/>
            </w:tcMar>
            <w:vAlign w:val="center"/>
          </w:tcPr>
          <w:p>
            <w:r>
              <w:rPr>
                <w:b w:val="false"/>
                <w:bCs w:val="false"/>
                <w:color w:val="000000"/>
                <w:sz w:val="20"/>
                <w:szCs w:val="20"/>
              </w:rPr>
              <w:t xml:space="preserve">Must</w:t>
            </w:r>
          </w:p>
        </w:tc>
        <w:tc>
          <w:tcPr>
            <w:tcW w:type="dxa" w:w="1400"/>
            <w:tcMar>
              <w:top w:type="dxa" w:w="80"/>
              <w:left w:type="dxa" w:w="100"/>
              <w:bottom w:type="dxa" w:w="80"/>
              <w:right w:type="dxa" w:w="100"/>
            </w:tcMar>
            <w:vAlign w:val="center"/>
          </w:tcPr>
          <w:p>
            <w:r>
              <w:rPr>
                <w:b w:val="false"/>
                <w:bCs w:val="false"/>
                <w:color w:val="000000"/>
                <w:sz w:val="20"/>
                <w:szCs w:val="20"/>
              </w:rPr>
              <w:t xml:space="preserve">13</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BF06</w:t>
            </w:r>
          </w:p>
        </w:tc>
        <w:tc>
          <w:tcPr>
            <w:tcW w:type="dxa" w:w="5000"/>
            <w:tcMar>
              <w:top w:type="dxa" w:w="80"/>
              <w:left w:type="dxa" w:w="100"/>
              <w:bottom w:type="dxa" w:w="80"/>
              <w:right w:type="dxa" w:w="100"/>
            </w:tcMar>
            <w:vAlign w:val="center"/>
          </w:tcPr>
          <w:p>
            <w:r>
              <w:rPr>
                <w:b w:val="false"/>
                <w:bCs w:val="false"/>
                <w:color w:val="000000"/>
                <w:sz w:val="20"/>
                <w:szCs w:val="20"/>
              </w:rPr>
              <w:t xml:space="preserve">Modèle Excel avec listes déroulantes</w:t>
            </w:r>
          </w:p>
        </w:tc>
        <w:tc>
          <w:tcPr>
            <w:tcW w:type="dxa" w:w="1400"/>
            <w:tcMar>
              <w:top w:type="dxa" w:w="80"/>
              <w:left w:type="dxa" w:w="100"/>
              <w:bottom w:type="dxa" w:w="80"/>
              <w:right w:type="dxa" w:w="100"/>
            </w:tcMar>
            <w:vAlign w:val="center"/>
          </w:tcPr>
          <w:p>
            <w:r>
              <w:rPr>
                <w:b w:val="false"/>
                <w:bCs w:val="false"/>
                <w:color w:val="000000"/>
                <w:sz w:val="20"/>
                <w:szCs w:val="20"/>
              </w:rPr>
              <w:t xml:space="preserve">Should</w:t>
            </w:r>
          </w:p>
        </w:tc>
        <w:tc>
          <w:tcPr>
            <w:tcW w:type="dxa" w:w="1400"/>
            <w:tcMar>
              <w:top w:type="dxa" w:w="80"/>
              <w:left w:type="dxa" w:w="100"/>
              <w:bottom w:type="dxa" w:w="80"/>
              <w:right w:type="dxa" w:w="100"/>
            </w:tcMar>
            <w:vAlign w:val="center"/>
          </w:tcPr>
          <w:p>
            <w:r>
              <w:rPr>
                <w:b w:val="false"/>
                <w:bCs w:val="false"/>
                <w:color w:val="000000"/>
                <w:sz w:val="20"/>
                <w:szCs w:val="20"/>
              </w:rPr>
              <w:t xml:space="preserve">5</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BF07</w:t>
            </w:r>
          </w:p>
        </w:tc>
        <w:tc>
          <w:tcPr>
            <w:tcW w:type="dxa" w:w="5000"/>
            <w:tcMar>
              <w:top w:type="dxa" w:w="80"/>
              <w:left w:type="dxa" w:w="100"/>
              <w:bottom w:type="dxa" w:w="80"/>
              <w:right w:type="dxa" w:w="100"/>
            </w:tcMar>
            <w:vAlign w:val="center"/>
          </w:tcPr>
          <w:p>
            <w:r>
              <w:rPr>
                <w:b w:val="false"/>
                <w:bCs w:val="false"/>
                <w:color w:val="000000"/>
                <w:sz w:val="20"/>
                <w:szCs w:val="20"/>
              </w:rPr>
              <w:t xml:space="preserve">Tableau de bord de synthèse</w:t>
            </w:r>
          </w:p>
        </w:tc>
        <w:tc>
          <w:tcPr>
            <w:tcW w:type="dxa" w:w="1400"/>
            <w:tcMar>
              <w:top w:type="dxa" w:w="80"/>
              <w:left w:type="dxa" w:w="100"/>
              <w:bottom w:type="dxa" w:w="80"/>
              <w:right w:type="dxa" w:w="100"/>
            </w:tcMar>
            <w:vAlign w:val="center"/>
          </w:tcPr>
          <w:p>
            <w:r>
              <w:rPr>
                <w:b w:val="false"/>
                <w:bCs w:val="false"/>
                <w:color w:val="000000"/>
                <w:sz w:val="20"/>
                <w:szCs w:val="20"/>
              </w:rPr>
              <w:t xml:space="preserve">Should</w:t>
            </w:r>
          </w:p>
        </w:tc>
        <w:tc>
          <w:tcPr>
            <w:tcW w:type="dxa" w:w="1400"/>
            <w:tcMar>
              <w:top w:type="dxa" w:w="80"/>
              <w:left w:type="dxa" w:w="100"/>
              <w:bottom w:type="dxa" w:w="80"/>
              <w:right w:type="dxa" w:w="100"/>
            </w:tcMar>
            <w:vAlign w:val="center"/>
          </w:tcPr>
          <w:p>
            <w:r>
              <w:rPr>
                <w:b w:val="false"/>
                <w:bCs w:val="false"/>
                <w:color w:val="000000"/>
                <w:sz w:val="20"/>
                <w:szCs w:val="20"/>
              </w:rPr>
              <w:t xml:space="preserve">8</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BF08</w:t>
            </w:r>
          </w:p>
        </w:tc>
        <w:tc>
          <w:tcPr>
            <w:tcW w:type="dxa" w:w="5000"/>
            <w:tcMar>
              <w:top w:type="dxa" w:w="80"/>
              <w:left w:type="dxa" w:w="100"/>
              <w:bottom w:type="dxa" w:w="80"/>
              <w:right w:type="dxa" w:w="100"/>
            </w:tcMar>
            <w:vAlign w:val="center"/>
          </w:tcPr>
          <w:p>
            <w:r>
              <w:rPr>
                <w:b w:val="false"/>
                <w:bCs w:val="false"/>
                <w:color w:val="000000"/>
                <w:sz w:val="20"/>
                <w:szCs w:val="20"/>
              </w:rPr>
              <w:t xml:space="preserve">Chatbot expert</w:t>
            </w:r>
          </w:p>
        </w:tc>
        <w:tc>
          <w:tcPr>
            <w:tcW w:type="dxa" w:w="1400"/>
            <w:tcMar>
              <w:top w:type="dxa" w:w="80"/>
              <w:left w:type="dxa" w:w="100"/>
              <w:bottom w:type="dxa" w:w="80"/>
              <w:right w:type="dxa" w:w="100"/>
            </w:tcMar>
            <w:vAlign w:val="center"/>
          </w:tcPr>
          <w:p>
            <w:r>
              <w:rPr>
                <w:b w:val="false"/>
                <w:bCs w:val="false"/>
                <w:color w:val="000000"/>
                <w:sz w:val="20"/>
                <w:szCs w:val="20"/>
              </w:rPr>
              <w:t xml:space="preserve">Should</w:t>
            </w:r>
          </w:p>
        </w:tc>
        <w:tc>
          <w:tcPr>
            <w:tcW w:type="dxa" w:w="1400"/>
            <w:tcMar>
              <w:top w:type="dxa" w:w="80"/>
              <w:left w:type="dxa" w:w="100"/>
              <w:bottom w:type="dxa" w:w="80"/>
              <w:right w:type="dxa" w:w="100"/>
            </w:tcMar>
            <w:vAlign w:val="center"/>
          </w:tcPr>
          <w:p>
            <w:r>
              <w:rPr>
                <w:b w:val="false"/>
                <w:bCs w:val="false"/>
                <w:color w:val="000000"/>
                <w:sz w:val="20"/>
                <w:szCs w:val="20"/>
              </w:rPr>
              <w:t xml:space="preserve">8</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BF09</w:t>
            </w:r>
          </w:p>
        </w:tc>
        <w:tc>
          <w:tcPr>
            <w:tcW w:type="dxa" w:w="5000"/>
            <w:tcMar>
              <w:top w:type="dxa" w:w="80"/>
              <w:left w:type="dxa" w:w="100"/>
              <w:bottom w:type="dxa" w:w="80"/>
              <w:right w:type="dxa" w:w="100"/>
            </w:tcMar>
            <w:vAlign w:val="center"/>
          </w:tcPr>
          <w:p>
            <w:r>
              <w:rPr>
                <w:b w:val="false"/>
                <w:bCs w:val="false"/>
                <w:color w:val="000000"/>
                <w:sz w:val="20"/>
                <w:szCs w:val="20"/>
              </w:rPr>
              <w:t xml:space="preserve">Page de paramétrage des règles</w:t>
            </w:r>
          </w:p>
        </w:tc>
        <w:tc>
          <w:tcPr>
            <w:tcW w:type="dxa" w:w="1400"/>
            <w:tcMar>
              <w:top w:type="dxa" w:w="80"/>
              <w:left w:type="dxa" w:w="100"/>
              <w:bottom w:type="dxa" w:w="80"/>
              <w:right w:type="dxa" w:w="100"/>
            </w:tcMar>
            <w:vAlign w:val="center"/>
          </w:tcPr>
          <w:p>
            <w:r>
              <w:rPr>
                <w:b w:val="false"/>
                <w:bCs w:val="false"/>
                <w:color w:val="000000"/>
                <w:sz w:val="20"/>
                <w:szCs w:val="20"/>
              </w:rPr>
              <w:t xml:space="preserve">Should</w:t>
            </w:r>
          </w:p>
        </w:tc>
        <w:tc>
          <w:tcPr>
            <w:tcW w:type="dxa" w:w="1400"/>
            <w:tcMar>
              <w:top w:type="dxa" w:w="80"/>
              <w:left w:type="dxa" w:w="100"/>
              <w:bottom w:type="dxa" w:w="80"/>
              <w:right w:type="dxa" w:w="100"/>
            </w:tcMar>
            <w:vAlign w:val="center"/>
          </w:tcPr>
          <w:p>
            <w:r>
              <w:rPr>
                <w:b w:val="false"/>
                <w:bCs w:val="false"/>
                <w:color w:val="000000"/>
                <w:sz w:val="20"/>
                <w:szCs w:val="20"/>
              </w:rPr>
              <w:t xml:space="preserve">8</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BF10</w:t>
            </w:r>
          </w:p>
        </w:tc>
        <w:tc>
          <w:tcPr>
            <w:tcW w:type="dxa" w:w="5000"/>
            <w:tcMar>
              <w:top w:type="dxa" w:w="80"/>
              <w:left w:type="dxa" w:w="100"/>
              <w:bottom w:type="dxa" w:w="80"/>
              <w:right w:type="dxa" w:w="100"/>
            </w:tcMar>
            <w:vAlign w:val="center"/>
          </w:tcPr>
          <w:p>
            <w:r>
              <w:rPr>
                <w:b w:val="false"/>
                <w:bCs w:val="false"/>
                <w:color w:val="000000"/>
                <w:sz w:val="20"/>
                <w:szCs w:val="20"/>
              </w:rPr>
              <w:t xml:space="preserve">Traçabilité / justification des décisions</w:t>
            </w:r>
          </w:p>
        </w:tc>
        <w:tc>
          <w:tcPr>
            <w:tcW w:type="dxa" w:w="1400"/>
            <w:tcMar>
              <w:top w:type="dxa" w:w="80"/>
              <w:left w:type="dxa" w:w="100"/>
              <w:bottom w:type="dxa" w:w="80"/>
              <w:right w:type="dxa" w:w="100"/>
            </w:tcMar>
            <w:vAlign w:val="center"/>
          </w:tcPr>
          <w:p>
            <w:r>
              <w:rPr>
                <w:b w:val="false"/>
                <w:bCs w:val="false"/>
                <w:color w:val="000000"/>
                <w:sz w:val="20"/>
                <w:szCs w:val="20"/>
              </w:rPr>
              <w:t xml:space="preserve">Could</w:t>
            </w:r>
          </w:p>
        </w:tc>
        <w:tc>
          <w:tcPr>
            <w:tcW w:type="dxa" w:w="1400"/>
            <w:tcMar>
              <w:top w:type="dxa" w:w="80"/>
              <w:left w:type="dxa" w:w="100"/>
              <w:bottom w:type="dxa" w:w="80"/>
              <w:right w:type="dxa" w:w="100"/>
            </w:tcMar>
            <w:vAlign w:val="center"/>
          </w:tcPr>
          <w:p>
            <w:r>
              <w:rPr>
                <w:b w:val="false"/>
                <w:bCs w:val="false"/>
                <w:color w:val="000000"/>
                <w:sz w:val="20"/>
                <w:szCs w:val="20"/>
              </w:rPr>
              <w:t xml:space="preserve">5</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BF11</w:t>
            </w:r>
          </w:p>
        </w:tc>
        <w:tc>
          <w:tcPr>
            <w:tcW w:type="dxa" w:w="5000"/>
            <w:tcMar>
              <w:top w:type="dxa" w:w="80"/>
              <w:left w:type="dxa" w:w="100"/>
              <w:bottom w:type="dxa" w:w="80"/>
              <w:right w:type="dxa" w:w="100"/>
            </w:tcMar>
            <w:vAlign w:val="center"/>
          </w:tcPr>
          <w:p>
            <w:r>
              <w:rPr>
                <w:b w:val="false"/>
                <w:bCs w:val="false"/>
                <w:color w:val="000000"/>
                <w:sz w:val="20"/>
                <w:szCs w:val="20"/>
              </w:rPr>
              <w:t xml:space="preserve">Champ optionnel épargnants/déposants exclusifs</w:t>
            </w:r>
          </w:p>
        </w:tc>
        <w:tc>
          <w:tcPr>
            <w:tcW w:type="dxa" w:w="1400"/>
            <w:tcMar>
              <w:top w:type="dxa" w:w="80"/>
              <w:left w:type="dxa" w:w="100"/>
              <w:bottom w:type="dxa" w:w="80"/>
              <w:right w:type="dxa" w:w="100"/>
            </w:tcMar>
            <w:vAlign w:val="center"/>
          </w:tcPr>
          <w:p>
            <w:r>
              <w:rPr>
                <w:b w:val="false"/>
                <w:bCs w:val="false"/>
                <w:color w:val="000000"/>
                <w:sz w:val="20"/>
                <w:szCs w:val="20"/>
              </w:rPr>
              <w:t xml:space="preserve">Could</w:t>
            </w:r>
          </w:p>
        </w:tc>
        <w:tc>
          <w:tcPr>
            <w:tcW w:type="dxa" w:w="1400"/>
            <w:tcMar>
              <w:top w:type="dxa" w:w="80"/>
              <w:left w:type="dxa" w:w="100"/>
              <w:bottom w:type="dxa" w:w="80"/>
              <w:right w:type="dxa" w:w="100"/>
            </w:tcMar>
            <w:vAlign w:val="center"/>
          </w:tcPr>
          <w:p>
            <w:r>
              <w:rPr>
                <w:b w:val="false"/>
                <w:bCs w:val="false"/>
                <w:color w:val="000000"/>
                <w:sz w:val="20"/>
                <w:szCs w:val="20"/>
              </w:rPr>
              <w:t xml:space="preserve">5</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BF12</w:t>
            </w:r>
          </w:p>
        </w:tc>
        <w:tc>
          <w:tcPr>
            <w:tcW w:type="dxa" w:w="5000"/>
            <w:tcMar>
              <w:top w:type="dxa" w:w="80"/>
              <w:left w:type="dxa" w:w="100"/>
              <w:bottom w:type="dxa" w:w="80"/>
              <w:right w:type="dxa" w:w="100"/>
            </w:tcMar>
            <w:vAlign w:val="center"/>
          </w:tcPr>
          <w:p>
            <w:r>
              <w:rPr>
                <w:b w:val="false"/>
                <w:bCs w:val="false"/>
                <w:color w:val="000000"/>
                <w:sz w:val="20"/>
                <w:szCs w:val="20"/>
              </w:rPr>
              <w:t xml:space="preserve">Journal de documentation des ambiguïtés</w:t>
            </w:r>
          </w:p>
        </w:tc>
        <w:tc>
          <w:tcPr>
            <w:tcW w:type="dxa" w:w="1400"/>
            <w:tcMar>
              <w:top w:type="dxa" w:w="80"/>
              <w:left w:type="dxa" w:w="100"/>
              <w:bottom w:type="dxa" w:w="80"/>
              <w:right w:type="dxa" w:w="100"/>
            </w:tcMar>
            <w:vAlign w:val="center"/>
          </w:tcPr>
          <w:p>
            <w:r>
              <w:rPr>
                <w:b w:val="false"/>
                <w:bCs w:val="false"/>
                <w:color w:val="000000"/>
                <w:sz w:val="20"/>
                <w:szCs w:val="20"/>
              </w:rPr>
              <w:t xml:space="preserve">Must</w:t>
            </w:r>
          </w:p>
        </w:tc>
        <w:tc>
          <w:tcPr>
            <w:tcW w:type="dxa" w:w="1400"/>
            <w:tcMar>
              <w:top w:type="dxa" w:w="80"/>
              <w:left w:type="dxa" w:w="100"/>
              <w:bottom w:type="dxa" w:w="80"/>
              <w:right w:type="dxa" w:w="100"/>
            </w:tcMar>
            <w:vAlign w:val="center"/>
          </w:tcPr>
          <w:p>
            <w:r>
              <w:rPr>
                <w:b w:val="false"/>
                <w:bCs w:val="false"/>
                <w:color w:val="000000"/>
                <w:sz w:val="20"/>
                <w:szCs w:val="20"/>
              </w:rPr>
              <w:t xml:space="preserve">3</w:t>
            </w:r>
          </w:p>
        </w:tc>
      </w:tr>
    </w:tbl>
    <w:p>
      <w:pPr>
        <w:pStyle w:val="Heading3"/>
        <w:spacing w:after="120" w:before="240"/>
      </w:pPr>
      <w:r>
        <w:rPr>
          <w:b/>
          <w:bCs/>
          <w:color w:val="2C5282"/>
          <w:sz w:val="23"/>
          <w:szCs w:val="23"/>
        </w:rPr>
        <w:t xml:space="preserve">3. Sprint Backlog</w:t>
      </w:r>
    </w:p>
    <w:p>
      <w:pPr>
        <w:spacing w:after="160" w:line="300"/>
        <w:jc w:val="both"/>
      </w:pPr>
      <w:r>
        <w:rPr>
          <w:b w:val="false"/>
          <w:bCs w:val="false"/>
          <w:i w:val="false"/>
          <w:iCs w:val="false"/>
          <w:sz w:val="22"/>
          <w:szCs w:val="22"/>
        </w:rPr>
        <w:t xml:space="preserve">Le backlog produit a été réparti en un sprint de cadrage et quatre sprints de réalisation, sur une période totale de près de cinq mois (février à juillet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rPr>
          <w:tblHeader/>
        </w:trPr>
        <w:tc>
          <w:tcPr>
            <w:tcW w:type="dxa" w:w="1800"/>
            <w:shd w:fill="1B3A6B" w:val="clear"/>
            <w:tcMar>
              <w:top w:type="dxa" w:w="80"/>
              <w:left w:type="dxa" w:w="100"/>
              <w:bottom w:type="dxa" w:w="80"/>
              <w:right w:type="dxa" w:w="100"/>
            </w:tcMar>
            <w:vAlign w:val="center"/>
          </w:tcPr>
          <w:p>
            <w:r>
              <w:rPr>
                <w:b/>
                <w:bCs/>
                <w:color w:val="FFFFFF"/>
                <w:sz w:val="20"/>
                <w:szCs w:val="20"/>
              </w:rPr>
              <w:t xml:space="preserve">Sprint</w:t>
            </w:r>
          </w:p>
        </w:tc>
        <w:tc>
          <w:tcPr>
            <w:tcW w:type="dxa" w:w="2800"/>
            <w:shd w:fill="1B3A6B" w:val="clear"/>
            <w:tcMar>
              <w:top w:type="dxa" w:w="80"/>
              <w:left w:type="dxa" w:w="100"/>
              <w:bottom w:type="dxa" w:w="80"/>
              <w:right w:type="dxa" w:w="100"/>
            </w:tcMar>
            <w:vAlign w:val="center"/>
          </w:tcPr>
          <w:p>
            <w:r>
              <w:rPr>
                <w:b/>
                <w:bCs/>
                <w:color w:val="FFFFFF"/>
                <w:sz w:val="20"/>
                <w:szCs w:val="20"/>
              </w:rPr>
              <w:t xml:space="preserve">Période</w:t>
            </w:r>
          </w:p>
        </w:tc>
        <w:tc>
          <w:tcPr>
            <w:tcW w:type="dxa" w:w="4400"/>
            <w:shd w:fill="1B3A6B" w:val="clear"/>
            <w:tcMar>
              <w:top w:type="dxa" w:w="80"/>
              <w:left w:type="dxa" w:w="100"/>
              <w:bottom w:type="dxa" w:w="80"/>
              <w:right w:type="dxa" w:w="100"/>
            </w:tcMar>
            <w:vAlign w:val="center"/>
          </w:tcPr>
          <w:p>
            <w:r>
              <w:rPr>
                <w:b/>
                <w:bCs/>
                <w:color w:val="FFFFFF"/>
                <w:sz w:val="20"/>
                <w:szCs w:val="20"/>
              </w:rPr>
              <w:t xml:space="preserve">Objectif principal</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Sprint 0 (Cadrage)</w:t>
            </w:r>
          </w:p>
        </w:tc>
        <w:tc>
          <w:tcPr>
            <w:tcW w:type="dxa" w:w="2800"/>
            <w:tcMar>
              <w:top w:type="dxa" w:w="80"/>
              <w:left w:type="dxa" w:w="100"/>
              <w:bottom w:type="dxa" w:w="80"/>
              <w:right w:type="dxa" w:w="100"/>
            </w:tcMar>
            <w:vAlign w:val="center"/>
          </w:tcPr>
          <w:p>
            <w:r>
              <w:rPr>
                <w:b w:val="false"/>
                <w:bCs w:val="false"/>
                <w:color w:val="000000"/>
                <w:sz w:val="20"/>
                <w:szCs w:val="20"/>
              </w:rPr>
              <w:t xml:space="preserve">10 – 27 février 2026</w:t>
            </w:r>
          </w:p>
        </w:tc>
        <w:tc>
          <w:tcPr>
            <w:tcW w:type="dxa" w:w="4400"/>
            <w:tcMar>
              <w:top w:type="dxa" w:w="80"/>
              <w:left w:type="dxa" w:w="100"/>
              <w:bottom w:type="dxa" w:w="80"/>
              <w:right w:type="dxa" w:w="100"/>
            </w:tcMar>
            <w:vAlign w:val="center"/>
          </w:tcPr>
          <w:p>
            <w:r>
              <w:rPr>
                <w:b w:val="false"/>
                <w:bCs w:val="false"/>
                <w:color w:val="000000"/>
                <w:sz w:val="20"/>
                <w:szCs w:val="20"/>
              </w:rPr>
              <w:t xml:space="preserve">Étude de l'existant, recueil des besoins, choix technologique (Python / Streamlit), rédaction du backlog produit</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Sprint 1</w:t>
            </w:r>
          </w:p>
        </w:tc>
        <w:tc>
          <w:tcPr>
            <w:tcW w:type="dxa" w:w="2800"/>
            <w:tcMar>
              <w:top w:type="dxa" w:w="80"/>
              <w:left w:type="dxa" w:w="100"/>
              <w:bottom w:type="dxa" w:w="80"/>
              <w:right w:type="dxa" w:w="100"/>
            </w:tcMar>
            <w:vAlign w:val="center"/>
          </w:tcPr>
          <w:p>
            <w:r>
              <w:rPr>
                <w:b w:val="false"/>
                <w:bCs w:val="false"/>
                <w:color w:val="000000"/>
                <w:sz w:val="20"/>
                <w:szCs w:val="20"/>
              </w:rPr>
              <w:t xml:space="preserve">2 – 27 mars 2026</w:t>
            </w:r>
          </w:p>
        </w:tc>
        <w:tc>
          <w:tcPr>
            <w:tcW w:type="dxa" w:w="4400"/>
            <w:tcMar>
              <w:top w:type="dxa" w:w="80"/>
              <w:left w:type="dxa" w:w="100"/>
              <w:bottom w:type="dxa" w:w="80"/>
              <w:right w:type="dxa" w:w="100"/>
            </w:tcMar>
            <w:vAlign w:val="center"/>
          </w:tcPr>
          <w:p>
            <w:r>
              <w:rPr>
                <w:b w:val="false"/>
                <w:bCs w:val="false"/>
                <w:color w:val="000000"/>
                <w:sz w:val="20"/>
                <w:szCs w:val="20"/>
              </w:rPr>
              <w:t xml:space="preserve">Modélisation JSON des règles, développement du moteur unique, page Simulation individuelle, premiers tests unitaires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Sprint 2</w:t>
            </w:r>
          </w:p>
        </w:tc>
        <w:tc>
          <w:tcPr>
            <w:tcW w:type="dxa" w:w="2800"/>
            <w:tcMar>
              <w:top w:type="dxa" w:w="80"/>
              <w:left w:type="dxa" w:w="100"/>
              <w:bottom w:type="dxa" w:w="80"/>
              <w:right w:type="dxa" w:w="100"/>
            </w:tcMar>
            <w:vAlign w:val="center"/>
          </w:tcPr>
          <w:p>
            <w:r>
              <w:rPr>
                <w:b w:val="false"/>
                <w:bCs w:val="false"/>
                <w:color w:val="000000"/>
                <w:sz w:val="20"/>
                <w:szCs w:val="20"/>
              </w:rPr>
              <w:t xml:space="preserve">30 mars – 24 avril 2026</w:t>
            </w:r>
          </w:p>
        </w:tc>
        <w:tc>
          <w:tcPr>
            <w:tcW w:type="dxa" w:w="4400"/>
            <w:tcMar>
              <w:top w:type="dxa" w:w="80"/>
              <w:left w:type="dxa" w:w="100"/>
              <w:bottom w:type="dxa" w:w="80"/>
              <w:right w:type="dxa" w:w="100"/>
            </w:tcMar>
            <w:vAlign w:val="center"/>
          </w:tcPr>
          <w:p>
            <w:r>
              <w:rPr>
                <w:b w:val="false"/>
                <w:bCs w:val="false"/>
                <w:color w:val="000000"/>
                <w:sz w:val="20"/>
                <w:szCs w:val="20"/>
              </w:rPr>
              <w:t xml:space="preserve">Modèle Excel avec listes déroulantes, pipeline de validation CSV, segmentation en masse, page Import CSV</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Sprint 3</w:t>
            </w:r>
          </w:p>
        </w:tc>
        <w:tc>
          <w:tcPr>
            <w:tcW w:type="dxa" w:w="2800"/>
            <w:tcMar>
              <w:top w:type="dxa" w:w="80"/>
              <w:left w:type="dxa" w:w="100"/>
              <w:bottom w:type="dxa" w:w="80"/>
              <w:right w:type="dxa" w:w="100"/>
            </w:tcMar>
            <w:vAlign w:val="center"/>
          </w:tcPr>
          <w:p>
            <w:r>
              <w:rPr>
                <w:b w:val="false"/>
                <w:bCs w:val="false"/>
                <w:color w:val="000000"/>
                <w:sz w:val="20"/>
                <w:szCs w:val="20"/>
              </w:rPr>
              <w:t xml:space="preserve">27 avril – 22 mai 2026</w:t>
            </w:r>
          </w:p>
        </w:tc>
        <w:tc>
          <w:tcPr>
            <w:tcW w:type="dxa" w:w="4400"/>
            <w:tcMar>
              <w:top w:type="dxa" w:w="80"/>
              <w:left w:type="dxa" w:w="100"/>
              <w:bottom w:type="dxa" w:w="80"/>
              <w:right w:type="dxa" w:w="100"/>
            </w:tcMar>
            <w:vAlign w:val="center"/>
          </w:tcPr>
          <w:p>
            <w:r>
              <w:rPr>
                <w:b w:val="false"/>
                <w:bCs w:val="false"/>
                <w:color w:val="000000"/>
                <w:sz w:val="20"/>
                <w:szCs w:val="20"/>
              </w:rPr>
              <w:t xml:space="preserve">Chatbot expert, Assistant IA, tableau de bord, page de paramétrage</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Sprint 4</w:t>
            </w:r>
          </w:p>
        </w:tc>
        <w:tc>
          <w:tcPr>
            <w:tcW w:type="dxa" w:w="2800"/>
            <w:tcMar>
              <w:top w:type="dxa" w:w="80"/>
              <w:left w:type="dxa" w:w="100"/>
              <w:bottom w:type="dxa" w:w="80"/>
              <w:right w:type="dxa" w:w="100"/>
            </w:tcMar>
            <w:vAlign w:val="center"/>
          </w:tcPr>
          <w:p>
            <w:r>
              <w:rPr>
                <w:b w:val="false"/>
                <w:bCs w:val="false"/>
                <w:color w:val="000000"/>
                <w:sz w:val="20"/>
                <w:szCs w:val="20"/>
              </w:rPr>
              <w:t xml:space="preserve">25 mai – 3 juillet 2026</w:t>
            </w:r>
          </w:p>
        </w:tc>
        <w:tc>
          <w:tcPr>
            <w:tcW w:type="dxa" w:w="4400"/>
            <w:tcMar>
              <w:top w:type="dxa" w:w="80"/>
              <w:left w:type="dxa" w:w="100"/>
              <w:bottom w:type="dxa" w:w="80"/>
              <w:right w:type="dxa" w:w="100"/>
            </w:tcMar>
            <w:vAlign w:val="center"/>
          </w:tcPr>
          <w:p>
            <w:r>
              <w:rPr>
                <w:b w:val="false"/>
                <w:bCs w:val="false"/>
                <w:color w:val="000000"/>
                <w:sz w:val="20"/>
                <w:szCs w:val="20"/>
              </w:rPr>
              <w:t xml:space="preserve">Vérification exhaustive des seuils sur le document officiel, correction des seuils du marché TRE, ajout de la règle Professionnels à potentiel (PRO), ajout du champ Épargnants et déposants exclusifs, recette finale (31 tests de non-régression)</w:t>
            </w:r>
          </w:p>
        </w:tc>
      </w:tr>
    </w:tbl>
    <w:p>
      <w:pPr>
        <w:pStyle w:val="Heading3"/>
        <w:spacing w:after="120" w:before="240"/>
      </w:pPr>
      <w:r>
        <w:rPr>
          <w:b/>
          <w:bCs/>
          <w:color w:val="2C5282"/>
          <w:sz w:val="23"/>
          <w:szCs w:val="23"/>
        </w:rPr>
        <w:t xml:space="preserve">4. Diagramme de Gantt</w:t>
      </w:r>
    </w:p>
    <w:p>
      <w:pPr>
        <w:spacing w:after="160" w:line="300"/>
        <w:jc w:val="both"/>
      </w:pPr>
      <w:r>
        <w:rPr>
          <w:b w:val="false"/>
          <w:bCs w:val="false"/>
          <w:i w:val="false"/>
          <w:iCs w:val="false"/>
          <w:sz w:val="22"/>
          <w:szCs w:val="22"/>
        </w:rPr>
        <w:t xml:space="preserve">Le diagramme ci-dessous synthétise la planification du projet, du sprint de cadrage jusqu'à la rédaction du rapport final et la préparation de la soutenance.</w:t>
      </w:r>
    </w:p>
    <w:p>
      <w:pPr>
        <w:spacing w:after="300" w:before="20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76500"/>
                    </a:xfrm>
                    <a:prstGeom prst="rect">
                      <a:avLst/>
                    </a:prstGeom>
                  </pic:spPr>
                </pic:pic>
              </a:graphicData>
            </a:graphic>
          </wp:inline>
        </w:drawing>
      </w:r>
    </w:p>
    <w:p>
      <w:pPr>
        <w:pStyle w:val="Heading2"/>
        <w:spacing w:after="160" w:before="320"/>
      </w:pPr>
      <w:r>
        <w:rPr>
          <w:b/>
          <w:bCs/>
          <w:color w:val="1B3A6B"/>
          <w:sz w:val="26"/>
          <w:szCs w:val="26"/>
        </w:rPr>
        <w:t xml:space="preserve">Conclusion</w:t>
      </w:r>
    </w:p>
    <w:p>
      <w:pPr>
        <w:spacing w:after="160" w:line="300"/>
        <w:jc w:val="both"/>
      </w:pPr>
      <w:r>
        <w:rPr>
          <w:b w:val="false"/>
          <w:bCs w:val="false"/>
          <w:i w:val="false"/>
          <w:iCs w:val="false"/>
          <w:sz w:val="22"/>
          <w:szCs w:val="22"/>
        </w:rPr>
        <w:t xml:space="preserve">Ce chapitre a permis de traduire le cadre général présenté au chapitre 1 en besoins concrets, fonctionnels et non-fonctionnels, assortis d'indicateurs de suivi mesurables. La mise en œuvre selon le cadre Scrum, avec une répartition claire des rôles et un découpage en sprints réguliers, a permis d'absorber les évolutions de spécification survenues en cours de projet — correction de seuils, ajout de règles et de champs supplémentaires — sans remettre en cause la cohérence d'ensemble de l'application, tout en maintenant une entière traçabilité des choix effectués vis-à-vis de la Note BIAT 2023-06.</w:t>
      </w:r>
    </w:p>
    <w:sectPr>
      <w:headerReference w:type="default" r:id="rId7"/>
      <w:footerReference w:type="default" r:id="rId8"/>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Rapport PFE — Simulateur de segmentation clientèle BIAT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c236e7875f899d19b8cb1a1b4a93514d9639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2026-07-08T05:42:24.339Z</dcterms:created>
  <dcterms:modified xsi:type="dcterms:W3CDTF">2026-07-08T05:42:24.339Z</dcterms:modified>
</cp:coreProperties>
</file>

<file path=docProps/custom.xml><?xml version="1.0" encoding="utf-8"?>
<Properties xmlns="http://schemas.openxmlformats.org/officeDocument/2006/custom-properties" xmlns:vt="http://schemas.openxmlformats.org/officeDocument/2006/docPropsVTypes"/>
</file>