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[org 0x0100]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jmp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functionn: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add al, [number + bx]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add bx ,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sub cx ,1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jnz functionn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xor ax ,ax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mov cx ,7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mov bx ,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call functionn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 ax,0x4c00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0x21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number: db 1,2,1,1,1,1,1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Screenshot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[org 0x0100]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jmp 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mply: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mul bx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mov [multiply], ax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dvi: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div bx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mov [division], ax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mov ax,5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mov bx,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push bx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call mply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call dvi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mov ax, 0x4c00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0x21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multiply: dw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division: dw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590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