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48E2D" w14:textId="77777777" w:rsidR="00A51038" w:rsidRDefault="00A51038" w:rsidP="00A51038">
      <w:pPr>
        <w:pStyle w:val="NormalWeb"/>
        <w:spacing w:before="0" w:beforeAutospacing="0" w:after="160" w:afterAutospacing="0"/>
        <w:jc w:val="both"/>
      </w:pPr>
      <w:r>
        <w:rPr>
          <w:rFonts w:ascii="Calibri" w:hAnsi="Calibri" w:cs="Calibri"/>
          <w:b/>
          <w:bCs/>
          <w:color w:val="000000"/>
          <w:sz w:val="28"/>
          <w:szCs w:val="28"/>
        </w:rPr>
        <w:t>expropriation orders</w:t>
      </w:r>
    </w:p>
    <w:p w14:paraId="29BF11A4" w14:textId="77777777" w:rsidR="00A51038" w:rsidRDefault="00A51038" w:rsidP="00A51038">
      <w:pPr>
        <w:pStyle w:val="NormalWeb"/>
        <w:bidi/>
        <w:spacing w:before="0" w:beforeAutospacing="0" w:after="160" w:afterAutospacing="0"/>
        <w:jc w:val="both"/>
      </w:pPr>
      <w:r>
        <w:rPr>
          <w:rFonts w:ascii="Calibri" w:hAnsi="Calibri" w:cs="Calibri"/>
          <w:b/>
          <w:bCs/>
          <w:color w:val="000000"/>
          <w:sz w:val="28"/>
          <w:szCs w:val="28"/>
          <w:rtl/>
          <w:lang w:bidi="ar-SA"/>
        </w:rPr>
        <w:t>أوامر مصادرة</w:t>
      </w:r>
      <w:r>
        <w:rPr>
          <w:rFonts w:ascii="Calibri" w:hAnsi="Calibri" w:cs="Calibri"/>
          <w:color w:val="000000"/>
          <w:sz w:val="28"/>
          <w:szCs w:val="28"/>
          <w:rtl/>
        </w:rPr>
        <w:t xml:space="preserve"> </w:t>
      </w:r>
      <w:r>
        <w:rPr>
          <w:rFonts w:ascii="Calibri" w:hAnsi="Calibri" w:cs="Calibri"/>
          <w:color w:val="000000"/>
          <w:sz w:val="28"/>
          <w:szCs w:val="28"/>
          <w:rtl/>
          <w:lang w:bidi="ar-SA"/>
        </w:rPr>
        <w:t>والمعروفة أيضًا باسم أوامر شراء للاستخدام العام، هي أوامر عسكرية التي يستخدمها الجيش بشكل خاص من أجل مصادرة أراضٍ للشوارع ولمشاريع البنى التحتية على مختلف أنواعها. وعلى عكس أوامر وضع اليد، فإن أوامر المصادرة ليست مؤقتة، لكن من الناحية الرسمة بالإمكان إصدارها فقط لصالح مشاريع تخدم</w:t>
      </w:r>
      <w:r>
        <w:rPr>
          <w:rFonts w:ascii="Calibri" w:hAnsi="Calibri" w:cs="Calibri"/>
          <w:color w:val="000000"/>
          <w:sz w:val="28"/>
          <w:szCs w:val="28"/>
          <w:rtl/>
        </w:rPr>
        <w:t xml:space="preserve"> "</w:t>
      </w:r>
      <w:r>
        <w:rPr>
          <w:rFonts w:ascii="Calibri" w:hAnsi="Calibri" w:cs="Calibri"/>
          <w:color w:val="000000"/>
          <w:sz w:val="28"/>
          <w:szCs w:val="28"/>
          <w:rtl/>
          <w:lang w:bidi="ar-SA"/>
        </w:rPr>
        <w:t>السكان المحليين</w:t>
      </w:r>
      <w:r>
        <w:rPr>
          <w:rFonts w:ascii="Calibri" w:hAnsi="Calibri" w:cs="Calibri"/>
          <w:color w:val="000000"/>
          <w:sz w:val="28"/>
          <w:szCs w:val="28"/>
          <w:rtl/>
        </w:rPr>
        <w:t xml:space="preserve">" </w:t>
      </w:r>
      <w:r>
        <w:rPr>
          <w:rFonts w:ascii="Calibri" w:hAnsi="Calibri" w:cs="Calibri"/>
          <w:color w:val="000000"/>
          <w:sz w:val="28"/>
          <w:szCs w:val="28"/>
          <w:rtl/>
          <w:lang w:bidi="ar-SA"/>
        </w:rPr>
        <w:t>أيضًا، أي السكان الفلسطينيين. عمليًا، في بعض الحالات استخدمت إسرائيل أوامر المصادرة من أجل إقامة مستوطنات (معلية أدوميم وعوفرا)، وفي حالات عديدة أخرى تم استخدام هذه الأوامر من أجل شق شوارع للوصول إلى المستوطنات، شوارع التي تخدم المستوطنين فقط. حتى اليوم أصدر الجيش أوامر مصادرة لنحو 75 ألف دونم. منذ توقيع اتفاقية أوسلو 2 أصدرت إسرائيل أمر مصادرة واحد في مناطق السلطة الفلسطينية من أجل شق شارع 35 (شارع التفافي بين حلحول والخليل).</w:t>
      </w:r>
    </w:p>
    <w:p w14:paraId="22148A63" w14:textId="77777777" w:rsidR="00A51038" w:rsidRDefault="00A51038" w:rsidP="00A51038">
      <w:pPr>
        <w:pStyle w:val="NormalWeb"/>
        <w:bidi/>
        <w:spacing w:before="0" w:beforeAutospacing="0" w:after="160" w:afterAutospacing="0"/>
        <w:jc w:val="both"/>
        <w:rPr>
          <w:rtl/>
        </w:rPr>
      </w:pPr>
      <w:r>
        <w:rPr>
          <w:rFonts w:ascii="Calibri" w:hAnsi="Calibri" w:cs="Calibri"/>
          <w:color w:val="000000"/>
          <w:sz w:val="28"/>
          <w:szCs w:val="28"/>
          <w:rtl/>
          <w:lang w:bidi="ar-SA"/>
        </w:rPr>
        <w:t>لقراءة المزيد أنظروا تقرير بتسيلم،</w:t>
      </w:r>
      <w:r>
        <w:rPr>
          <w:rFonts w:ascii="Calibri" w:hAnsi="Calibri" w:cs="Calibri"/>
          <w:color w:val="000000"/>
          <w:sz w:val="28"/>
          <w:szCs w:val="28"/>
          <w:rtl/>
        </w:rPr>
        <w:t xml:space="preserve"> </w:t>
      </w:r>
      <w:hyperlink r:id="rId5" w:history="1">
        <w:r>
          <w:rPr>
            <w:rStyle w:val="Hyperlink"/>
            <w:rFonts w:ascii="Calibri" w:hAnsi="Calibri" w:cs="Calibri"/>
            <w:sz w:val="28"/>
            <w:szCs w:val="28"/>
            <w:rtl/>
            <w:lang w:bidi="ar-SA"/>
          </w:rPr>
          <w:t>سلب الأراضي</w:t>
        </w:r>
      </w:hyperlink>
      <w:r>
        <w:rPr>
          <w:rFonts w:ascii="Calibri" w:hAnsi="Calibri" w:cs="Calibri"/>
          <w:color w:val="000000"/>
          <w:sz w:val="28"/>
          <w:szCs w:val="28"/>
          <w:rtl/>
        </w:rPr>
        <w:t>.</w:t>
      </w:r>
    </w:p>
    <w:p w14:paraId="090DB3B9" w14:textId="77777777" w:rsidR="00A51038" w:rsidRDefault="00A51038" w:rsidP="00A51038">
      <w:pPr>
        <w:rPr>
          <w:rtl/>
        </w:rPr>
      </w:pPr>
    </w:p>
    <w:p w14:paraId="6DB4816E" w14:textId="77777777" w:rsidR="00A51038" w:rsidRDefault="00A51038" w:rsidP="00A51038">
      <w:pPr>
        <w:pStyle w:val="NormalWeb"/>
        <w:spacing w:before="0" w:beforeAutospacing="0" w:after="160" w:afterAutospacing="0"/>
        <w:jc w:val="both"/>
      </w:pPr>
      <w:r>
        <w:rPr>
          <w:rFonts w:ascii="Arial" w:hAnsi="Arial" w:cs="Arial"/>
          <w:b/>
          <w:bCs/>
          <w:color w:val="000000"/>
          <w:sz w:val="22"/>
          <w:szCs w:val="22"/>
        </w:rPr>
        <w:t>Stop work orders and demolitions orders</w:t>
      </w:r>
    </w:p>
    <w:p w14:paraId="40D64A84" w14:textId="77777777" w:rsidR="00A51038" w:rsidRDefault="00A51038" w:rsidP="00A51038">
      <w:pPr>
        <w:pStyle w:val="NormalWeb"/>
        <w:bidi/>
        <w:spacing w:before="0" w:beforeAutospacing="0" w:after="160" w:afterAutospacing="0"/>
        <w:jc w:val="both"/>
      </w:pPr>
      <w:r>
        <w:rPr>
          <w:rFonts w:ascii="Calibri" w:hAnsi="Calibri" w:cs="Calibri"/>
          <w:b/>
          <w:bCs/>
          <w:color w:val="000000"/>
          <w:sz w:val="28"/>
          <w:szCs w:val="28"/>
          <w:rtl/>
          <w:lang w:bidi="ar-SA"/>
        </w:rPr>
        <w:t>أوامر وقف</w:t>
      </w:r>
      <w:r>
        <w:rPr>
          <w:rFonts w:ascii="Calibri" w:hAnsi="Calibri" w:cs="Calibri"/>
          <w:color w:val="000000"/>
          <w:sz w:val="28"/>
          <w:szCs w:val="28"/>
          <w:rtl/>
        </w:rPr>
        <w:t xml:space="preserve"> </w:t>
      </w:r>
      <w:r>
        <w:rPr>
          <w:rFonts w:ascii="Calibri" w:hAnsi="Calibri" w:cs="Calibri"/>
          <w:b/>
          <w:bCs/>
          <w:color w:val="000000"/>
          <w:sz w:val="28"/>
          <w:szCs w:val="28"/>
          <w:rtl/>
          <w:lang w:bidi="ar-SA"/>
        </w:rPr>
        <w:t>العمل</w:t>
      </w:r>
      <w:r>
        <w:rPr>
          <w:rFonts w:ascii="Calibri" w:hAnsi="Calibri" w:cs="Calibri"/>
          <w:color w:val="000000"/>
          <w:sz w:val="28"/>
          <w:szCs w:val="28"/>
          <w:rtl/>
        </w:rPr>
        <w:t xml:space="preserve"> </w:t>
      </w:r>
      <w:r>
        <w:rPr>
          <w:rFonts w:ascii="Calibri" w:hAnsi="Calibri" w:cs="Calibri"/>
          <w:color w:val="000000"/>
          <w:sz w:val="28"/>
          <w:szCs w:val="28"/>
          <w:rtl/>
          <w:lang w:bidi="ar-SA"/>
        </w:rPr>
        <w:t>وأوامر الهدم، هي أوامر تصدرها الإدارة المدنية ضد البناء غير القانوني. أصدرت الإدارة المدنية حتى اليوم أكثر من 19 ألف أمر هدم ضد مباني فلسطينية في أنحاء الضفة الغربية، وغالبيتها الساحقة في المنطقة ج،</w:t>
      </w:r>
      <w:r>
        <w:rPr>
          <w:rFonts w:ascii="Calibri" w:hAnsi="Calibri" w:cs="Calibri"/>
          <w:color w:val="000000"/>
          <w:sz w:val="28"/>
          <w:szCs w:val="28"/>
          <w:rtl/>
        </w:rPr>
        <w:t xml:space="preserve">  </w:t>
      </w:r>
      <w:r>
        <w:rPr>
          <w:rFonts w:ascii="Calibri" w:hAnsi="Calibri" w:cs="Calibri"/>
          <w:color w:val="000000"/>
          <w:sz w:val="28"/>
          <w:szCs w:val="28"/>
          <w:rtl/>
          <w:lang w:bidi="ar-SA"/>
        </w:rPr>
        <w:t>صدر منها 133 أمر ضد مباني في مناطق السلطة الفلسطينية بعد التوقيع على اتفاقية أوسلو 2 (أي في المناطق أ و- ب). ليس من المتعذر أن بعض تلك الأوامر قد صدر عن طريق الخطأ ضد مبانٍ تقع على حدود مناطق السلطة الفلسطينية مع المنطقة ج بسبب اخفاق في تحديد الحدود. في حالات أخرى (كما في حالة وادي الحمص) تم اصدار أوامر هدم بسبب البناء في مناطق محاذية لجدار الفصل، والتي توجد ضدها أوامر منع البناء، حيث أن جدار الفصل نفسه قد أقيم في مناطق السلطة الفلسطينية.</w:t>
      </w:r>
    </w:p>
    <w:p w14:paraId="77F57B3F" w14:textId="77777777" w:rsidR="00A51038" w:rsidRDefault="00A51038" w:rsidP="00A51038">
      <w:pPr>
        <w:spacing w:after="240"/>
        <w:rPr>
          <w:rtl/>
        </w:rPr>
      </w:pPr>
    </w:p>
    <w:p w14:paraId="1F86232A" w14:textId="77777777" w:rsidR="00A51038" w:rsidRDefault="00A51038" w:rsidP="00A51038">
      <w:pPr>
        <w:pStyle w:val="NormalWeb"/>
        <w:spacing w:before="0" w:beforeAutospacing="0" w:after="0" w:afterAutospacing="0"/>
      </w:pPr>
      <w:r>
        <w:rPr>
          <w:rFonts w:ascii="Calibri" w:hAnsi="Calibri" w:cs="Calibri"/>
          <w:color w:val="000000"/>
          <w:sz w:val="28"/>
          <w:szCs w:val="28"/>
        </w:rPr>
        <w:t>construction ban order</w:t>
      </w:r>
    </w:p>
    <w:p w14:paraId="77FFBEB9" w14:textId="77777777" w:rsidR="00A51038" w:rsidRDefault="00A51038" w:rsidP="00A51038">
      <w:pPr>
        <w:pStyle w:val="NormalWeb"/>
        <w:bidi/>
        <w:spacing w:before="0" w:beforeAutospacing="0" w:after="160" w:afterAutospacing="0"/>
        <w:jc w:val="both"/>
      </w:pPr>
      <w:r>
        <w:rPr>
          <w:rFonts w:ascii="Calibri" w:hAnsi="Calibri" w:cs="Calibri"/>
          <w:b/>
          <w:bCs/>
          <w:color w:val="000000"/>
          <w:sz w:val="28"/>
          <w:szCs w:val="28"/>
          <w:rtl/>
          <w:lang w:bidi="ar-SA"/>
        </w:rPr>
        <w:t>أوامر منع البناء</w:t>
      </w:r>
      <w:r>
        <w:rPr>
          <w:rFonts w:ascii="Calibri" w:hAnsi="Calibri" w:cs="Calibri"/>
          <w:color w:val="000000"/>
          <w:sz w:val="28"/>
          <w:szCs w:val="28"/>
          <w:rtl/>
        </w:rPr>
        <w:t xml:space="preserve"> </w:t>
      </w:r>
      <w:r>
        <w:rPr>
          <w:rFonts w:ascii="Calibri" w:hAnsi="Calibri" w:cs="Calibri"/>
          <w:color w:val="000000"/>
          <w:sz w:val="28"/>
          <w:szCs w:val="28"/>
          <w:rtl/>
          <w:lang w:bidi="ar-SA"/>
        </w:rPr>
        <w:t>هي أوامر يستخدمها الجيش من أجل منع البناء على امتداد الشوارع في الضفة الغربية، وكذلك في المناطق المحاذية لجدار الفصل. أمر منع البناء 96/1 الموقع من العام 1996 يمنع البناء على طرفي مئات الشوارع على امتداد أجمالي يصل إلى نحو 1,700 كلم (في بعض الحالات الحديث عن 120 مترًا من كل جهة، وفي حالات أخرى عن 75 مترًا من كل جهة). يخترق هذا الأمر أعماق مناطق السلطة الفلسطينية ويمنع البناء على امتداد شوارع رئيسية تمر عبر المدن الفلسطينية. مع ذلك، وكما هو معلوم لمؤسسة</w:t>
      </w:r>
      <w:r>
        <w:rPr>
          <w:rFonts w:ascii="Calibri" w:hAnsi="Calibri" w:cs="Calibri"/>
          <w:color w:val="000000"/>
          <w:sz w:val="28"/>
          <w:szCs w:val="28"/>
          <w:rtl/>
        </w:rPr>
        <w:t xml:space="preserve"> "</w:t>
      </w:r>
      <w:r>
        <w:rPr>
          <w:rFonts w:ascii="Calibri" w:hAnsi="Calibri" w:cs="Calibri"/>
          <w:color w:val="000000"/>
          <w:sz w:val="28"/>
          <w:szCs w:val="28"/>
          <w:rtl/>
          <w:lang w:bidi="ar-SA"/>
        </w:rPr>
        <w:t>كرم نبوت</w:t>
      </w:r>
      <w:r>
        <w:rPr>
          <w:rFonts w:ascii="Calibri" w:hAnsi="Calibri" w:cs="Calibri"/>
          <w:color w:val="000000"/>
          <w:sz w:val="28"/>
          <w:szCs w:val="28"/>
          <w:rtl/>
        </w:rPr>
        <w:t xml:space="preserve">" </w:t>
      </w:r>
      <w:r>
        <w:rPr>
          <w:rFonts w:ascii="Calibri" w:hAnsi="Calibri" w:cs="Calibri"/>
          <w:color w:val="000000"/>
          <w:sz w:val="28"/>
          <w:szCs w:val="28"/>
          <w:rtl/>
          <w:lang w:bidi="ar-SA"/>
        </w:rPr>
        <w:t>لم يحدث أن تم إنفاذ هذا الأمر. سلسلة أخرى من أوامر منع البناء هي أوامر صدرت على امتداد المناطق المحاذية لجدار الفصل. والحديث عن مناطق واسعة جدًل تمتد على مساحة أكثر من حوالي 178 ألف دونم بالمجمل، وحوالي 12,700 دونم منها تقع داخل مناطق السلطة الفلسطينية.</w:t>
      </w:r>
    </w:p>
    <w:p w14:paraId="2944AF74" w14:textId="77777777" w:rsidR="00A51038" w:rsidRDefault="00A51038" w:rsidP="00A51038">
      <w:pPr>
        <w:pStyle w:val="NormalWeb"/>
        <w:spacing w:before="0" w:beforeAutospacing="0" w:after="160" w:afterAutospacing="0"/>
        <w:jc w:val="both"/>
        <w:rPr>
          <w:rtl/>
        </w:rPr>
      </w:pPr>
      <w:r>
        <w:rPr>
          <w:rFonts w:ascii="Arial" w:hAnsi="Arial" w:cs="Arial"/>
          <w:b/>
          <w:bCs/>
          <w:color w:val="000000"/>
          <w:sz w:val="22"/>
          <w:szCs w:val="22"/>
        </w:rPr>
        <w:t>The order regarding security provisions</w:t>
      </w:r>
    </w:p>
    <w:p w14:paraId="4B0BAC83" w14:textId="77777777" w:rsidR="00A51038" w:rsidRDefault="00A51038" w:rsidP="00A51038">
      <w:pPr>
        <w:pStyle w:val="NormalWeb"/>
        <w:bidi/>
        <w:spacing w:before="0" w:beforeAutospacing="0" w:after="160" w:afterAutospacing="0"/>
        <w:jc w:val="both"/>
      </w:pPr>
      <w:r>
        <w:rPr>
          <w:rFonts w:ascii="Calibri" w:hAnsi="Calibri" w:cs="Calibri"/>
          <w:b/>
          <w:bCs/>
          <w:color w:val="000000"/>
          <w:sz w:val="28"/>
          <w:szCs w:val="28"/>
          <w:rtl/>
          <w:lang w:bidi="ar-SA"/>
        </w:rPr>
        <w:t>الأمر بشأن تعليمات الأمن</w:t>
      </w:r>
      <w:r>
        <w:rPr>
          <w:rFonts w:ascii="Calibri" w:hAnsi="Calibri" w:cs="Calibri"/>
          <w:color w:val="000000"/>
          <w:sz w:val="28"/>
          <w:szCs w:val="28"/>
          <w:rtl/>
        </w:rPr>
        <w:t xml:space="preserve"> </w:t>
      </w:r>
      <w:r>
        <w:rPr>
          <w:rFonts w:ascii="Calibri" w:hAnsi="Calibri" w:cs="Calibri"/>
          <w:color w:val="000000"/>
          <w:sz w:val="28"/>
          <w:szCs w:val="28"/>
          <w:rtl/>
          <w:lang w:bidi="ar-SA"/>
        </w:rPr>
        <w:t>والذي تم تعديله من قبل الجيش عام 2009 بحيث يتيح للقائد العسكري اتخاذ خطوات مختلفة يدعي الجيش أنها ضرورية من أجل</w:t>
      </w:r>
      <w:r>
        <w:rPr>
          <w:rFonts w:ascii="Calibri" w:hAnsi="Calibri" w:cs="Calibri"/>
          <w:color w:val="000000"/>
          <w:sz w:val="28"/>
          <w:szCs w:val="28"/>
          <w:rtl/>
        </w:rPr>
        <w:t xml:space="preserve"> "</w:t>
      </w:r>
      <w:r>
        <w:rPr>
          <w:rFonts w:ascii="Calibri" w:hAnsi="Calibri" w:cs="Calibri"/>
          <w:color w:val="000000"/>
          <w:sz w:val="28"/>
          <w:szCs w:val="28"/>
          <w:rtl/>
          <w:lang w:bidi="ar-SA"/>
        </w:rPr>
        <w:t>الحفاظ على أمن المنطقة والنظام العام</w:t>
      </w:r>
      <w:r>
        <w:rPr>
          <w:rFonts w:ascii="Calibri" w:hAnsi="Calibri" w:cs="Calibri"/>
          <w:color w:val="000000"/>
          <w:sz w:val="28"/>
          <w:szCs w:val="28"/>
          <w:rtl/>
        </w:rPr>
        <w:t xml:space="preserve">". </w:t>
      </w:r>
      <w:r>
        <w:rPr>
          <w:rFonts w:ascii="Calibri" w:hAnsi="Calibri" w:cs="Calibri"/>
          <w:color w:val="000000"/>
          <w:sz w:val="28"/>
          <w:szCs w:val="28"/>
          <w:rtl/>
          <w:lang w:bidi="ar-SA"/>
        </w:rPr>
        <w:t>معلوم لنا حتى الآن فقط عن مكان واحد استخدم فيه الجيش هذا الأمر في مناطق السلطة الفلسطينية، في</w:t>
      </w:r>
      <w:r>
        <w:rPr>
          <w:rFonts w:ascii="Calibri" w:hAnsi="Calibri" w:cs="Calibri"/>
          <w:color w:val="000000"/>
          <w:sz w:val="28"/>
          <w:szCs w:val="28"/>
          <w:rtl/>
        </w:rPr>
        <w:t xml:space="preserve"> </w:t>
      </w:r>
      <w:hyperlink r:id="rId6" w:history="1">
        <w:r>
          <w:rPr>
            <w:rStyle w:val="Hyperlink"/>
            <w:rFonts w:ascii="Calibri" w:hAnsi="Calibri" w:cs="Calibri"/>
            <w:sz w:val="28"/>
            <w:szCs w:val="28"/>
            <w:rtl/>
            <w:lang w:bidi="ar-SA"/>
          </w:rPr>
          <w:t>قرية سبسطية الفلسطينية.</w:t>
        </w:r>
      </w:hyperlink>
      <w:r>
        <w:rPr>
          <w:rFonts w:ascii="Calibri" w:hAnsi="Calibri" w:cs="Calibri"/>
          <w:color w:val="000000"/>
          <w:sz w:val="28"/>
          <w:szCs w:val="28"/>
          <w:rtl/>
        </w:rPr>
        <w:t xml:space="preserve"> </w:t>
      </w:r>
      <w:r>
        <w:rPr>
          <w:rFonts w:ascii="Calibri" w:hAnsi="Calibri" w:cs="Calibri"/>
          <w:color w:val="000000"/>
          <w:sz w:val="28"/>
          <w:szCs w:val="28"/>
          <w:rtl/>
          <w:lang w:bidi="ar-SA"/>
        </w:rPr>
        <w:t xml:space="preserve">وكنا قد قدمنا مؤخرًا طلبًا للجيش باسم حرية المعلمات لفحص هل تم اصدار أوامر </w:t>
      </w:r>
      <w:r>
        <w:rPr>
          <w:rFonts w:ascii="Calibri" w:hAnsi="Calibri" w:cs="Calibri"/>
          <w:color w:val="000000"/>
          <w:sz w:val="28"/>
          <w:szCs w:val="28"/>
          <w:rtl/>
          <w:lang w:bidi="ar-SA"/>
        </w:rPr>
        <w:lastRenderedPageBreak/>
        <w:t>مماثلة في الماضي، وإذا كان الجواب نعم، اين ولأي هدف. لم نحصل حتى الآن على رد من الجيش بهذا الخصوص.</w:t>
      </w:r>
    </w:p>
    <w:p w14:paraId="19E60059" w14:textId="77777777" w:rsidR="00A51038" w:rsidRDefault="00A51038" w:rsidP="00A51038">
      <w:pPr>
        <w:pStyle w:val="NormalWeb"/>
        <w:spacing w:before="0" w:beforeAutospacing="0" w:after="160" w:afterAutospacing="0"/>
        <w:jc w:val="both"/>
        <w:rPr>
          <w:rtl/>
        </w:rPr>
      </w:pPr>
      <w:r>
        <w:rPr>
          <w:rFonts w:ascii="Arial" w:hAnsi="Arial" w:cs="Arial"/>
          <w:b/>
          <w:bCs/>
          <w:color w:val="000000"/>
          <w:sz w:val="22"/>
          <w:szCs w:val="22"/>
        </w:rPr>
        <w:t>Military training</w:t>
      </w:r>
    </w:p>
    <w:p w14:paraId="27A8193F" w14:textId="77777777" w:rsidR="00A51038" w:rsidRDefault="00A51038" w:rsidP="00A51038">
      <w:pPr>
        <w:pStyle w:val="NormalWeb"/>
        <w:bidi/>
        <w:spacing w:before="0" w:beforeAutospacing="0" w:after="160" w:afterAutospacing="0"/>
        <w:jc w:val="both"/>
      </w:pPr>
      <w:r>
        <w:rPr>
          <w:rFonts w:ascii="Calibri" w:hAnsi="Calibri" w:cs="Calibri"/>
          <w:b/>
          <w:bCs/>
          <w:color w:val="000000"/>
          <w:sz w:val="28"/>
          <w:szCs w:val="28"/>
          <w:rtl/>
          <w:lang w:bidi="ar-SA"/>
        </w:rPr>
        <w:t>تدريبات عسكرية</w:t>
      </w:r>
      <w:r>
        <w:rPr>
          <w:rFonts w:ascii="Calibri" w:hAnsi="Calibri" w:cs="Calibri"/>
          <w:color w:val="000000"/>
          <w:sz w:val="28"/>
          <w:szCs w:val="28"/>
          <w:rtl/>
        </w:rPr>
        <w:t xml:space="preserve"> </w:t>
      </w:r>
      <w:r>
        <w:rPr>
          <w:rFonts w:ascii="Calibri" w:hAnsi="Calibri" w:cs="Calibri"/>
          <w:color w:val="000000"/>
          <w:sz w:val="28"/>
          <w:szCs w:val="28"/>
          <w:rtl/>
          <w:lang w:bidi="ar-SA"/>
        </w:rPr>
        <w:t>تجري في الضفة الغربية منذ أكثر من 50 سنة. حسبما هو معروف لمؤسسة</w:t>
      </w:r>
      <w:r>
        <w:rPr>
          <w:rFonts w:ascii="Calibri" w:hAnsi="Calibri" w:cs="Calibri"/>
          <w:color w:val="000000"/>
          <w:sz w:val="28"/>
          <w:szCs w:val="28"/>
          <w:rtl/>
        </w:rPr>
        <w:t xml:space="preserve"> "</w:t>
      </w:r>
      <w:r>
        <w:rPr>
          <w:rFonts w:ascii="Calibri" w:hAnsi="Calibri" w:cs="Calibri"/>
          <w:color w:val="000000"/>
          <w:sz w:val="28"/>
          <w:szCs w:val="28"/>
          <w:rtl/>
          <w:lang w:bidi="ar-SA"/>
        </w:rPr>
        <w:t>كرم نبوت</w:t>
      </w:r>
      <w:r>
        <w:rPr>
          <w:rFonts w:ascii="Calibri" w:hAnsi="Calibri" w:cs="Calibri"/>
          <w:color w:val="000000"/>
          <w:sz w:val="28"/>
          <w:szCs w:val="28"/>
          <w:rtl/>
        </w:rPr>
        <w:t>"</w:t>
      </w:r>
      <w:r>
        <w:rPr>
          <w:rFonts w:ascii="Calibri" w:hAnsi="Calibri" w:cs="Calibri"/>
          <w:color w:val="000000"/>
          <w:sz w:val="28"/>
          <w:szCs w:val="28"/>
          <w:rtl/>
          <w:lang w:bidi="ar-SA"/>
        </w:rPr>
        <w:t>، فإن جميع التدريبات العسكرية تجري في المنطقة ج. مع ذلك، نحن نعرف عن مكان واحد داخل مناطق السلطة الفلسطينية يجري فيه الجيش وبشكل دائم تدريبات قتالية في منطقة مبنية رغم أن المنطقة مأهولة جزيئًا.</w:t>
      </w:r>
    </w:p>
    <w:p w14:paraId="76DD413A" w14:textId="6C204C44" w:rsidR="00A51038" w:rsidRDefault="00A51038" w:rsidP="00A51038">
      <w:pPr>
        <w:spacing w:after="240"/>
        <w:rPr>
          <w:rtl/>
        </w:rPr>
      </w:pPr>
      <w:r>
        <w:rPr>
          <w:rFonts w:ascii="Roboto" w:hAnsi="Roboto"/>
          <w:color w:val="3C4043"/>
          <w:spacing w:val="3"/>
          <w:sz w:val="21"/>
          <w:szCs w:val="21"/>
          <w:shd w:val="clear" w:color="auto" w:fill="FFFFFF"/>
        </w:rPr>
        <w:t>Denial of Acces</w:t>
      </w:r>
    </w:p>
    <w:p w14:paraId="211C48E1" w14:textId="77777777" w:rsidR="00A51038" w:rsidRDefault="00A51038" w:rsidP="00A51038">
      <w:pPr>
        <w:pStyle w:val="NormalWeb"/>
        <w:bidi/>
        <w:spacing w:before="0" w:beforeAutospacing="0" w:after="160" w:afterAutospacing="0"/>
        <w:jc w:val="both"/>
      </w:pPr>
      <w:r>
        <w:rPr>
          <w:rFonts w:ascii="Calibri" w:hAnsi="Calibri" w:cs="Calibri"/>
          <w:color w:val="000000"/>
          <w:sz w:val="28"/>
          <w:szCs w:val="28"/>
          <w:rtl/>
          <w:lang w:bidi="ar-SA"/>
        </w:rPr>
        <w:t>خلال الأعمال الميدانية لكرم نبوت تم تحديد 14 تقييد دخول دائم تمنع الفلسطينيين من الدخول إلى مناطق قريبة من المستوطنات والبؤر الاستيطانية التي أقيمت مسبقًا وعن قصد بمحاذاة مناطق السلطة الفلسطينية، وفي حالات أخرى داخل تلك المناطق. حسب تقديرات</w:t>
      </w:r>
      <w:r>
        <w:rPr>
          <w:rFonts w:ascii="Calibri" w:hAnsi="Calibri" w:cs="Calibri"/>
          <w:color w:val="000000"/>
          <w:sz w:val="28"/>
          <w:szCs w:val="28"/>
          <w:rtl/>
        </w:rPr>
        <w:t xml:space="preserve"> "</w:t>
      </w:r>
      <w:r>
        <w:rPr>
          <w:rFonts w:ascii="Calibri" w:hAnsi="Calibri" w:cs="Calibri"/>
          <w:color w:val="000000"/>
          <w:sz w:val="28"/>
          <w:szCs w:val="28"/>
          <w:rtl/>
          <w:lang w:bidi="ar-SA"/>
        </w:rPr>
        <w:t>كرم نبوت</w:t>
      </w:r>
      <w:r>
        <w:rPr>
          <w:rFonts w:ascii="Calibri" w:hAnsi="Calibri" w:cs="Calibri"/>
          <w:color w:val="000000"/>
          <w:sz w:val="28"/>
          <w:szCs w:val="28"/>
          <w:rtl/>
        </w:rPr>
        <w:t xml:space="preserve">" </w:t>
      </w:r>
      <w:r>
        <w:rPr>
          <w:rFonts w:ascii="Calibri" w:hAnsi="Calibri" w:cs="Calibri"/>
          <w:color w:val="000000"/>
          <w:sz w:val="28"/>
          <w:szCs w:val="28"/>
          <w:rtl/>
          <w:lang w:bidi="ar-SA"/>
        </w:rPr>
        <w:t>يمنع اليوم دخول الفلسطينيين إلى أكثر من 10,000 دونم، معظمها أراضٍ زراعية يتسبب عدم الدخول إليها بأضرار اقتصادية هائلة لأصحابها.</w:t>
      </w:r>
    </w:p>
    <w:p w14:paraId="5524AE7D" w14:textId="5DC13A90" w:rsidR="00A51038" w:rsidRDefault="00A51038" w:rsidP="00A51038">
      <w:pPr>
        <w:rPr>
          <w:rtl/>
        </w:rPr>
      </w:pPr>
      <w:r>
        <w:rPr>
          <w:rFonts w:ascii="Roboto" w:hAnsi="Roboto"/>
          <w:color w:val="3C4043"/>
          <w:spacing w:val="3"/>
          <w:sz w:val="21"/>
          <w:szCs w:val="21"/>
          <w:shd w:val="clear" w:color="auto" w:fill="FFFFFF"/>
        </w:rPr>
        <w:t>Agricultural take overs</w:t>
      </w:r>
    </w:p>
    <w:p w14:paraId="7B46C793" w14:textId="77777777" w:rsidR="00A51038" w:rsidRDefault="00A51038" w:rsidP="00A51038">
      <w:pPr>
        <w:pStyle w:val="NormalWeb"/>
        <w:bidi/>
        <w:spacing w:before="0" w:beforeAutospacing="0" w:after="160" w:afterAutospacing="0"/>
        <w:jc w:val="both"/>
      </w:pPr>
      <w:r>
        <w:rPr>
          <w:rFonts w:ascii="Calibri" w:hAnsi="Calibri" w:cs="Calibri"/>
          <w:color w:val="000000"/>
          <w:sz w:val="28"/>
          <w:szCs w:val="28"/>
          <w:rtl/>
          <w:lang w:bidi="ar-SA"/>
        </w:rPr>
        <w:t>من المعلوم لكرم نبوت حتى اليوم عن ثمانية أماكن يعمل فيها المستوطنون على فلاحة أراضٍ داخل مناطق السلطة الفلسطينية، وحسب معلوماتنا تم البدء في فلاحة مكانين منها قبل التوقيع على اتفاقية أوسلو 2 (أيلول 1995)، ولأسباب غير معروفة لنا استمر هذا الوضع بعد التوقيع على الاتفاقية. في الأماكن الستة الأخرى الحديث عن عمليات غزو للأراضي قام بها المستوطنون في الأعوام 2003-2008، أي بعد التوقيع على اتفاقية أوسلو 2.</w:t>
      </w:r>
    </w:p>
    <w:p w14:paraId="65634E42" w14:textId="6A222D1A" w:rsidR="00A51038" w:rsidRDefault="00A51038" w:rsidP="00A51038">
      <w:pPr>
        <w:rPr>
          <w:rtl/>
        </w:rPr>
      </w:pPr>
      <w:r>
        <w:rPr>
          <w:rFonts w:ascii="Roboto" w:hAnsi="Roboto"/>
          <w:color w:val="3C4043"/>
          <w:spacing w:val="3"/>
          <w:sz w:val="21"/>
          <w:szCs w:val="21"/>
          <w:shd w:val="clear" w:color="auto" w:fill="FFFFFF"/>
        </w:rPr>
        <w:t>Road Building and Construction</w:t>
      </w:r>
    </w:p>
    <w:p w14:paraId="2DBE1D8F" w14:textId="77777777" w:rsidR="00A51038" w:rsidRDefault="00A51038" w:rsidP="00A51038">
      <w:pPr>
        <w:pStyle w:val="NormalWeb"/>
        <w:bidi/>
        <w:spacing w:before="0" w:beforeAutospacing="0" w:after="160" w:afterAutospacing="0"/>
        <w:jc w:val="both"/>
      </w:pPr>
      <w:r>
        <w:rPr>
          <w:rFonts w:ascii="Calibri" w:hAnsi="Calibri" w:cs="Calibri"/>
          <w:color w:val="000000"/>
          <w:sz w:val="28"/>
          <w:szCs w:val="28"/>
          <w:rtl/>
          <w:lang w:bidi="ar-SA"/>
        </w:rPr>
        <w:t>في بعض الأماكن القليلة جدًا قام المستوطنون بشق شوارع، وأحيانًا بالبناء، داخل مناطق السلطة الفلسطينية. في الأعوام 2018 و 2020 التمس بعض المستوطنون من البؤر الاستيطانية في محيط مستوطنة يتسهار، والتي أقيمت عن قصد داخل المناطق ب، ضد نية الجيش بإخلائهم وهدم المباني، بادعاء أنه وفق اتفاقية أوسلو لا تملك إسرائيل صلاحية تنفيذ أوامر هدم في المناطق ب. رفضت المحكمة العليا الالتماسات وألزمت الملتمسين بدفع مصاريف المحكمة بمبلغ 3000 شاقل في كل التماس.</w:t>
      </w:r>
    </w:p>
    <w:p w14:paraId="7180B9C8" w14:textId="77777777" w:rsidR="00A51038" w:rsidRDefault="00A51038" w:rsidP="00A51038">
      <w:pPr>
        <w:pStyle w:val="NormalWeb"/>
        <w:bidi/>
        <w:spacing w:before="0" w:beforeAutospacing="0" w:after="160" w:afterAutospacing="0"/>
        <w:jc w:val="both"/>
        <w:rPr>
          <w:rtl/>
        </w:rPr>
      </w:pPr>
      <w:hyperlink r:id="rId7" w:history="1">
        <w:r>
          <w:rPr>
            <w:rStyle w:val="Hyperlink"/>
            <w:rFonts w:ascii="Calibri" w:hAnsi="Calibri" w:cs="Calibri"/>
            <w:sz w:val="28"/>
            <w:szCs w:val="28"/>
            <w:rtl/>
            <w:lang w:bidi="ar-SA"/>
          </w:rPr>
          <w:t>قرار المحكمة العليا 18/1330</w:t>
        </w:r>
      </w:hyperlink>
    </w:p>
    <w:p w14:paraId="72642EC1" w14:textId="77777777" w:rsidR="00A51038" w:rsidRDefault="00A51038" w:rsidP="00A51038">
      <w:pPr>
        <w:pStyle w:val="NormalWeb"/>
        <w:bidi/>
        <w:spacing w:before="0" w:beforeAutospacing="0" w:after="160" w:afterAutospacing="0"/>
        <w:jc w:val="both"/>
        <w:rPr>
          <w:rtl/>
        </w:rPr>
      </w:pPr>
      <w:hyperlink r:id="rId8" w:history="1">
        <w:r>
          <w:rPr>
            <w:rStyle w:val="Hyperlink"/>
            <w:rFonts w:ascii="Calibri" w:hAnsi="Calibri" w:cs="Calibri"/>
            <w:sz w:val="28"/>
            <w:szCs w:val="28"/>
            <w:rtl/>
            <w:lang w:bidi="ar-SA"/>
          </w:rPr>
          <w:t>قرار المحكمة العليا 20/2623</w:t>
        </w:r>
      </w:hyperlink>
    </w:p>
    <w:p w14:paraId="0862A11F" w14:textId="633CE4DB" w:rsidR="00A51038" w:rsidRDefault="00A51038" w:rsidP="00A51038">
      <w:pPr>
        <w:rPr>
          <w:rtl/>
        </w:rPr>
      </w:pPr>
      <w:r>
        <w:rPr>
          <w:rFonts w:ascii="Roboto" w:hAnsi="Roboto"/>
          <w:color w:val="3C4043"/>
          <w:spacing w:val="3"/>
          <w:sz w:val="21"/>
          <w:szCs w:val="21"/>
          <w:shd w:val="clear" w:color="auto" w:fill="FFFFFF"/>
        </w:rPr>
        <w:t>settlers visits</w:t>
      </w:r>
    </w:p>
    <w:p w14:paraId="4ACBD13E" w14:textId="77777777" w:rsidR="00A51038" w:rsidRDefault="00A51038" w:rsidP="00A51038">
      <w:pPr>
        <w:pStyle w:val="NormalWeb"/>
        <w:bidi/>
        <w:spacing w:before="0" w:beforeAutospacing="0" w:after="160" w:afterAutospacing="0"/>
        <w:jc w:val="both"/>
      </w:pPr>
      <w:r>
        <w:rPr>
          <w:rFonts w:ascii="Calibri" w:hAnsi="Calibri" w:cs="Calibri"/>
          <w:color w:val="000000"/>
          <w:sz w:val="28"/>
          <w:szCs w:val="28"/>
          <w:rtl/>
          <w:lang w:bidi="ar-SA"/>
        </w:rPr>
        <w:t>جولات ينظمها المستوطنون إلى مواقع مقدسة لشخصيات توراتية ولمواقع ذات قيمة تاريخية أو مناظر طبيعية. غالبية تلك الجولات يتم تنسيقها مع الجيش، ويقوم الجنود بتأمين دخول المشاركين إلى تلك المواقع. في العديد من الحالات يفرض الجيش تقييدات قاسية على حركة السكان الفلسطينيين المحليين خلال تواجد إسرائيليين في المكان. نحن نعلم حتى الآن عن 22 موقع من هذا النوع، ويلاحظ تزايد هذا التوجه في السنوات الأخيرة. </w:t>
      </w:r>
    </w:p>
    <w:p w14:paraId="569C2313" w14:textId="77777777" w:rsidR="00A51038" w:rsidRDefault="00A51038" w:rsidP="003D60E1">
      <w:pPr>
        <w:pStyle w:val="Heading5"/>
        <w:spacing w:before="0"/>
        <w:rPr>
          <w:b w:val="0"/>
          <w:bCs/>
          <w:color w:val="212529"/>
          <w:sz w:val="24"/>
          <w:szCs w:val="24"/>
        </w:rPr>
      </w:pPr>
    </w:p>
    <w:p w14:paraId="28C88369" w14:textId="77777777" w:rsidR="00A51038" w:rsidRDefault="00A51038" w:rsidP="003D60E1">
      <w:pPr>
        <w:pStyle w:val="Heading5"/>
        <w:spacing w:before="0"/>
        <w:rPr>
          <w:b w:val="0"/>
          <w:bCs/>
          <w:color w:val="212529"/>
          <w:sz w:val="24"/>
          <w:szCs w:val="24"/>
        </w:rPr>
      </w:pPr>
    </w:p>
    <w:p w14:paraId="0DEAE2F5" w14:textId="3EFA70DC" w:rsidR="003D60E1" w:rsidRDefault="0016580C" w:rsidP="003D60E1">
      <w:pPr>
        <w:pStyle w:val="Heading5"/>
        <w:spacing w:before="0"/>
        <w:rPr>
          <w:b w:val="0"/>
          <w:color w:val="212529"/>
          <w:sz w:val="24"/>
          <w:szCs w:val="24"/>
        </w:rPr>
      </w:pPr>
      <w:r>
        <w:rPr>
          <w:b w:val="0"/>
          <w:bCs/>
          <w:color w:val="212529"/>
          <w:sz w:val="24"/>
          <w:szCs w:val="24"/>
        </w:rPr>
        <w:t>“</w:t>
      </w:r>
      <w:r w:rsidR="003D60E1">
        <w:rPr>
          <w:b w:val="0"/>
          <w:bCs/>
          <w:color w:val="212529"/>
          <w:sz w:val="24"/>
          <w:szCs w:val="24"/>
        </w:rPr>
        <w:t>Expropriation</w:t>
      </w:r>
      <w:r>
        <w:rPr>
          <w:b w:val="0"/>
          <w:bCs/>
          <w:color w:val="212529"/>
          <w:sz w:val="24"/>
          <w:szCs w:val="24"/>
        </w:rPr>
        <w:t>_</w:t>
      </w:r>
      <w:r w:rsidR="003D60E1">
        <w:rPr>
          <w:b w:val="0"/>
          <w:bCs/>
          <w:color w:val="212529"/>
          <w:sz w:val="24"/>
          <w:szCs w:val="24"/>
        </w:rPr>
        <w:t>Orders</w:t>
      </w:r>
      <w:r w:rsidR="00D03E98">
        <w:rPr>
          <w:b w:val="0"/>
          <w:bCs/>
          <w:color w:val="212529"/>
          <w:sz w:val="24"/>
          <w:szCs w:val="24"/>
        </w:rPr>
        <w:t>_info</w:t>
      </w:r>
      <w:r>
        <w:rPr>
          <w:b w:val="0"/>
          <w:bCs/>
          <w:color w:val="212529"/>
          <w:sz w:val="24"/>
          <w:szCs w:val="24"/>
        </w:rPr>
        <w:t>”:</w:t>
      </w:r>
    </w:p>
    <w:p w14:paraId="22B6A593" w14:textId="77777777" w:rsidR="001E1F3D" w:rsidRDefault="001E1F3D" w:rsidP="003D60E1">
      <w:pPr>
        <w:bidi/>
        <w:spacing w:line="480" w:lineRule="auto"/>
        <w:jc w:val="both"/>
        <w:rPr>
          <w:rFonts w:ascii="David" w:eastAsia="David" w:hAnsi="David" w:cs="David"/>
          <w:b/>
          <w:sz w:val="24"/>
          <w:szCs w:val="24"/>
        </w:rPr>
      </w:pPr>
    </w:p>
    <w:p w14:paraId="497DF6AF" w14:textId="7E5C83F0" w:rsidR="0016580C" w:rsidRDefault="003D60E1" w:rsidP="001E1F3D">
      <w:pPr>
        <w:bidi/>
        <w:spacing w:line="480" w:lineRule="auto"/>
        <w:jc w:val="both"/>
        <w:rPr>
          <w:rFonts w:ascii="David" w:eastAsia="David" w:hAnsi="David" w:cs="David"/>
          <w:sz w:val="24"/>
          <w:szCs w:val="24"/>
        </w:rPr>
      </w:pPr>
      <w:r>
        <w:rPr>
          <w:rFonts w:ascii="David" w:eastAsia="David" w:hAnsi="David" w:cs="David"/>
          <w:b/>
          <w:sz w:val="24"/>
          <w:szCs w:val="24"/>
          <w:rtl/>
        </w:rPr>
        <w:t>צווי הפקעה</w:t>
      </w:r>
      <w:r>
        <w:rPr>
          <w:rFonts w:ascii="David" w:eastAsia="David" w:hAnsi="David" w:cs="David"/>
          <w:sz w:val="24"/>
          <w:szCs w:val="24"/>
          <w:rtl/>
        </w:rPr>
        <w:t xml:space="preserve"> המכונים גם צווי רכישה לצורכי ציבור, הם צווים צבאיים שהצבא עושה בהם שימוש בעיקר לשם הפקעת שטחים עבור כבישים ופרויקטים תשתיתיים למיניהם. בניגוד לצווי תפיסה, צווי ההפקעה אינם זמניים, אך רשמית אפשר להוציאם רק עבור פרויקטים שישמשו גם את "האוכלוסייה המקומית". קרי האוכלוסייה הפלסטינית. למעשה, בכמה מקרים עשתה ישראל שימוש בצווי הפקעה לשם הקמת התנחלויות (מעלה אדומים ועפרה), ובמקרים רבים נוספים נעשה שימוש בצווים אלו לשם סלילת כבישי גישה להתנחלויות, כבישים המשמשים רק את אוכלוסיית המתנחלים. עד היום הוציא הצבא צווי הפקעה לכ־75 אלף דונם. מחתימת הסכם אוסלו ב' הוציאה ישראל צו הפקעה אחד בשטחי הרשות הפלסטינית, לשם סלילת כביש 35 (כביש עוקף שנסלל בין חלחול וחברון). </w:t>
      </w:r>
    </w:p>
    <w:p w14:paraId="00000002" w14:textId="77777777" w:rsidR="006B7F70" w:rsidRDefault="003D60E1">
      <w:pPr>
        <w:bidi/>
        <w:spacing w:line="480" w:lineRule="auto"/>
        <w:jc w:val="both"/>
        <w:rPr>
          <w:rFonts w:ascii="David" w:eastAsia="David" w:hAnsi="David" w:cs="David"/>
          <w:sz w:val="24"/>
          <w:szCs w:val="24"/>
        </w:rPr>
      </w:pPr>
      <w:r>
        <w:rPr>
          <w:rFonts w:ascii="David" w:eastAsia="David" w:hAnsi="David" w:cs="David"/>
          <w:sz w:val="24"/>
          <w:szCs w:val="24"/>
          <w:rtl/>
        </w:rPr>
        <w:t xml:space="preserve">לקריאה נוספת ראו דו"ח בצלם, </w:t>
      </w:r>
      <w:hyperlink r:id="rId9">
        <w:r>
          <w:rPr>
            <w:rFonts w:ascii="David" w:eastAsia="David" w:hAnsi="David" w:cs="David"/>
            <w:color w:val="0563C1"/>
            <w:sz w:val="24"/>
            <w:szCs w:val="24"/>
            <w:u w:val="single"/>
            <w:rtl/>
          </w:rPr>
          <w:t>גזל</w:t>
        </w:r>
      </w:hyperlink>
      <w:hyperlink r:id="rId10">
        <w:r>
          <w:rPr>
            <w:rFonts w:ascii="David" w:eastAsia="David" w:hAnsi="David" w:cs="David"/>
            <w:color w:val="0563C1"/>
            <w:sz w:val="24"/>
            <w:szCs w:val="24"/>
            <w:u w:val="single"/>
            <w:rtl/>
          </w:rPr>
          <w:t xml:space="preserve"> </w:t>
        </w:r>
      </w:hyperlink>
      <w:hyperlink r:id="rId11">
        <w:r>
          <w:rPr>
            <w:rFonts w:ascii="David" w:eastAsia="David" w:hAnsi="David" w:cs="David"/>
            <w:color w:val="0563C1"/>
            <w:sz w:val="24"/>
            <w:szCs w:val="24"/>
            <w:u w:val="single"/>
            <w:rtl/>
          </w:rPr>
          <w:t>הקרקעות</w:t>
        </w:r>
      </w:hyperlink>
      <w:hyperlink r:id="rId12">
        <w:r>
          <w:rPr>
            <w:rFonts w:ascii="David" w:eastAsia="David" w:hAnsi="David" w:cs="David"/>
            <w:color w:val="0563C1"/>
            <w:sz w:val="24"/>
            <w:szCs w:val="24"/>
            <w:u w:val="single"/>
            <w:rtl/>
          </w:rPr>
          <w:t>,</w:t>
        </w:r>
      </w:hyperlink>
      <w:r>
        <w:rPr>
          <w:rFonts w:ascii="David" w:eastAsia="David" w:hAnsi="David" w:cs="David"/>
          <w:sz w:val="24"/>
          <w:szCs w:val="24"/>
          <w:rtl/>
        </w:rPr>
        <w:t xml:space="preserve"> עמ' 51.</w:t>
      </w:r>
    </w:p>
    <w:p w14:paraId="00000003" w14:textId="38B6A1F6" w:rsidR="006B7F70" w:rsidRDefault="00D03E98" w:rsidP="003D60E1">
      <w:pPr>
        <w:pStyle w:val="Heading5"/>
        <w:spacing w:before="0"/>
        <w:rPr>
          <w:b w:val="0"/>
          <w:bCs/>
          <w:color w:val="212529"/>
          <w:sz w:val="24"/>
          <w:szCs w:val="24"/>
        </w:rPr>
      </w:pPr>
      <w:r>
        <w:rPr>
          <w:b w:val="0"/>
          <w:bCs/>
          <w:color w:val="212529"/>
          <w:sz w:val="24"/>
          <w:szCs w:val="24"/>
        </w:rPr>
        <w:t>“</w:t>
      </w:r>
      <w:r w:rsidR="003D60E1" w:rsidRPr="003D60E1">
        <w:rPr>
          <w:b w:val="0"/>
          <w:bCs/>
          <w:color w:val="212529"/>
          <w:sz w:val="24"/>
          <w:szCs w:val="24"/>
        </w:rPr>
        <w:t>Area</w:t>
      </w:r>
      <w:r w:rsidR="0016580C">
        <w:rPr>
          <w:b w:val="0"/>
          <w:bCs/>
          <w:color w:val="212529"/>
          <w:sz w:val="24"/>
          <w:szCs w:val="24"/>
        </w:rPr>
        <w:t>_</w:t>
      </w:r>
      <w:r w:rsidR="003D60E1" w:rsidRPr="003D60E1">
        <w:rPr>
          <w:b w:val="0"/>
          <w:bCs/>
          <w:color w:val="212529"/>
          <w:sz w:val="24"/>
          <w:szCs w:val="24"/>
        </w:rPr>
        <w:t>B</w:t>
      </w:r>
      <w:r w:rsidR="0016580C">
        <w:rPr>
          <w:b w:val="0"/>
          <w:bCs/>
          <w:color w:val="212529"/>
          <w:sz w:val="24"/>
          <w:szCs w:val="24"/>
        </w:rPr>
        <w:t>_</w:t>
      </w:r>
      <w:r w:rsidR="003D60E1" w:rsidRPr="003D60E1">
        <w:rPr>
          <w:b w:val="0"/>
          <w:bCs/>
          <w:color w:val="212529"/>
          <w:sz w:val="24"/>
          <w:szCs w:val="24"/>
        </w:rPr>
        <w:t>Demolitions</w:t>
      </w:r>
      <w:r>
        <w:rPr>
          <w:b w:val="0"/>
          <w:bCs/>
          <w:color w:val="212529"/>
          <w:sz w:val="24"/>
          <w:szCs w:val="24"/>
        </w:rPr>
        <w:t>_info”</w:t>
      </w:r>
    </w:p>
    <w:p w14:paraId="21A828D8" w14:textId="77777777" w:rsidR="003D60E1" w:rsidRPr="003D60E1" w:rsidRDefault="003D60E1" w:rsidP="003D60E1"/>
    <w:p w14:paraId="00000004" w14:textId="77777777" w:rsidR="006B7F70" w:rsidRDefault="003D60E1">
      <w:pPr>
        <w:bidi/>
        <w:spacing w:line="480" w:lineRule="auto"/>
        <w:jc w:val="both"/>
        <w:rPr>
          <w:rFonts w:ascii="David" w:eastAsia="David" w:hAnsi="David" w:cs="David"/>
          <w:sz w:val="24"/>
          <w:szCs w:val="24"/>
        </w:rPr>
      </w:pPr>
      <w:r>
        <w:rPr>
          <w:rFonts w:ascii="David" w:eastAsia="David" w:hAnsi="David" w:cs="David"/>
          <w:b/>
          <w:sz w:val="24"/>
          <w:szCs w:val="24"/>
          <w:rtl/>
        </w:rPr>
        <w:t>צווי הפסקת עבודה</w:t>
      </w:r>
      <w:r>
        <w:rPr>
          <w:rFonts w:ascii="David" w:eastAsia="David" w:hAnsi="David" w:cs="David"/>
          <w:sz w:val="24"/>
          <w:szCs w:val="24"/>
          <w:rtl/>
        </w:rPr>
        <w:t xml:space="preserve"> וצווי הריסה הם צווים שהמנהל האזרחי מוציא נגד בנייה לא חוקית. עד היום הוצאו יותר מ־19 אלף צווי הריסה למבנים פלסטינים ברחבי הגדה המערבית, רובם המכריע באזור </w:t>
      </w:r>
      <w:r>
        <w:rPr>
          <w:rFonts w:ascii="David" w:eastAsia="David" w:hAnsi="David" w:cs="David"/>
          <w:sz w:val="24"/>
          <w:szCs w:val="24"/>
        </w:rPr>
        <w:t>C</w:t>
      </w:r>
      <w:r>
        <w:rPr>
          <w:rFonts w:ascii="David" w:eastAsia="David" w:hAnsi="David" w:cs="David"/>
          <w:sz w:val="24"/>
          <w:szCs w:val="24"/>
          <w:rtl/>
        </w:rPr>
        <w:t xml:space="preserve">. 133 מהם הוצאו למבנים בשטחי הרשות הפלסטינית לאחר חתימת הסכם אוסלו ב' (כלומר באזורי  </w:t>
      </w:r>
      <w:r>
        <w:rPr>
          <w:rFonts w:ascii="David" w:eastAsia="David" w:hAnsi="David" w:cs="David"/>
          <w:sz w:val="24"/>
          <w:szCs w:val="24"/>
        </w:rPr>
        <w:t>A</w:t>
      </w:r>
      <w:r>
        <w:rPr>
          <w:rFonts w:ascii="David" w:eastAsia="David" w:hAnsi="David" w:cs="David"/>
          <w:sz w:val="24"/>
          <w:szCs w:val="24"/>
          <w:rtl/>
        </w:rPr>
        <w:t>ו־</w:t>
      </w:r>
      <w:r>
        <w:rPr>
          <w:rFonts w:ascii="David" w:eastAsia="David" w:hAnsi="David" w:cs="David"/>
          <w:sz w:val="24"/>
          <w:szCs w:val="24"/>
        </w:rPr>
        <w:t>B</w:t>
      </w:r>
      <w:r>
        <w:rPr>
          <w:rFonts w:ascii="David" w:eastAsia="David" w:hAnsi="David" w:cs="David"/>
          <w:sz w:val="24"/>
          <w:szCs w:val="24"/>
          <w:rtl/>
        </w:rPr>
        <w:t xml:space="preserve">). לא מן הנמנע שחלק מצווים אלו הוצאו בטעות למבנים הנמצאים על גבול שטחי הרשות הפלסטינית עם אזור </w:t>
      </w:r>
      <w:r>
        <w:rPr>
          <w:rFonts w:ascii="David" w:eastAsia="David" w:hAnsi="David" w:cs="David"/>
          <w:sz w:val="24"/>
          <w:szCs w:val="24"/>
        </w:rPr>
        <w:t>C</w:t>
      </w:r>
      <w:r>
        <w:rPr>
          <w:rFonts w:ascii="David" w:eastAsia="David" w:hAnsi="David" w:cs="David"/>
          <w:sz w:val="24"/>
          <w:szCs w:val="24"/>
          <w:rtl/>
        </w:rPr>
        <w:t xml:space="preserve"> בשל כשל בזיהוי הגבול. במקרים אחרים (כמו בוואדי אל־חומוס) הוצאו צווי ההריסה בשל בנייה בשטחים הסמוכים לגדר ההפרדה, שבהם הוצאו צווי איסור בנייה, שכן גדר ההפרדה עצמה נבנתה בשטחי הרשות הפלסטינית.</w:t>
      </w:r>
    </w:p>
    <w:p w14:paraId="30DDE064" w14:textId="77777777" w:rsidR="003D60E1" w:rsidRDefault="003D60E1" w:rsidP="003D60E1">
      <w:pPr>
        <w:pStyle w:val="Heading5"/>
        <w:spacing w:before="0"/>
        <w:rPr>
          <w:b w:val="0"/>
          <w:color w:val="212529"/>
          <w:sz w:val="24"/>
          <w:szCs w:val="24"/>
        </w:rPr>
      </w:pPr>
      <w:r>
        <w:rPr>
          <w:b w:val="0"/>
          <w:bCs/>
          <w:color w:val="212529"/>
          <w:sz w:val="24"/>
          <w:szCs w:val="24"/>
        </w:rPr>
        <w:t>No Construction Order</w:t>
      </w:r>
    </w:p>
    <w:p w14:paraId="00000005" w14:textId="77777777" w:rsidR="006B7F70" w:rsidRDefault="006B7F70">
      <w:pPr>
        <w:bidi/>
        <w:spacing w:line="480" w:lineRule="auto"/>
        <w:jc w:val="both"/>
        <w:rPr>
          <w:rFonts w:ascii="David" w:eastAsia="David" w:hAnsi="David" w:cs="David"/>
          <w:sz w:val="24"/>
          <w:szCs w:val="24"/>
        </w:rPr>
      </w:pPr>
    </w:p>
    <w:p w14:paraId="00000006" w14:textId="77777777" w:rsidR="006B7F70" w:rsidRDefault="003D60E1">
      <w:pPr>
        <w:bidi/>
        <w:spacing w:line="480" w:lineRule="auto"/>
        <w:jc w:val="both"/>
        <w:rPr>
          <w:rFonts w:ascii="David" w:eastAsia="David" w:hAnsi="David" w:cs="David"/>
          <w:sz w:val="24"/>
          <w:szCs w:val="24"/>
        </w:rPr>
      </w:pPr>
      <w:r>
        <w:rPr>
          <w:rFonts w:ascii="David" w:eastAsia="David" w:hAnsi="David" w:cs="David"/>
          <w:b/>
          <w:sz w:val="24"/>
          <w:szCs w:val="24"/>
          <w:rtl/>
        </w:rPr>
        <w:t>צווי איסור בנייה</w:t>
      </w:r>
      <w:r>
        <w:rPr>
          <w:rFonts w:ascii="David" w:eastAsia="David" w:hAnsi="David" w:cs="David"/>
          <w:sz w:val="24"/>
          <w:szCs w:val="24"/>
          <w:rtl/>
        </w:rPr>
        <w:t xml:space="preserve"> הם צווים שהצבא עושה בהם שימוש למניעת בנייה לאורך כבישים בגדה המערבית, וכן באזורים סמוכים לגדר ההפרדה. צו איסור בנייה 1/96 שנחתם בשנת 1996 אסר על בנייה משני צדדיהם של מאות כבישים, באורך מצטבר של קרוב ל־1,700 קמ' (במקרים מסוימים מדובר ב־120 מ' מכל צד, ובמקרים אחרים ב־75 מ' מכל צד). צו זהחודר עמוק אל תוך שטחי הרשות הפלסטינית ואוסר בנייה לאורך הכבישים </w:t>
      </w:r>
      <w:r>
        <w:rPr>
          <w:rFonts w:ascii="David" w:eastAsia="David" w:hAnsi="David" w:cs="David"/>
          <w:sz w:val="24"/>
          <w:szCs w:val="24"/>
          <w:rtl/>
        </w:rPr>
        <w:lastRenderedPageBreak/>
        <w:t xml:space="preserve">הראשיים החוצים את הערים הפלסטיניות. עם זאת, למיטב ידיעת "כרם נבות" צו זה מעולם לא נאכף. סדרה נוספת של צווי איסור בנייה היא הצווים שהוצאו לאורך שטחים הנושקים לגדר ההפרדה. מדובר בשטחים נרחבים מאוד, המשתרעים על כ־178 אלף דונם בסה"כ, וכ־12,700 דונם מהם נמצאים בתוך שטחי הרשות הפלסטינית. </w:t>
      </w:r>
    </w:p>
    <w:p w14:paraId="00000007" w14:textId="5EC3BA14" w:rsidR="006B7F70" w:rsidRPr="003D60E1" w:rsidRDefault="003D60E1" w:rsidP="003D60E1">
      <w:pPr>
        <w:pStyle w:val="Heading5"/>
        <w:spacing w:before="0"/>
        <w:rPr>
          <w:b w:val="0"/>
          <w:bCs/>
          <w:color w:val="212529"/>
          <w:sz w:val="24"/>
          <w:szCs w:val="24"/>
        </w:rPr>
      </w:pPr>
      <w:r w:rsidRPr="003D60E1">
        <w:rPr>
          <w:b w:val="0"/>
          <w:bCs/>
          <w:color w:val="212529"/>
          <w:sz w:val="24"/>
          <w:szCs w:val="24"/>
        </w:rPr>
        <w:t>Security Orders </w:t>
      </w:r>
    </w:p>
    <w:p w14:paraId="00000008" w14:textId="77777777" w:rsidR="006B7F70" w:rsidRDefault="003D60E1">
      <w:pPr>
        <w:bidi/>
        <w:spacing w:line="480" w:lineRule="auto"/>
        <w:jc w:val="both"/>
        <w:rPr>
          <w:rFonts w:ascii="David" w:eastAsia="David" w:hAnsi="David" w:cs="David"/>
          <w:sz w:val="24"/>
          <w:szCs w:val="24"/>
        </w:rPr>
      </w:pPr>
      <w:r>
        <w:rPr>
          <w:rFonts w:ascii="David" w:eastAsia="David" w:hAnsi="David" w:cs="David"/>
          <w:b/>
          <w:sz w:val="24"/>
          <w:szCs w:val="24"/>
          <w:rtl/>
        </w:rPr>
        <w:t>הצו בדבר הוראות ביטחון</w:t>
      </w:r>
      <w:r>
        <w:rPr>
          <w:rFonts w:ascii="David" w:eastAsia="David" w:hAnsi="David" w:cs="David"/>
          <w:sz w:val="24"/>
          <w:szCs w:val="24"/>
          <w:rtl/>
        </w:rPr>
        <w:t xml:space="preserve"> תוקן על ידי הצבא בשנת 2009 כדי לאפשר למפקד הצבאי לנקוט צעדים שונים שהצבא טוען שהם נדרשים לשם "שמירה על ביטחון האזור והסדר הציבורי". עד עתה ידוע לנו רק על מקום אחד שבו עשה הצבא שימוש בצו הזה בשטחי הרשות הפלסטינית, </w:t>
      </w:r>
      <w:sdt>
        <w:sdtPr>
          <w:rPr>
            <w:rtl/>
          </w:rPr>
          <w:tag w:val="goog_rdk_0"/>
          <w:id w:val="119499534"/>
        </w:sdtPr>
        <w:sdtEndPr/>
        <w:sdtContent>
          <w:commentRangeStart w:id="0"/>
        </w:sdtContent>
      </w:sdt>
      <w:hyperlink r:id="rId13">
        <w:r>
          <w:rPr>
            <w:rFonts w:ascii="David" w:eastAsia="David" w:hAnsi="David" w:cs="David"/>
            <w:color w:val="0563C1"/>
            <w:sz w:val="24"/>
            <w:szCs w:val="24"/>
            <w:u w:val="single"/>
            <w:rtl/>
          </w:rPr>
          <w:t>בכפר</w:t>
        </w:r>
      </w:hyperlink>
      <w:hyperlink r:id="rId14">
        <w:r>
          <w:rPr>
            <w:rFonts w:ascii="David" w:eastAsia="David" w:hAnsi="David" w:cs="David"/>
            <w:color w:val="0563C1"/>
            <w:sz w:val="24"/>
            <w:szCs w:val="24"/>
            <w:u w:val="single"/>
            <w:rtl/>
          </w:rPr>
          <w:t xml:space="preserve"> </w:t>
        </w:r>
      </w:hyperlink>
      <w:hyperlink r:id="rId15">
        <w:r>
          <w:rPr>
            <w:rFonts w:ascii="David" w:eastAsia="David" w:hAnsi="David" w:cs="David"/>
            <w:color w:val="0563C1"/>
            <w:sz w:val="24"/>
            <w:szCs w:val="24"/>
            <w:u w:val="single"/>
            <w:rtl/>
          </w:rPr>
          <w:t>הפלסטיני</w:t>
        </w:r>
      </w:hyperlink>
      <w:hyperlink r:id="rId16">
        <w:r>
          <w:rPr>
            <w:rFonts w:ascii="David" w:eastAsia="David" w:hAnsi="David" w:cs="David"/>
            <w:color w:val="0563C1"/>
            <w:sz w:val="24"/>
            <w:szCs w:val="24"/>
            <w:u w:val="single"/>
            <w:rtl/>
          </w:rPr>
          <w:t xml:space="preserve"> </w:t>
        </w:r>
      </w:hyperlink>
      <w:hyperlink r:id="rId17">
        <w:r>
          <w:rPr>
            <w:rFonts w:ascii="David" w:eastAsia="David" w:hAnsi="David" w:cs="David"/>
            <w:color w:val="0563C1"/>
            <w:sz w:val="24"/>
            <w:szCs w:val="24"/>
            <w:u w:val="single"/>
            <w:rtl/>
          </w:rPr>
          <w:t>סבסטיה</w:t>
        </w:r>
      </w:hyperlink>
      <w:hyperlink r:id="rId18">
        <w:r>
          <w:rPr>
            <w:rFonts w:ascii="David" w:eastAsia="David" w:hAnsi="David" w:cs="David"/>
            <w:color w:val="0563C1"/>
            <w:sz w:val="24"/>
            <w:szCs w:val="24"/>
            <w:u w:val="single"/>
            <w:rtl/>
          </w:rPr>
          <w:t>.</w:t>
        </w:r>
      </w:hyperlink>
      <w:commentRangeEnd w:id="0"/>
      <w:r>
        <w:commentReference w:id="0"/>
      </w:r>
      <w:r>
        <w:rPr>
          <w:rFonts w:ascii="David" w:eastAsia="David" w:hAnsi="David" w:cs="David"/>
          <w:sz w:val="24"/>
          <w:szCs w:val="24"/>
          <w:rtl/>
        </w:rPr>
        <w:t xml:space="preserve"> לאחרונה הגשנו בקשת חופש מידע מהצבא כדי לברר אם הוצאו צווים דומים בעבר, ואם כן, היכן ולאיזו מטרה. עד כה לא התקבלה תשובה בעניין זה. </w:t>
      </w:r>
    </w:p>
    <w:p w14:paraId="3F7C6B85" w14:textId="77777777" w:rsidR="003D60E1" w:rsidRPr="003D60E1" w:rsidRDefault="003D60E1" w:rsidP="003D60E1">
      <w:pPr>
        <w:pStyle w:val="Heading5"/>
        <w:spacing w:before="0"/>
        <w:rPr>
          <w:b w:val="0"/>
          <w:bCs/>
          <w:color w:val="212529"/>
          <w:sz w:val="24"/>
          <w:szCs w:val="24"/>
        </w:rPr>
      </w:pPr>
      <w:r w:rsidRPr="003D60E1">
        <w:rPr>
          <w:b w:val="0"/>
          <w:bCs/>
          <w:color w:val="212529"/>
          <w:sz w:val="24"/>
          <w:szCs w:val="24"/>
        </w:rPr>
        <w:t>Military Training </w:t>
      </w:r>
    </w:p>
    <w:p w14:paraId="0000000A" w14:textId="5BC8C00C" w:rsidR="006B7F70" w:rsidRDefault="003D60E1" w:rsidP="003D60E1">
      <w:pPr>
        <w:bidi/>
        <w:spacing w:line="480" w:lineRule="auto"/>
        <w:jc w:val="both"/>
        <w:rPr>
          <w:rFonts w:ascii="David" w:eastAsia="David" w:hAnsi="David" w:cs="David"/>
          <w:sz w:val="24"/>
          <w:szCs w:val="24"/>
        </w:rPr>
      </w:pPr>
      <w:r>
        <w:rPr>
          <w:rFonts w:ascii="David" w:eastAsia="David" w:hAnsi="David" w:cs="David"/>
          <w:b/>
          <w:sz w:val="24"/>
          <w:szCs w:val="24"/>
          <w:rtl/>
        </w:rPr>
        <w:t>אימונים צבאיים</w:t>
      </w:r>
      <w:r>
        <w:rPr>
          <w:rFonts w:ascii="David" w:eastAsia="David" w:hAnsi="David" w:cs="David"/>
          <w:sz w:val="24"/>
          <w:szCs w:val="24"/>
          <w:rtl/>
        </w:rPr>
        <w:t xml:space="preserve"> מתקיימים בגדה המערבית זה למעלה מ־50 שנה. ככל הידוע ל"כרם נבות", ככלל האימונים הצבאיים מתקיימים באזורי </w:t>
      </w:r>
      <w:r>
        <w:rPr>
          <w:rFonts w:ascii="David" w:eastAsia="David" w:hAnsi="David" w:cs="David"/>
          <w:sz w:val="24"/>
          <w:szCs w:val="24"/>
        </w:rPr>
        <w:t>C</w:t>
      </w:r>
      <w:r>
        <w:rPr>
          <w:rFonts w:ascii="David" w:eastAsia="David" w:hAnsi="David" w:cs="David"/>
          <w:sz w:val="24"/>
          <w:szCs w:val="24"/>
          <w:rtl/>
        </w:rPr>
        <w:t xml:space="preserve">. עם זאת, ידוע לנו על מקום אחד בתוך שטחי הרשות הפלסטינית שבו הצבא מקיים אימוני לוחמה בשטח בנוי על בסיס קבוע, למרות היותו מאוכלס בחלקו. </w:t>
      </w:r>
    </w:p>
    <w:p w14:paraId="0000000B" w14:textId="08874DAC" w:rsidR="006B7F70" w:rsidRPr="003D60E1" w:rsidRDefault="003D60E1" w:rsidP="003D60E1">
      <w:pPr>
        <w:pStyle w:val="Heading5"/>
        <w:spacing w:before="0"/>
        <w:rPr>
          <w:b w:val="0"/>
          <w:bCs/>
          <w:color w:val="212529"/>
          <w:sz w:val="24"/>
          <w:szCs w:val="24"/>
        </w:rPr>
      </w:pPr>
      <w:r w:rsidRPr="003D60E1">
        <w:rPr>
          <w:b w:val="0"/>
          <w:bCs/>
          <w:color w:val="212529"/>
          <w:sz w:val="24"/>
          <w:szCs w:val="24"/>
        </w:rPr>
        <w:t>Denial of Access</w:t>
      </w:r>
    </w:p>
    <w:p w14:paraId="0000000C" w14:textId="77777777" w:rsidR="006B7F70" w:rsidRDefault="00A51038">
      <w:pPr>
        <w:bidi/>
        <w:spacing w:line="480" w:lineRule="auto"/>
        <w:jc w:val="both"/>
        <w:rPr>
          <w:rFonts w:ascii="David" w:eastAsia="David" w:hAnsi="David" w:cs="David"/>
          <w:sz w:val="24"/>
          <w:szCs w:val="24"/>
        </w:rPr>
      </w:pPr>
      <w:sdt>
        <w:sdtPr>
          <w:rPr>
            <w:rtl/>
          </w:rPr>
          <w:tag w:val="goog_rdk_1"/>
          <w:id w:val="1567068742"/>
        </w:sdtPr>
        <w:sdtEndPr/>
        <w:sdtContent>
          <w:commentRangeStart w:id="1"/>
        </w:sdtContent>
      </w:sdt>
      <w:r w:rsidR="003D60E1">
        <w:rPr>
          <w:rFonts w:ascii="David" w:eastAsia="David" w:hAnsi="David" w:cs="David"/>
          <w:sz w:val="24"/>
          <w:szCs w:val="24"/>
          <w:rtl/>
        </w:rPr>
        <w:t>במהלך</w:t>
      </w:r>
      <w:commentRangeEnd w:id="1"/>
      <w:r w:rsidR="003D60E1">
        <w:commentReference w:id="1"/>
      </w:r>
      <w:r w:rsidR="003D60E1">
        <w:rPr>
          <w:rFonts w:ascii="David" w:eastAsia="David" w:hAnsi="David" w:cs="David"/>
          <w:sz w:val="24"/>
          <w:szCs w:val="24"/>
          <w:rtl/>
        </w:rPr>
        <w:t xml:space="preserve"> עבודת השטח של "כרם נבות" זוהו 14 הגבלות כניסה קבועות לכניסת פלסטינים בשטחים הסמוכים להתנחלויות ולמאחזים שנבנו בכוונת תחילה צמוד לשטחי הרשות הפלסטינית, ובמקרים אחדים אף בתוך שטחים אלו. להערכת "כרם נבות" נמנעת היום כניסתם של פלסטינים ליותר מ־10,000 דונם, רובם שטחים חקלאיים שחוסר היכולת להיכנס אליהם מסב לבעליהם נזקים כלכליים קשים. </w:t>
      </w:r>
    </w:p>
    <w:p w14:paraId="0000000D" w14:textId="57762EF7" w:rsidR="006B7F70" w:rsidRPr="003D60E1" w:rsidRDefault="003D60E1" w:rsidP="003D60E1">
      <w:pPr>
        <w:pStyle w:val="Heading5"/>
        <w:spacing w:before="0"/>
        <w:rPr>
          <w:b w:val="0"/>
          <w:bCs/>
          <w:color w:val="212529"/>
          <w:sz w:val="24"/>
          <w:szCs w:val="24"/>
        </w:rPr>
      </w:pPr>
      <w:r w:rsidRPr="003D60E1">
        <w:rPr>
          <w:b w:val="0"/>
          <w:bCs/>
          <w:color w:val="212529"/>
          <w:sz w:val="24"/>
          <w:szCs w:val="24"/>
        </w:rPr>
        <w:t>Agricultural Takeover</w:t>
      </w:r>
    </w:p>
    <w:p w14:paraId="0000000E" w14:textId="77777777" w:rsidR="006B7F70" w:rsidRDefault="00A51038">
      <w:pPr>
        <w:bidi/>
        <w:spacing w:line="480" w:lineRule="auto"/>
        <w:jc w:val="both"/>
        <w:rPr>
          <w:rFonts w:ascii="David" w:eastAsia="David" w:hAnsi="David" w:cs="David"/>
          <w:sz w:val="24"/>
          <w:szCs w:val="24"/>
        </w:rPr>
      </w:pPr>
      <w:sdt>
        <w:sdtPr>
          <w:rPr>
            <w:rtl/>
          </w:rPr>
          <w:tag w:val="goog_rdk_2"/>
          <w:id w:val="602461850"/>
        </w:sdtPr>
        <w:sdtEndPr/>
        <w:sdtContent>
          <w:commentRangeStart w:id="2"/>
        </w:sdtContent>
      </w:sdt>
      <w:r w:rsidR="003D60E1">
        <w:rPr>
          <w:rFonts w:ascii="David" w:eastAsia="David" w:hAnsi="David" w:cs="David"/>
          <w:sz w:val="24"/>
          <w:szCs w:val="24"/>
          <w:rtl/>
        </w:rPr>
        <w:t>כיום</w:t>
      </w:r>
      <w:commentRangeEnd w:id="2"/>
      <w:r w:rsidR="003D60E1">
        <w:commentReference w:id="2"/>
      </w:r>
      <w:r w:rsidR="003D60E1">
        <w:rPr>
          <w:rFonts w:ascii="David" w:eastAsia="David" w:hAnsi="David" w:cs="David"/>
          <w:sz w:val="24"/>
          <w:szCs w:val="24"/>
          <w:rtl/>
        </w:rPr>
        <w:t xml:space="preserve"> ידוע ל"כרם נבות" על שמונה מקומות שבהם מתנחלים מעבדים קרקעות בתוך שטחי הרשות הפלסטינית. למיטב ידיעתנו בשניים מהמקומות האלה החל עיבוד השטחים עוד לפני חתימת הסכם אוסלו ב' (ספטמבר 1995), ומסיבות שאינן ידועות לנו הוא נמשך גם לאחר חתימת ההסכם. בששת המקומות האחרים מדובר בפלישות של מתנחלים בשנים 2003–2008, כלומר לאחר חתימת הסכם אוסלו ב'.</w:t>
      </w:r>
    </w:p>
    <w:p w14:paraId="08E5A6EA" w14:textId="77777777" w:rsidR="00D03E98" w:rsidRDefault="00D03E98" w:rsidP="003D60E1">
      <w:pPr>
        <w:pStyle w:val="Heading5"/>
        <w:spacing w:before="0"/>
        <w:rPr>
          <w:rFonts w:ascii="Segoe UI" w:hAnsi="Segoe UI" w:cs="Segoe UI"/>
          <w:color w:val="212529"/>
          <w:sz w:val="19"/>
          <w:szCs w:val="19"/>
        </w:rPr>
      </w:pPr>
    </w:p>
    <w:p w14:paraId="777FAD69" w14:textId="77777777" w:rsidR="00D03E98" w:rsidRDefault="00D03E98" w:rsidP="003D60E1">
      <w:pPr>
        <w:pStyle w:val="Heading5"/>
        <w:spacing w:before="0"/>
        <w:rPr>
          <w:rFonts w:ascii="Segoe UI" w:hAnsi="Segoe UI" w:cs="Segoe UI"/>
          <w:color w:val="212529"/>
          <w:sz w:val="19"/>
          <w:szCs w:val="19"/>
        </w:rPr>
      </w:pPr>
    </w:p>
    <w:p w14:paraId="0000000F" w14:textId="6D4126F0" w:rsidR="006B7F70" w:rsidRDefault="003D60E1" w:rsidP="003D60E1">
      <w:pPr>
        <w:pStyle w:val="Heading5"/>
        <w:spacing w:before="0"/>
        <w:rPr>
          <w:bCs/>
          <w:color w:val="212529"/>
          <w:sz w:val="24"/>
          <w:szCs w:val="24"/>
        </w:rPr>
      </w:pPr>
      <w:r>
        <w:rPr>
          <w:rFonts w:ascii="Segoe UI" w:hAnsi="Segoe UI" w:cs="Segoe UI"/>
          <w:color w:val="212529"/>
          <w:sz w:val="19"/>
          <w:szCs w:val="19"/>
        </w:rPr>
        <w:t>R</w:t>
      </w:r>
      <w:r w:rsidRPr="003D60E1">
        <w:rPr>
          <w:bCs/>
          <w:color w:val="212529"/>
          <w:sz w:val="24"/>
          <w:szCs w:val="24"/>
        </w:rPr>
        <w:t>oad Building and Construc</w:t>
      </w:r>
      <w:r>
        <w:rPr>
          <w:bCs/>
          <w:color w:val="212529"/>
          <w:sz w:val="24"/>
          <w:szCs w:val="24"/>
        </w:rPr>
        <w:t>tion</w:t>
      </w:r>
    </w:p>
    <w:p w14:paraId="04024FAD" w14:textId="77777777" w:rsidR="003D60E1" w:rsidRPr="003D60E1" w:rsidRDefault="003D60E1" w:rsidP="003D60E1"/>
    <w:p w14:paraId="00000010" w14:textId="77777777" w:rsidR="006B7F70" w:rsidRDefault="00A51038">
      <w:pPr>
        <w:bidi/>
        <w:spacing w:line="480" w:lineRule="auto"/>
        <w:jc w:val="both"/>
        <w:rPr>
          <w:rFonts w:ascii="David" w:eastAsia="David" w:hAnsi="David" w:cs="David"/>
          <w:sz w:val="24"/>
          <w:szCs w:val="24"/>
        </w:rPr>
      </w:pPr>
      <w:sdt>
        <w:sdtPr>
          <w:rPr>
            <w:rtl/>
          </w:rPr>
          <w:tag w:val="goog_rdk_3"/>
          <w:id w:val="-2013593543"/>
        </w:sdtPr>
        <w:sdtEndPr/>
        <w:sdtContent>
          <w:commentRangeStart w:id="3"/>
        </w:sdtContent>
      </w:sdt>
      <w:r w:rsidR="003D60E1">
        <w:rPr>
          <w:rFonts w:ascii="David" w:eastAsia="David" w:hAnsi="David" w:cs="David"/>
          <w:sz w:val="24"/>
          <w:szCs w:val="24"/>
          <w:rtl/>
        </w:rPr>
        <w:t>מספר</w:t>
      </w:r>
      <w:commentRangeEnd w:id="3"/>
      <w:r w:rsidR="003D60E1">
        <w:commentReference w:id="3"/>
      </w:r>
      <w:r w:rsidR="003D60E1">
        <w:rPr>
          <w:rFonts w:ascii="David" w:eastAsia="David" w:hAnsi="David" w:cs="David"/>
          <w:sz w:val="24"/>
          <w:szCs w:val="24"/>
          <w:rtl/>
        </w:rPr>
        <w:t xml:space="preserve"> מקומות קטן למדי שבהם פרצו מתנחלים כבישים, ולעיתים אף בנו מבנים, בתוך שטחי הרשות הפלסטינית. בשנים 2018 ו־2020 עתרו כמה מתנחלים ממאחזים סביב ההתנחלות יצהר, שנבנו במתכוון בתוך אזור </w:t>
      </w:r>
      <w:r w:rsidR="003D60E1">
        <w:rPr>
          <w:rFonts w:ascii="David" w:eastAsia="David" w:hAnsi="David" w:cs="David"/>
          <w:sz w:val="24"/>
          <w:szCs w:val="24"/>
        </w:rPr>
        <w:t>B</w:t>
      </w:r>
      <w:r w:rsidR="003D60E1">
        <w:rPr>
          <w:rFonts w:ascii="David" w:eastAsia="David" w:hAnsi="David" w:cs="David"/>
          <w:sz w:val="24"/>
          <w:szCs w:val="24"/>
          <w:rtl/>
        </w:rPr>
        <w:t xml:space="preserve">, נגד כוונת הצבא לפנותם ולהרוס את המבנים, בטענה שעל פי הסכמי אוסלו אין לישראל סמכות להוציא לפועל צווי הריסה בשטחי </w:t>
      </w:r>
      <w:r w:rsidR="003D60E1">
        <w:rPr>
          <w:rFonts w:ascii="David" w:eastAsia="David" w:hAnsi="David" w:cs="David"/>
          <w:sz w:val="24"/>
          <w:szCs w:val="24"/>
        </w:rPr>
        <w:t>B</w:t>
      </w:r>
      <w:r w:rsidR="003D60E1">
        <w:rPr>
          <w:rFonts w:ascii="David" w:eastAsia="David" w:hAnsi="David" w:cs="David"/>
          <w:sz w:val="24"/>
          <w:szCs w:val="24"/>
          <w:rtl/>
        </w:rPr>
        <w:t xml:space="preserve">. בית המשפט דחה את שתי העתירות וחייב את העותרים בתשלום הוצאות בסך 3,000 ש"ח בכל אחד מהמקרים. </w:t>
      </w:r>
    </w:p>
    <w:p w14:paraId="00000011" w14:textId="77777777" w:rsidR="006B7F70" w:rsidRDefault="00A51038">
      <w:pPr>
        <w:bidi/>
        <w:spacing w:line="480" w:lineRule="auto"/>
        <w:jc w:val="both"/>
        <w:rPr>
          <w:rFonts w:ascii="David" w:eastAsia="David" w:hAnsi="David" w:cs="David"/>
          <w:sz w:val="24"/>
          <w:szCs w:val="24"/>
        </w:rPr>
      </w:pPr>
      <w:hyperlink r:id="rId22">
        <w:r w:rsidR="003D60E1">
          <w:rPr>
            <w:rFonts w:ascii="David" w:eastAsia="David" w:hAnsi="David" w:cs="David"/>
            <w:color w:val="0563C1"/>
            <w:sz w:val="24"/>
            <w:szCs w:val="24"/>
            <w:u w:val="single"/>
            <w:rtl/>
          </w:rPr>
          <w:t>פס</w:t>
        </w:r>
      </w:hyperlink>
      <w:hyperlink r:id="rId23">
        <w:r w:rsidR="003D60E1">
          <w:rPr>
            <w:rFonts w:ascii="David" w:eastAsia="David" w:hAnsi="David" w:cs="David"/>
            <w:color w:val="0563C1"/>
            <w:sz w:val="24"/>
            <w:szCs w:val="24"/>
            <w:u w:val="single"/>
            <w:rtl/>
          </w:rPr>
          <w:t>"</w:t>
        </w:r>
      </w:hyperlink>
      <w:hyperlink r:id="rId24">
        <w:r w:rsidR="003D60E1">
          <w:rPr>
            <w:rFonts w:ascii="David" w:eastAsia="David" w:hAnsi="David" w:cs="David"/>
            <w:color w:val="0563C1"/>
            <w:sz w:val="24"/>
            <w:szCs w:val="24"/>
            <w:u w:val="single"/>
            <w:rtl/>
          </w:rPr>
          <w:t>ד</w:t>
        </w:r>
      </w:hyperlink>
      <w:hyperlink r:id="rId25">
        <w:r w:rsidR="003D60E1">
          <w:rPr>
            <w:rFonts w:ascii="David" w:eastAsia="David" w:hAnsi="David" w:cs="David"/>
            <w:color w:val="0563C1"/>
            <w:sz w:val="24"/>
            <w:szCs w:val="24"/>
            <w:u w:val="single"/>
            <w:rtl/>
          </w:rPr>
          <w:t xml:space="preserve"> </w:t>
        </w:r>
      </w:hyperlink>
      <w:hyperlink r:id="rId26">
        <w:r w:rsidR="003D60E1">
          <w:rPr>
            <w:rFonts w:ascii="David" w:eastAsia="David" w:hAnsi="David" w:cs="David"/>
            <w:color w:val="0563C1"/>
            <w:sz w:val="24"/>
            <w:szCs w:val="24"/>
            <w:u w:val="single"/>
            <w:rtl/>
          </w:rPr>
          <w:t>בבג</w:t>
        </w:r>
      </w:hyperlink>
      <w:hyperlink r:id="rId27">
        <w:r w:rsidR="003D60E1">
          <w:rPr>
            <w:rFonts w:ascii="David" w:eastAsia="David" w:hAnsi="David" w:cs="David"/>
            <w:color w:val="0563C1"/>
            <w:sz w:val="24"/>
            <w:szCs w:val="24"/>
            <w:u w:val="single"/>
            <w:rtl/>
          </w:rPr>
          <w:t>"</w:t>
        </w:r>
      </w:hyperlink>
      <w:hyperlink r:id="rId28">
        <w:r w:rsidR="003D60E1">
          <w:rPr>
            <w:rFonts w:ascii="David" w:eastAsia="David" w:hAnsi="David" w:cs="David"/>
            <w:color w:val="0563C1"/>
            <w:sz w:val="24"/>
            <w:szCs w:val="24"/>
            <w:u w:val="single"/>
            <w:rtl/>
          </w:rPr>
          <w:t>ץ</w:t>
        </w:r>
      </w:hyperlink>
      <w:hyperlink r:id="rId29">
        <w:r w:rsidR="003D60E1">
          <w:rPr>
            <w:rFonts w:ascii="David" w:eastAsia="David" w:hAnsi="David" w:cs="David"/>
            <w:color w:val="0563C1"/>
            <w:sz w:val="24"/>
            <w:szCs w:val="24"/>
            <w:u w:val="single"/>
            <w:rtl/>
          </w:rPr>
          <w:t xml:space="preserve"> 1330/18</w:t>
        </w:r>
      </w:hyperlink>
    </w:p>
    <w:p w14:paraId="00000012" w14:textId="77777777" w:rsidR="006B7F70" w:rsidRDefault="00A51038">
      <w:pPr>
        <w:bidi/>
        <w:spacing w:line="480" w:lineRule="auto"/>
        <w:jc w:val="both"/>
        <w:rPr>
          <w:rFonts w:ascii="David" w:eastAsia="David" w:hAnsi="David" w:cs="David"/>
          <w:sz w:val="24"/>
          <w:szCs w:val="24"/>
        </w:rPr>
      </w:pPr>
      <w:hyperlink r:id="rId30">
        <w:r w:rsidR="003D60E1">
          <w:rPr>
            <w:rFonts w:ascii="David" w:eastAsia="David" w:hAnsi="David" w:cs="David"/>
            <w:color w:val="0563C1"/>
            <w:sz w:val="24"/>
            <w:szCs w:val="24"/>
            <w:u w:val="single"/>
            <w:rtl/>
          </w:rPr>
          <w:t>פס</w:t>
        </w:r>
      </w:hyperlink>
      <w:hyperlink r:id="rId31">
        <w:r w:rsidR="003D60E1">
          <w:rPr>
            <w:rFonts w:ascii="David" w:eastAsia="David" w:hAnsi="David" w:cs="David"/>
            <w:color w:val="0563C1"/>
            <w:sz w:val="24"/>
            <w:szCs w:val="24"/>
            <w:u w:val="single"/>
            <w:rtl/>
          </w:rPr>
          <w:t>"</w:t>
        </w:r>
      </w:hyperlink>
      <w:hyperlink r:id="rId32">
        <w:r w:rsidR="003D60E1">
          <w:rPr>
            <w:rFonts w:ascii="David" w:eastAsia="David" w:hAnsi="David" w:cs="David"/>
            <w:color w:val="0563C1"/>
            <w:sz w:val="24"/>
            <w:szCs w:val="24"/>
            <w:u w:val="single"/>
            <w:rtl/>
          </w:rPr>
          <w:t>ד</w:t>
        </w:r>
      </w:hyperlink>
      <w:hyperlink r:id="rId33">
        <w:r w:rsidR="003D60E1">
          <w:rPr>
            <w:rFonts w:ascii="David" w:eastAsia="David" w:hAnsi="David" w:cs="David"/>
            <w:color w:val="0563C1"/>
            <w:sz w:val="24"/>
            <w:szCs w:val="24"/>
            <w:u w:val="single"/>
            <w:rtl/>
          </w:rPr>
          <w:t xml:space="preserve"> </w:t>
        </w:r>
      </w:hyperlink>
      <w:hyperlink r:id="rId34">
        <w:r w:rsidR="003D60E1">
          <w:rPr>
            <w:rFonts w:ascii="David" w:eastAsia="David" w:hAnsi="David" w:cs="David"/>
            <w:color w:val="0563C1"/>
            <w:sz w:val="24"/>
            <w:szCs w:val="24"/>
            <w:u w:val="single"/>
            <w:rtl/>
          </w:rPr>
          <w:t>בבג</w:t>
        </w:r>
      </w:hyperlink>
      <w:hyperlink r:id="rId35">
        <w:r w:rsidR="003D60E1">
          <w:rPr>
            <w:rFonts w:ascii="David" w:eastAsia="David" w:hAnsi="David" w:cs="David"/>
            <w:color w:val="0563C1"/>
            <w:sz w:val="24"/>
            <w:szCs w:val="24"/>
            <w:u w:val="single"/>
            <w:rtl/>
          </w:rPr>
          <w:t>"</w:t>
        </w:r>
      </w:hyperlink>
      <w:hyperlink r:id="rId36">
        <w:r w:rsidR="003D60E1">
          <w:rPr>
            <w:rFonts w:ascii="David" w:eastAsia="David" w:hAnsi="David" w:cs="David"/>
            <w:color w:val="0563C1"/>
            <w:sz w:val="24"/>
            <w:szCs w:val="24"/>
            <w:u w:val="single"/>
            <w:rtl/>
          </w:rPr>
          <w:t>ץ</w:t>
        </w:r>
      </w:hyperlink>
      <w:hyperlink r:id="rId37">
        <w:r w:rsidR="003D60E1">
          <w:rPr>
            <w:rFonts w:ascii="David" w:eastAsia="David" w:hAnsi="David" w:cs="David"/>
            <w:color w:val="0563C1"/>
            <w:sz w:val="24"/>
            <w:szCs w:val="24"/>
            <w:u w:val="single"/>
            <w:rtl/>
          </w:rPr>
          <w:t xml:space="preserve"> 2623/20</w:t>
        </w:r>
      </w:hyperlink>
    </w:p>
    <w:p w14:paraId="00000013" w14:textId="02B37FD2" w:rsidR="006B7F70" w:rsidRDefault="003D60E1" w:rsidP="003D60E1">
      <w:pPr>
        <w:pStyle w:val="Heading5"/>
        <w:spacing w:before="0"/>
        <w:rPr>
          <w:rFonts w:ascii="Segoe UI" w:hAnsi="Segoe UI" w:cs="Segoe UI"/>
          <w:color w:val="212529"/>
          <w:sz w:val="19"/>
          <w:szCs w:val="19"/>
        </w:rPr>
      </w:pPr>
      <w:r w:rsidRPr="003D60E1">
        <w:rPr>
          <w:rFonts w:ascii="Segoe UI" w:hAnsi="Segoe UI" w:cs="Segoe UI"/>
          <w:color w:val="212529"/>
          <w:sz w:val="19"/>
          <w:szCs w:val="19"/>
        </w:rPr>
        <w:t>Settler Visits</w:t>
      </w:r>
    </w:p>
    <w:p w14:paraId="3B3B5715" w14:textId="77777777" w:rsidR="003D60E1" w:rsidRPr="003D60E1" w:rsidRDefault="003D60E1" w:rsidP="003D60E1"/>
    <w:p w14:paraId="4F370E0B" w14:textId="0F94961C" w:rsidR="0016580C" w:rsidRPr="0016580C" w:rsidRDefault="003D60E1" w:rsidP="0016580C">
      <w:pPr>
        <w:bidi/>
        <w:spacing w:line="480" w:lineRule="auto"/>
        <w:jc w:val="both"/>
        <w:rPr>
          <w:rFonts w:ascii="David" w:eastAsia="David" w:hAnsi="David" w:cs="David"/>
          <w:sz w:val="24"/>
          <w:szCs w:val="24"/>
        </w:rPr>
      </w:pPr>
      <w:r>
        <w:rPr>
          <w:rFonts w:ascii="David" w:eastAsia="David" w:hAnsi="David" w:cs="David"/>
          <w:sz w:val="24"/>
          <w:szCs w:val="24"/>
          <w:rtl/>
        </w:rPr>
        <w:t>סיורים שהמתנחלים מארגנים לאתרים קדושים המזוהים עם דמויות תנ"כיות ולאתרים בעלי ערך נופי או היסטורי. רוב הסיורים מתואמים עם הצבא, וחיילים אף מאבטחים את כניסת המשתתפים לאתרים האלה. במקרים רבים מחיל הצבא הגבלות תנועה קשות על תושבי המקום הפלסטינים בשעות שבהן ישראלים נמצאים במקום. עת עתה ידוע לנו על 22 אתרים כאלה, והמגמה הזאת הולכת ומתגברת בשנים האחרונות.</w:t>
      </w:r>
    </w:p>
    <w:p w14:paraId="6C543329" w14:textId="77777777" w:rsidR="0016580C" w:rsidRPr="0016580C" w:rsidRDefault="0016580C" w:rsidP="0016580C">
      <w:pPr>
        <w:pStyle w:val="Heading5"/>
        <w:spacing w:before="0"/>
        <w:rPr>
          <w:rFonts w:ascii="Segoe UI" w:hAnsi="Segoe UI" w:cs="Segoe UI"/>
          <w:color w:val="212529"/>
          <w:sz w:val="19"/>
          <w:szCs w:val="19"/>
        </w:rPr>
      </w:pPr>
      <w:r w:rsidRPr="0016580C">
        <w:rPr>
          <w:rFonts w:ascii="Segoe UI" w:hAnsi="Segoe UI" w:cs="Segoe UI"/>
          <w:color w:val="212529"/>
          <w:sz w:val="19"/>
          <w:szCs w:val="19"/>
        </w:rPr>
        <w:t>miltary_seizure_order</w:t>
      </w:r>
    </w:p>
    <w:p w14:paraId="60A71B3B" w14:textId="05CC8E23" w:rsidR="0016580C" w:rsidRPr="0016580C" w:rsidRDefault="0016580C" w:rsidP="0016580C">
      <w:pPr>
        <w:pStyle w:val="Heading5"/>
        <w:spacing w:before="0"/>
        <w:rPr>
          <w:rFonts w:ascii="Segoe UI" w:hAnsi="Segoe UI" w:cs="Segoe UI"/>
          <w:color w:val="212529"/>
          <w:sz w:val="19"/>
          <w:szCs w:val="19"/>
        </w:rPr>
      </w:pPr>
    </w:p>
    <w:p w14:paraId="1375972E" w14:textId="77777777" w:rsidR="0016580C" w:rsidRDefault="0016580C" w:rsidP="0016580C">
      <w:pPr>
        <w:pStyle w:val="NormalWeb"/>
        <w:bidi/>
        <w:spacing w:before="0" w:beforeAutospacing="0" w:after="160" w:afterAutospacing="0"/>
        <w:rPr>
          <w:rFonts w:ascii="David" w:eastAsia="David" w:hAnsi="David" w:cs="David"/>
        </w:rPr>
      </w:pPr>
    </w:p>
    <w:p w14:paraId="4446A7A9" w14:textId="52A641CC" w:rsidR="0016580C" w:rsidRDefault="003D60E1" w:rsidP="0016580C">
      <w:pPr>
        <w:pStyle w:val="NormalWeb"/>
        <w:bidi/>
        <w:spacing w:before="0" w:beforeAutospacing="0" w:after="160" w:afterAutospacing="0"/>
      </w:pPr>
      <w:r>
        <w:rPr>
          <w:rFonts w:ascii="David" w:eastAsia="David" w:hAnsi="David" w:cs="David"/>
        </w:rPr>
        <w:t xml:space="preserve"> </w:t>
      </w:r>
      <w:r w:rsidR="0016580C">
        <w:rPr>
          <w:rFonts w:ascii="David" w:hAnsi="David" w:cs="David"/>
          <w:color w:val="000000"/>
          <w:sz w:val="22"/>
          <w:szCs w:val="22"/>
          <w:rtl/>
        </w:rPr>
        <w:t>צווי תפיסה צבאיים הם צווי הפקעה זמניים. החוק הבין-לאומי שמסדיר את הזכויות והחובות של הצבא הכובש ביחס לאוכלוסייה המתגוררת בשטח כבוש מתיר לצבא הכובש לתפוס שטחים באופן זמני לשם מטרות ביטחוניות דחופות, ולפצות את בעלי הקרקע על כך</w:t>
      </w:r>
      <w:r w:rsidR="0016580C">
        <w:rPr>
          <w:rFonts w:ascii="Calibri" w:hAnsi="Calibri" w:cs="Calibri"/>
          <w:color w:val="000000"/>
          <w:sz w:val="22"/>
          <w:szCs w:val="22"/>
          <w:rtl/>
        </w:rPr>
        <w:t>. עד היום הצבא הוציא צווי תפיסה לשטחים שגודלם המצטבר הוא למעלה ממאה אלף דונם. כ-630 דונם מתוכם נתפסו באמצעות צווים שהוצאו בתוך שטחי הרשות הפלסטינית לאחר חתימה הסכם אוסלו ב'. </w:t>
      </w:r>
    </w:p>
    <w:p w14:paraId="659AE7AB" w14:textId="77777777" w:rsidR="0016580C" w:rsidRDefault="0016580C" w:rsidP="0016580C">
      <w:pPr>
        <w:pStyle w:val="NormalWeb"/>
        <w:bidi/>
        <w:spacing w:before="0" w:beforeAutospacing="0" w:after="160" w:afterAutospacing="0"/>
        <w:rPr>
          <w:rtl/>
        </w:rPr>
      </w:pPr>
      <w:r>
        <w:rPr>
          <w:rFonts w:ascii="Calibri" w:hAnsi="Calibri" w:cs="Calibri"/>
          <w:color w:val="000000"/>
          <w:sz w:val="22"/>
          <w:szCs w:val="22"/>
          <w:rtl/>
        </w:rPr>
        <w:t xml:space="preserve">לקריאה נוספת והרחבה ראו דו"ח כרם נבות </w:t>
      </w:r>
      <w:hyperlink r:id="rId38" w:history="1">
        <w:r>
          <w:rPr>
            <w:rStyle w:val="Hyperlink"/>
            <w:rFonts w:ascii="Calibri" w:hAnsi="Calibri" w:cs="Calibri"/>
            <w:color w:val="0563C1"/>
            <w:sz w:val="22"/>
            <w:szCs w:val="22"/>
            <w:rtl/>
          </w:rPr>
          <w:t>'תפסת מרובה לא תפסת'</w:t>
        </w:r>
      </w:hyperlink>
    </w:p>
    <w:p w14:paraId="02B66CD5" w14:textId="77777777" w:rsidR="0016580C" w:rsidRDefault="0016580C" w:rsidP="0016580C">
      <w:pPr>
        <w:rPr>
          <w:rtl/>
        </w:rPr>
      </w:pPr>
    </w:p>
    <w:p w14:paraId="2B79D576" w14:textId="77777777" w:rsidR="0016580C" w:rsidRDefault="0016580C" w:rsidP="0016580C">
      <w:pPr>
        <w:pStyle w:val="NormalWeb"/>
        <w:bidi/>
        <w:spacing w:before="0" w:beforeAutospacing="0" w:after="160" w:afterAutospacing="0"/>
        <w:jc w:val="both"/>
      </w:pPr>
      <w:r>
        <w:rPr>
          <w:rFonts w:ascii="David" w:hAnsi="David"/>
          <w:color w:val="000000"/>
          <w:sz w:val="22"/>
          <w:szCs w:val="22"/>
          <w:rtl/>
          <w:lang w:bidi="ar-SA"/>
        </w:rPr>
        <w:t>أوامر وضع اليد العسكرية هي أوامر مصادرة مؤقتة. علماً أن القانون الدولي الذي ينظّم حقوق وواجبات الجيش المحتل في تعامله مع السكان القاطنين داخل المنطقة المحتلة، يسمح لهذا الجيش المحتل بوضع اليد على أراضٍ بشكل مؤقت لأهداف أمنية مستعجلة، مع تعويض أصحاب الأرض عنها. أصدر الجيش حتى اليوم أوامر وضع اليد على مساحات واسعة تصل إلى أكثر من مئة ألف دونم، ونحو 630 دونم منها هي أوامر صدرت داخل مناطق السلطة الفلسطينية بعد توقيع اتفاقية أوسلو 2.</w:t>
      </w:r>
    </w:p>
    <w:p w14:paraId="7BFEDE8A" w14:textId="77777777" w:rsidR="0016580C" w:rsidRDefault="0016580C" w:rsidP="0016580C">
      <w:pPr>
        <w:pStyle w:val="NormalWeb"/>
        <w:bidi/>
        <w:spacing w:before="0" w:beforeAutospacing="0" w:after="0" w:afterAutospacing="0"/>
        <w:rPr>
          <w:rtl/>
        </w:rPr>
      </w:pPr>
      <w:r>
        <w:rPr>
          <w:rFonts w:ascii="Arial" w:hAnsi="Arial" w:cs="Arial"/>
          <w:color w:val="1D2129"/>
          <w:sz w:val="21"/>
          <w:szCs w:val="21"/>
          <w:rtl/>
          <w:lang w:bidi="ar-SA"/>
        </w:rPr>
        <w:t>لقراءة المزيد، أنظروا تقرير</w:t>
      </w:r>
      <w:r>
        <w:rPr>
          <w:rFonts w:ascii="Arial" w:hAnsi="Arial" w:cs="Arial"/>
          <w:color w:val="07211B"/>
          <w:sz w:val="22"/>
          <w:szCs w:val="22"/>
          <w:rtl/>
        </w:rPr>
        <w:t xml:space="preserve"> </w:t>
      </w:r>
      <w:r>
        <w:rPr>
          <w:rFonts w:ascii="Arial" w:hAnsi="Arial" w:cs="Arial"/>
          <w:color w:val="07211B"/>
          <w:sz w:val="22"/>
          <w:szCs w:val="22"/>
          <w:rtl/>
          <w:lang w:bidi="ar-SA"/>
        </w:rPr>
        <w:t>كرم نبوت</w:t>
      </w:r>
      <w:r>
        <w:rPr>
          <w:rFonts w:ascii="Arial" w:hAnsi="Arial" w:cs="Arial"/>
          <w:color w:val="07211B"/>
          <w:sz w:val="22"/>
          <w:szCs w:val="22"/>
          <w:rtl/>
        </w:rPr>
        <w:t xml:space="preserve"> </w:t>
      </w:r>
      <w:hyperlink r:id="rId39" w:history="1">
        <w:r>
          <w:rPr>
            <w:rStyle w:val="Hyperlink"/>
            <w:rFonts w:ascii="Arial" w:hAnsi="Arial" w:cs="Arial"/>
            <w:color w:val="0563C1"/>
            <w:sz w:val="22"/>
            <w:szCs w:val="22"/>
            <w:rtl/>
            <w:lang w:bidi="ar-SA"/>
          </w:rPr>
          <w:t>اصحاب الأيادي الطويل</w:t>
        </w:r>
      </w:hyperlink>
      <w:r>
        <w:rPr>
          <w:rFonts w:ascii="Arial" w:hAnsi="Arial" w:cs="Arial"/>
          <w:color w:val="39729B"/>
          <w:sz w:val="22"/>
          <w:szCs w:val="22"/>
          <w:rtl/>
          <w:lang w:bidi="ar-SA"/>
        </w:rPr>
        <w:t>ة</w:t>
      </w:r>
    </w:p>
    <w:p w14:paraId="7BAC60B2" w14:textId="77777777" w:rsidR="0016580C" w:rsidRDefault="0016580C" w:rsidP="0016580C">
      <w:pPr>
        <w:rPr>
          <w:rtl/>
        </w:rPr>
      </w:pPr>
    </w:p>
    <w:p w14:paraId="1F068394" w14:textId="77777777" w:rsidR="0016580C" w:rsidRDefault="0016580C" w:rsidP="0016580C">
      <w:pPr>
        <w:pStyle w:val="NormalWeb"/>
        <w:spacing w:before="0" w:beforeAutospacing="0" w:after="160" w:afterAutospacing="0"/>
      </w:pPr>
      <w:r>
        <w:rPr>
          <w:rFonts w:ascii="Cambria" w:hAnsi="Cambria"/>
          <w:color w:val="000000"/>
          <w:sz w:val="22"/>
          <w:szCs w:val="22"/>
        </w:rPr>
        <w:t>Military seizure orders are temporary expropriation orders. International law regulating the rights and obligations of the occupying army with respect to the population residing in occupied territory, permits the army to temporarily seize territory for urgent security purposes and to compensate landowners accordingly. To date, the army has issued seizure orders for areas with a cumulative size of over 100,000 dunam. 630 dunam out of these 100,000 are located within the territory of the Palestinian Authority, and were seized after the Oslo II Accord had been signed.  .</w:t>
      </w:r>
    </w:p>
    <w:p w14:paraId="57F2826E" w14:textId="77777777" w:rsidR="0016580C" w:rsidRDefault="0016580C" w:rsidP="0016580C">
      <w:pPr>
        <w:pStyle w:val="NormalWeb"/>
        <w:spacing w:before="0" w:beforeAutospacing="0" w:after="160" w:afterAutospacing="0"/>
      </w:pPr>
      <w:r>
        <w:rPr>
          <w:rFonts w:ascii="Calibri" w:hAnsi="Calibri" w:cs="Calibri"/>
          <w:color w:val="000000"/>
          <w:sz w:val="22"/>
          <w:szCs w:val="22"/>
        </w:rPr>
        <w:t>For further reading look at our report, '</w:t>
      </w:r>
      <w:hyperlink r:id="rId40" w:history="1">
        <w:r>
          <w:rPr>
            <w:rStyle w:val="Hyperlink"/>
            <w:rFonts w:ascii="Calibri" w:hAnsi="Calibri" w:cs="Calibri"/>
            <w:color w:val="0563C1"/>
            <w:sz w:val="22"/>
            <w:szCs w:val="22"/>
          </w:rPr>
          <w:t>Seize the Moral Low Ground</w:t>
        </w:r>
      </w:hyperlink>
      <w:r>
        <w:rPr>
          <w:rFonts w:ascii="Calibri" w:hAnsi="Calibri" w:cs="Calibri"/>
          <w:color w:val="000000"/>
          <w:sz w:val="22"/>
          <w:szCs w:val="22"/>
        </w:rPr>
        <w:t>'</w:t>
      </w:r>
    </w:p>
    <w:p w14:paraId="00000015" w14:textId="0D82A29C" w:rsidR="006B7F70" w:rsidRPr="0016580C" w:rsidRDefault="006B7F70">
      <w:pPr>
        <w:bidi/>
        <w:spacing w:line="480" w:lineRule="auto"/>
        <w:jc w:val="both"/>
        <w:rPr>
          <w:rFonts w:ascii="David" w:eastAsia="David" w:hAnsi="David" w:cs="David"/>
          <w:sz w:val="24"/>
          <w:szCs w:val="24"/>
        </w:rPr>
      </w:pPr>
    </w:p>
    <w:sectPr w:rsidR="006B7F70" w:rsidRPr="0016580C">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ror Etkes" w:date="2020-09-26T22:49:00Z" w:initials="">
    <w:p w14:paraId="00000016" w14:textId="77777777" w:rsidR="006B7F70" w:rsidRDefault="003D60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tl/>
        </w:rPr>
        <w:t>לפתוח את הלינק</w:t>
      </w:r>
    </w:p>
  </w:comment>
  <w:comment w:id="1" w:author="Dror Etkes" w:date="2020-09-29T10:00:00Z" w:initials="">
    <w:p w14:paraId="00000017" w14:textId="77777777" w:rsidR="006B7F70" w:rsidRDefault="003D60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tl/>
        </w:rPr>
        <w:t>מניעת גישה</w:t>
      </w:r>
      <w:r>
        <w:rPr>
          <w:rFonts w:ascii="Arial" w:eastAsia="Arial" w:hAnsi="Arial" w:cs="Arial"/>
          <w:color w:val="000000"/>
        </w:rPr>
        <w:t xml:space="preserve"> –</w:t>
      </w:r>
    </w:p>
  </w:comment>
  <w:comment w:id="2" w:author="Dror Etkes" w:date="2020-09-29T10:00:00Z" w:initials="">
    <w:p w14:paraId="00000018" w14:textId="782C8875" w:rsidR="006B7F70" w:rsidRDefault="003D60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comment>
  <w:comment w:id="3" w:author="Dror Etkes" w:date="2020-09-29T10:00:00Z" w:initials="">
    <w:p w14:paraId="00000019" w14:textId="77777777" w:rsidR="006B7F70" w:rsidRDefault="003D60E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tl/>
        </w:rPr>
        <w:t>בנייה ו פריצת כבישים</w:t>
      </w:r>
      <w:r>
        <w:rPr>
          <w:rFonts w:ascii="Arial" w:eastAsia="Arial" w:hAnsi="Arial" w:cs="Arial"/>
          <w:color w:val="00000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16" w15:done="1"/>
  <w15:commentEx w15:paraId="00000017" w15:done="1"/>
  <w15:commentEx w15:paraId="00000018" w15:done="1"/>
  <w15:commentEx w15:paraId="000000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16" w16cid:durableId="231D817D"/>
  <w16cid:commentId w16cid:paraId="00000017" w16cid:durableId="231D817C"/>
  <w16cid:commentId w16cid:paraId="00000018" w16cid:durableId="231D817B"/>
  <w16cid:commentId w16cid:paraId="00000019" w16cid:durableId="231D8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F70"/>
    <w:rsid w:val="0016580C"/>
    <w:rsid w:val="001E1F3D"/>
    <w:rsid w:val="003D60E1"/>
    <w:rsid w:val="006B7F70"/>
    <w:rsid w:val="00815B6A"/>
    <w:rsid w:val="00A51038"/>
    <w:rsid w:val="00D03E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1FC3"/>
  <w15:docId w15:val="{FF9819F0-79C1-4638-A982-CA75638C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D96855"/>
    <w:rPr>
      <w:sz w:val="16"/>
      <w:szCs w:val="16"/>
    </w:rPr>
  </w:style>
  <w:style w:type="paragraph" w:styleId="CommentText">
    <w:name w:val="annotation text"/>
    <w:basedOn w:val="Normal"/>
    <w:link w:val="CommentTextChar"/>
    <w:uiPriority w:val="99"/>
    <w:semiHidden/>
    <w:unhideWhenUsed/>
    <w:rsid w:val="00D96855"/>
    <w:pPr>
      <w:spacing w:line="240" w:lineRule="auto"/>
    </w:pPr>
    <w:rPr>
      <w:sz w:val="20"/>
      <w:szCs w:val="20"/>
    </w:rPr>
  </w:style>
  <w:style w:type="character" w:customStyle="1" w:styleId="CommentTextChar">
    <w:name w:val="Comment Text Char"/>
    <w:basedOn w:val="DefaultParagraphFont"/>
    <w:link w:val="CommentText"/>
    <w:uiPriority w:val="99"/>
    <w:semiHidden/>
    <w:rsid w:val="00D96855"/>
    <w:rPr>
      <w:sz w:val="20"/>
      <w:szCs w:val="20"/>
    </w:rPr>
  </w:style>
  <w:style w:type="paragraph" w:styleId="CommentSubject">
    <w:name w:val="annotation subject"/>
    <w:basedOn w:val="CommentText"/>
    <w:next w:val="CommentText"/>
    <w:link w:val="CommentSubjectChar"/>
    <w:uiPriority w:val="99"/>
    <w:semiHidden/>
    <w:unhideWhenUsed/>
    <w:rsid w:val="00D96855"/>
    <w:rPr>
      <w:b/>
      <w:bCs/>
    </w:rPr>
  </w:style>
  <w:style w:type="character" w:customStyle="1" w:styleId="CommentSubjectChar">
    <w:name w:val="Comment Subject Char"/>
    <w:basedOn w:val="CommentTextChar"/>
    <w:link w:val="CommentSubject"/>
    <w:uiPriority w:val="99"/>
    <w:semiHidden/>
    <w:rsid w:val="00D96855"/>
    <w:rPr>
      <w:b/>
      <w:bCs/>
      <w:sz w:val="20"/>
      <w:szCs w:val="20"/>
    </w:rPr>
  </w:style>
  <w:style w:type="paragraph" w:styleId="BalloonText">
    <w:name w:val="Balloon Text"/>
    <w:basedOn w:val="Normal"/>
    <w:link w:val="BalloonTextChar"/>
    <w:uiPriority w:val="99"/>
    <w:semiHidden/>
    <w:unhideWhenUsed/>
    <w:rsid w:val="00D968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855"/>
    <w:rPr>
      <w:rFonts w:ascii="Segoe UI" w:hAnsi="Segoe UI" w:cs="Segoe UI"/>
      <w:sz w:val="18"/>
      <w:szCs w:val="18"/>
    </w:rPr>
  </w:style>
  <w:style w:type="character" w:styleId="Hyperlink">
    <w:name w:val="Hyperlink"/>
    <w:basedOn w:val="DefaultParagraphFont"/>
    <w:uiPriority w:val="99"/>
    <w:unhideWhenUsed/>
    <w:rsid w:val="0010193D"/>
    <w:rPr>
      <w:color w:val="0563C1" w:themeColor="hyperlink"/>
      <w:u w:val="single"/>
    </w:rPr>
  </w:style>
  <w:style w:type="character" w:styleId="UnresolvedMention">
    <w:name w:val="Unresolved Mention"/>
    <w:basedOn w:val="DefaultParagraphFont"/>
    <w:uiPriority w:val="99"/>
    <w:semiHidden/>
    <w:unhideWhenUsed/>
    <w:rsid w:val="0010193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658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640200">
      <w:bodyDiv w:val="1"/>
      <w:marLeft w:val="0"/>
      <w:marRight w:val="0"/>
      <w:marTop w:val="0"/>
      <w:marBottom w:val="0"/>
      <w:divBdr>
        <w:top w:val="none" w:sz="0" w:space="0" w:color="auto"/>
        <w:left w:val="none" w:sz="0" w:space="0" w:color="auto"/>
        <w:bottom w:val="none" w:sz="0" w:space="0" w:color="auto"/>
        <w:right w:val="none" w:sz="0" w:space="0" w:color="auto"/>
      </w:divBdr>
    </w:div>
    <w:div w:id="1285574522">
      <w:bodyDiv w:val="1"/>
      <w:marLeft w:val="0"/>
      <w:marRight w:val="0"/>
      <w:marTop w:val="0"/>
      <w:marBottom w:val="0"/>
      <w:divBdr>
        <w:top w:val="none" w:sz="0" w:space="0" w:color="auto"/>
        <w:left w:val="none" w:sz="0" w:space="0" w:color="auto"/>
        <w:bottom w:val="none" w:sz="0" w:space="0" w:color="auto"/>
        <w:right w:val="none" w:sz="0" w:space="0" w:color="auto"/>
      </w:divBdr>
    </w:div>
    <w:div w:id="1297688187">
      <w:bodyDiv w:val="1"/>
      <w:marLeft w:val="0"/>
      <w:marRight w:val="0"/>
      <w:marTop w:val="0"/>
      <w:marBottom w:val="0"/>
      <w:divBdr>
        <w:top w:val="none" w:sz="0" w:space="0" w:color="auto"/>
        <w:left w:val="none" w:sz="0" w:space="0" w:color="auto"/>
        <w:bottom w:val="none" w:sz="0" w:space="0" w:color="auto"/>
        <w:right w:val="none" w:sz="0" w:space="0" w:color="auto"/>
      </w:divBdr>
      <w:divsChild>
        <w:div w:id="1130366625">
          <w:marLeft w:val="0"/>
          <w:marRight w:val="0"/>
          <w:marTop w:val="0"/>
          <w:marBottom w:val="0"/>
          <w:divBdr>
            <w:top w:val="none" w:sz="0" w:space="0" w:color="auto"/>
            <w:left w:val="none" w:sz="0" w:space="0" w:color="auto"/>
            <w:bottom w:val="none" w:sz="0" w:space="0" w:color="auto"/>
            <w:right w:val="none" w:sz="0" w:space="0" w:color="auto"/>
          </w:divBdr>
          <w:divsChild>
            <w:div w:id="7025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6305">
      <w:bodyDiv w:val="1"/>
      <w:marLeft w:val="0"/>
      <w:marRight w:val="0"/>
      <w:marTop w:val="0"/>
      <w:marBottom w:val="0"/>
      <w:divBdr>
        <w:top w:val="none" w:sz="0" w:space="0" w:color="auto"/>
        <w:left w:val="none" w:sz="0" w:space="0" w:color="auto"/>
        <w:bottom w:val="none" w:sz="0" w:space="0" w:color="auto"/>
        <w:right w:val="none" w:sz="0" w:space="0" w:color="auto"/>
      </w:divBdr>
    </w:div>
    <w:div w:id="1307274366">
      <w:bodyDiv w:val="1"/>
      <w:marLeft w:val="0"/>
      <w:marRight w:val="0"/>
      <w:marTop w:val="0"/>
      <w:marBottom w:val="0"/>
      <w:divBdr>
        <w:top w:val="none" w:sz="0" w:space="0" w:color="auto"/>
        <w:left w:val="none" w:sz="0" w:space="0" w:color="auto"/>
        <w:bottom w:val="none" w:sz="0" w:space="0" w:color="auto"/>
        <w:right w:val="none" w:sz="0" w:space="0" w:color="auto"/>
      </w:divBdr>
    </w:div>
    <w:div w:id="1484349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1KkjajOo-EL-UvhFKwgvEWnU5H9saTo4/view?usp=sharing" TargetMode="External"/><Relationship Id="rId13" Type="http://schemas.openxmlformats.org/officeDocument/2006/relationships/hyperlink" Target="https://drive.google.com/file/d/110k2w2Y7xyXG58wK_nfK2DA23aHjCcdZ/view?usp=sharing" TargetMode="External"/><Relationship Id="rId18" Type="http://schemas.openxmlformats.org/officeDocument/2006/relationships/hyperlink" Target="https://drive.google.com/file/d/110k2w2Y7xyXG58wK_nfK2DA23aHjCcdZ/view?usp=sharing" TargetMode="External"/><Relationship Id="rId26" Type="http://schemas.openxmlformats.org/officeDocument/2006/relationships/hyperlink" Target="https://drive.google.com/file/d/10B71jb6LalZsmdxu64N1cYh1dDwL_2y6/view?usp=sharing" TargetMode="External"/><Relationship Id="rId39" Type="http://schemas.openxmlformats.org/officeDocument/2006/relationships/hyperlink" Target="https://www.keremnavot.org/copy-of-1" TargetMode="External"/><Relationship Id="rId3" Type="http://schemas.openxmlformats.org/officeDocument/2006/relationships/settings" Target="settings.xml"/><Relationship Id="rId21" Type="http://schemas.microsoft.com/office/2016/09/relationships/commentsIds" Target="commentsIds.xml"/><Relationship Id="rId34" Type="http://schemas.openxmlformats.org/officeDocument/2006/relationships/hyperlink" Target="https://drive.google.com/file/d/11KkjajOo-EL-UvhFKwgvEWnU5H9saTo4/view?usp=sharing" TargetMode="External"/><Relationship Id="rId42" Type="http://schemas.openxmlformats.org/officeDocument/2006/relationships/theme" Target="theme/theme1.xml"/><Relationship Id="rId7" Type="http://schemas.openxmlformats.org/officeDocument/2006/relationships/hyperlink" Target="https://drive.google.com/file/d/10B71jb6LalZsmdxu64N1cYh1dDwL_2y6/view?usp=sharing" TargetMode="External"/><Relationship Id="rId12" Type="http://schemas.openxmlformats.org/officeDocument/2006/relationships/hyperlink" Target="https://www.btselem.org/download/200205_land_grab_heb.pdf" TargetMode="External"/><Relationship Id="rId17" Type="http://schemas.openxmlformats.org/officeDocument/2006/relationships/hyperlink" Target="https://drive.google.com/file/d/110k2w2Y7xyXG58wK_nfK2DA23aHjCcdZ/view?usp=sharing" TargetMode="External"/><Relationship Id="rId25" Type="http://schemas.openxmlformats.org/officeDocument/2006/relationships/hyperlink" Target="https://drive.google.com/file/d/10B71jb6LalZsmdxu64N1cYh1dDwL_2y6/view?usp=sharing" TargetMode="External"/><Relationship Id="rId33" Type="http://schemas.openxmlformats.org/officeDocument/2006/relationships/hyperlink" Target="https://drive.google.com/file/d/11KkjajOo-EL-UvhFKwgvEWnU5H9saTo4/view?usp=sharing" TargetMode="External"/><Relationship Id="rId38" Type="http://schemas.openxmlformats.org/officeDocument/2006/relationships/hyperlink" Target="https://www.keremnavot.org/heb-seize-the-moral-low-ground" TargetMode="External"/><Relationship Id="rId2" Type="http://schemas.openxmlformats.org/officeDocument/2006/relationships/styles" Target="styles.xml"/><Relationship Id="rId16" Type="http://schemas.openxmlformats.org/officeDocument/2006/relationships/hyperlink" Target="https://drive.google.com/file/d/110k2w2Y7xyXG58wK_nfK2DA23aHjCcdZ/view?usp=sharing" TargetMode="External"/><Relationship Id="rId20" Type="http://schemas.microsoft.com/office/2011/relationships/commentsExtended" Target="commentsExtended.xml"/><Relationship Id="rId29" Type="http://schemas.openxmlformats.org/officeDocument/2006/relationships/hyperlink" Target="https://drive.google.com/file/d/10B71jb6LalZsmdxu64N1cYh1dDwL_2y6/view?usp=shari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file/d/110k2w2Y7xyXG58wK_nfK2DA23aHjCcdZ/view?usp=sharing" TargetMode="External"/><Relationship Id="rId11" Type="http://schemas.openxmlformats.org/officeDocument/2006/relationships/hyperlink" Target="https://www.btselem.org/download/200205_land_grab_heb.pdf" TargetMode="External"/><Relationship Id="rId24" Type="http://schemas.openxmlformats.org/officeDocument/2006/relationships/hyperlink" Target="https://drive.google.com/file/d/10B71jb6LalZsmdxu64N1cYh1dDwL_2y6/view?usp=sharing" TargetMode="External"/><Relationship Id="rId32" Type="http://schemas.openxmlformats.org/officeDocument/2006/relationships/hyperlink" Target="https://drive.google.com/file/d/11KkjajOo-EL-UvhFKwgvEWnU5H9saTo4/view?usp=sharing" TargetMode="External"/><Relationship Id="rId37" Type="http://schemas.openxmlformats.org/officeDocument/2006/relationships/hyperlink" Target="https://drive.google.com/file/d/11KkjajOo-EL-UvhFKwgvEWnU5H9saTo4/view?usp=sharing" TargetMode="External"/><Relationship Id="rId40" Type="http://schemas.openxmlformats.org/officeDocument/2006/relationships/hyperlink" Target="https://www.keremnavot.org/seize-the-moral-low-ground" TargetMode="External"/><Relationship Id="rId5" Type="http://schemas.openxmlformats.org/officeDocument/2006/relationships/hyperlink" Target="https://www.btselem.org/arabic/publications/summaries/200205_land_grab" TargetMode="External"/><Relationship Id="rId15" Type="http://schemas.openxmlformats.org/officeDocument/2006/relationships/hyperlink" Target="https://drive.google.com/file/d/110k2w2Y7xyXG58wK_nfK2DA23aHjCcdZ/view?usp=sharing" TargetMode="External"/><Relationship Id="rId23" Type="http://schemas.openxmlformats.org/officeDocument/2006/relationships/hyperlink" Target="https://drive.google.com/file/d/10B71jb6LalZsmdxu64N1cYh1dDwL_2y6/view?usp=sharing" TargetMode="External"/><Relationship Id="rId28" Type="http://schemas.openxmlformats.org/officeDocument/2006/relationships/hyperlink" Target="https://drive.google.com/file/d/10B71jb6LalZsmdxu64N1cYh1dDwL_2y6/view?usp=sharing" TargetMode="External"/><Relationship Id="rId36" Type="http://schemas.openxmlformats.org/officeDocument/2006/relationships/hyperlink" Target="https://drive.google.com/file/d/11KkjajOo-EL-UvhFKwgvEWnU5H9saTo4/view?usp=sharing" TargetMode="External"/><Relationship Id="rId10" Type="http://schemas.openxmlformats.org/officeDocument/2006/relationships/hyperlink" Target="https://www.btselem.org/download/200205_land_grab_heb.pdf" TargetMode="External"/><Relationship Id="rId19" Type="http://schemas.openxmlformats.org/officeDocument/2006/relationships/comments" Target="comments.xml"/><Relationship Id="rId31" Type="http://schemas.openxmlformats.org/officeDocument/2006/relationships/hyperlink" Target="https://drive.google.com/file/d/11KkjajOo-EL-UvhFKwgvEWnU5H9saTo4/view?usp=sharing" TargetMode="External"/><Relationship Id="rId4" Type="http://schemas.openxmlformats.org/officeDocument/2006/relationships/webSettings" Target="webSettings.xml"/><Relationship Id="rId9" Type="http://schemas.openxmlformats.org/officeDocument/2006/relationships/hyperlink" Target="https://www.btselem.org/download/200205_land_grab_heb.pdf" TargetMode="External"/><Relationship Id="rId14" Type="http://schemas.openxmlformats.org/officeDocument/2006/relationships/hyperlink" Target="https://drive.google.com/file/d/110k2w2Y7xyXG58wK_nfK2DA23aHjCcdZ/view?usp=sharing" TargetMode="External"/><Relationship Id="rId22" Type="http://schemas.openxmlformats.org/officeDocument/2006/relationships/hyperlink" Target="https://drive.google.com/file/d/10B71jb6LalZsmdxu64N1cYh1dDwL_2y6/view?usp=sharing" TargetMode="External"/><Relationship Id="rId27" Type="http://schemas.openxmlformats.org/officeDocument/2006/relationships/hyperlink" Target="https://drive.google.com/file/d/10B71jb6LalZsmdxu64N1cYh1dDwL_2y6/view?usp=sharing" TargetMode="External"/><Relationship Id="rId30" Type="http://schemas.openxmlformats.org/officeDocument/2006/relationships/hyperlink" Target="https://drive.google.com/file/d/11KkjajOo-EL-UvhFKwgvEWnU5H9saTo4/view?usp=sharing" TargetMode="External"/><Relationship Id="rId35" Type="http://schemas.openxmlformats.org/officeDocument/2006/relationships/hyperlink" Target="https://drive.google.com/file/d/11KkjajOo-EL-UvhFKwgvEWnU5H9saTo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SMOJWBjwJY/JEfapKNhShz7uFg==">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2064</Words>
  <Characters>11770</Characters>
  <Application>Microsoft Office Word</Application>
  <DocSecurity>0</DocSecurity>
  <Lines>98</Lines>
  <Paragraphs>27</Paragraphs>
  <ScaleCrop>false</ScaleCrop>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Dror Etkes</dc:creator>
  <cp:lastModifiedBy>Simcha Levental</cp:lastModifiedBy>
  <cp:revision>9</cp:revision>
  <dcterms:created xsi:type="dcterms:W3CDTF">2020-09-29T08:25:00Z</dcterms:created>
  <dcterms:modified xsi:type="dcterms:W3CDTF">2020-10-05T11:01:00Z</dcterms:modified>
</cp:coreProperties>
</file>