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expropriation orders</w:t>
      </w:r>
    </w:p>
    <w:p w:rsidR="00000000" w:rsidDel="00000000" w:rsidP="00000000" w:rsidRDefault="00000000" w:rsidRPr="00000000" w14:paraId="00000002">
      <w:pPr>
        <w:bidi w:val="1"/>
        <w:spacing w:after="160"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أوامر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مصادرة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والمعروفة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أيض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ً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باسم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أوامر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شراء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للاستخدام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العام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أوامر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عسكرية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يستخدمها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الجيش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بشكل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خاص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أجل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مصادرة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أراض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ٍ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للشوارع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ولمشاريع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البنى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التحتية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مختلف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أنواعها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عكس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أوامر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وضع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اليد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فإن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أوامر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المصادرة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ليست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مؤقتة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لكن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الناحية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الرسمة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بالإمكان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إصدارها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فقط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لصالح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مشاريع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تخدم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"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السكان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المحليين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"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أيض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ً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السكان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عملي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ً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بعض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الحالات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استخدمت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إسرائيل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أوامر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المصادرة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أجل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إقامة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مستوطنات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(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معلية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أدوميم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وعوفرا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)،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حالات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عديدة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أخرى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استخدام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هذه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الأوامر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أجل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شق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شوارع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للوصول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المستوطنات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شوارع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تخدم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المستوطنين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فقط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حتى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اليوم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أصدر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الجيش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أوامر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مصادرة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لنحو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75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ألف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دونم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منذ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توقيع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اتفاقية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أوسلو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2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أصدرت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إسرائيل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مصادرة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واحد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السلطة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أجل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شق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شارع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35 (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شارع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التفافي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حلحول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والخليل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03">
      <w:pPr>
        <w:bidi w:val="1"/>
        <w:spacing w:after="160"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لقراءة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المزيد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أنظروا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تقرير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بتسيلم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hyperlink r:id="rId9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سلب</w:t>
        </w:r>
      </w:hyperlink>
      <w:hyperlink r:id="rId10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 </w:t>
        </w:r>
      </w:hyperlink>
      <w:hyperlink r:id="rId11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الأراضي</w:t>
        </w:r>
      </w:hyperlink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Stop work orders and demolitions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160"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أوامر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وقف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العمل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وأوامر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الهدم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أوامر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تصدرها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المدنية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ضد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البناء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غير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القانوني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أصدرت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المدنية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حتى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اليوم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أكثر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19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ألف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هدم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ضد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مباني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أنحاء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الضفة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الغربية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وغالبيتها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الساحقة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المنطقة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ج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صدر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133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ضد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مباني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السلطة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بعد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التوقيع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اتفاقية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أوسلو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2 (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-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).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ليس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المتعذر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بعض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تلك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الأوامر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قد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صدر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طريق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الخطأ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ضد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مبان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ٍ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تقع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حدود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السلطة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المنطقة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ج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بسبب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اخفاق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تحديد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الحدود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حالات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أخرى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(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كما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حالة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وادي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الحمص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)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اصدار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أوامر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هدم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بسبب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البناء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محاذية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لجدار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الفصل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والتي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توجد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ضدها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أوامر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البناء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حيث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جدار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الفصل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نفسه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قد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أقيم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السلطة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construction ban order</w:t>
      </w:r>
    </w:p>
    <w:p w:rsidR="00000000" w:rsidDel="00000000" w:rsidP="00000000" w:rsidRDefault="00000000" w:rsidRPr="00000000" w14:paraId="0000000A">
      <w:pPr>
        <w:bidi w:val="1"/>
        <w:spacing w:after="160"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أوامر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منع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البناء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أوامر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يستخدمها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الجيش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أجل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البناء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امتداد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الشوارع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الضفة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الغربية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وكذلك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المحاذية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لجدار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الفصل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البناء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96/1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الموقع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العام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1996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يمنع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البناء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طرفي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مئات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الشوارع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امتداد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أجمالي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يصل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نحو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1,700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كلم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(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بعض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الحالات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الحديث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120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متر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ً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كل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جهة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حالات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أخرى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75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متر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ً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كل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جهة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).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يخترق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هذا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الأمر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أعماق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السلطة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ويمنع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البناء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امتداد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شوارع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رئيسية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عبر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المدن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ذلك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وكما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معلوم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لمؤسسة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"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كرم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نبوت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"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يحدث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إنفاذ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هذا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الأمر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سلسلة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أخرى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أوامر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البناء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أوامر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صدرت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امتداد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المحاذية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لجدار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الفصل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والحديث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واسعة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جد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ً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تمتد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مساحة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أكثر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حوالي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178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ألف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دونم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بالمجمل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وحوالي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12,700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دونم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تقع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داخل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السلطة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B">
      <w:pPr>
        <w:spacing w:after="160" w:lin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order regarding security provisions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160"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الأمر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بشأن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تعليمات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الأمن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والذي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تعديله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قبل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الجيش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عام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2009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بحيث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يتيح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للقائد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العسكري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اتخاذ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خطوات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مختلفة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يدعي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الجيش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أنها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ضرورية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أجل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"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الحفاظ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المنطقة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والنظام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العام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".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معلوم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لنا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حتى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الآن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فقط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مكان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واحد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استخدم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فيه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الجيش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هذا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الأمر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السلطة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hyperlink r:id="rId12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قرية</w:t>
        </w:r>
      </w:hyperlink>
      <w:hyperlink r:id="rId13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 </w:t>
        </w:r>
      </w:hyperlink>
      <w:hyperlink r:id="rId14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سبسطية</w:t>
        </w:r>
      </w:hyperlink>
      <w:hyperlink r:id="rId15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 </w:t>
        </w:r>
      </w:hyperlink>
      <w:hyperlink r:id="rId16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الفلسطينية</w:t>
        </w:r>
      </w:hyperlink>
      <w:hyperlink r:id="rId17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.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وكنا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قد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قدمنا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مؤخر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ً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طلب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ً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للجيش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باسم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حرية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المعلمات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لفحص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اصدار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أوامر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مماثلة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الماضي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وإذا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كان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الجواب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نعم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ولأي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هدف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نحصل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حتى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الآن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رد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الجيش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بهذا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الخصوص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Military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160"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تدريبات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عسكرية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تجري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الضفة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الغربية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منذ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أكثر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50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سنة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حسبما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معروف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لمؤسسة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"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كرم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نبوت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"،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فإن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جميع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التدريبات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العسكرية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تجري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المنطقة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ج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ذلك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نحن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نعرف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مكان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واحد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داخل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السلطة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يجري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فيه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الجيش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وبشكل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دائم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تدريبات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قتالية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منطقة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مبنية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رغم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المنطقة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مأهولة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جزيئ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ً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after="16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16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160" w:line="360" w:lineRule="auto"/>
        <w:jc w:val="both"/>
        <w:rPr>
          <w:sz w:val="28"/>
          <w:szCs w:val="28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color w:val="000000"/>
          <w:sz w:val="28"/>
          <w:szCs w:val="28"/>
          <w:rtl w:val="1"/>
        </w:rPr>
        <w:t xml:space="preserve">خلال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الأعمال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الميدانية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لكرم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نبوت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تحديد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14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تقييد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دخول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دائم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تمنع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الدخول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قريبة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المستوطنات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والبؤر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الاستيطانية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أقيمت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مسبق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ً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وعن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قصد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بمحاذاة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السلطة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حالات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أخرى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داخل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تلك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حسب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تقديرات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"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كرم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نبوت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"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يمنع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اليوم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دخول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أكثر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10,000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دونم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معظمها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أراض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ٍ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زراعية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يتسبب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عدم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الدخول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إليها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بأضرار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اقتصادية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هائلة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لأصحابها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160" w:line="360" w:lineRule="auto"/>
        <w:jc w:val="both"/>
        <w:rPr>
          <w:sz w:val="28"/>
          <w:szCs w:val="28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المعلوم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لكرم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نبوت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حتى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اليوم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ثمانية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أماكن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يعمل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المستوطنون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فلاحة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أراض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ٍ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داخل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السلطة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وحسب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معلوماتنا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البدء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فلاحة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مكانين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قبل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التوقيع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اتفاقية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أوسلو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2 (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أيلول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1995)،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ولأسباب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غير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معروفة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لنا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استمر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هذا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الوضع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بعد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التوقيع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الاتفاقية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الأماكن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الستة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الأخرى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الحديث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عمليات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غزو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للأراضي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قام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المستوطنون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الأعوام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2003-2008،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بعد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التوقيع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اتفاقية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أوسلو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2.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160" w:line="360" w:lineRule="auto"/>
        <w:jc w:val="both"/>
        <w:rPr>
          <w:sz w:val="28"/>
          <w:szCs w:val="28"/>
        </w:rPr>
      </w:pPr>
      <w:bookmarkStart w:colFirst="0" w:colLast="0" w:name="_heading=h.gjdgxs" w:id="0"/>
      <w:bookmarkEnd w:id="0"/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بعض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الأماكن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القليلة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جد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ً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قام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المستوطنون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بشق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شوارع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وأحيان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ً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بالبناء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داخل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السلطة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الأعوام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2018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2020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التمس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بعض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المستوطنون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البؤر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الاستيطانية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محيط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مستوطنة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يتسهار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والتي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أقيمت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قصد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داخل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ضد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الجيش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بإخلائهم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وهدم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المباني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بادعاء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أنه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وفق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اتفاقية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أوسلو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تملك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إسرائيل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صلاحية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تنفيذ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أوامر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هدم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المناطق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رفضت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المحكمة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العليا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الالتماسات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وألزمت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الملتمسين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بدفع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مصاريف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المحكمة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بمبلغ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3000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شاقل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كل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التماس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160" w:line="360" w:lineRule="auto"/>
        <w:jc w:val="both"/>
        <w:rPr>
          <w:sz w:val="28"/>
          <w:szCs w:val="28"/>
        </w:rPr>
      </w:pPr>
      <w:hyperlink r:id="rId18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قرار</w:t>
        </w:r>
      </w:hyperlink>
      <w:hyperlink r:id="rId19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 </w:t>
        </w:r>
      </w:hyperlink>
      <w:hyperlink r:id="rId20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المحكمة</w:t>
        </w:r>
      </w:hyperlink>
      <w:hyperlink r:id="rId21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 </w:t>
        </w:r>
      </w:hyperlink>
      <w:hyperlink r:id="rId22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العليا</w:t>
        </w:r>
      </w:hyperlink>
      <w:hyperlink r:id="rId23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 18/1330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160" w:line="360" w:lineRule="auto"/>
        <w:jc w:val="both"/>
        <w:rPr>
          <w:sz w:val="28"/>
          <w:szCs w:val="28"/>
        </w:rPr>
      </w:pPr>
      <w:hyperlink r:id="rId24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قرار</w:t>
        </w:r>
      </w:hyperlink>
      <w:hyperlink r:id="rId25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 </w:t>
        </w:r>
      </w:hyperlink>
      <w:hyperlink r:id="rId26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المحكمة</w:t>
        </w:r>
      </w:hyperlink>
      <w:hyperlink r:id="rId27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 </w:t>
        </w:r>
      </w:hyperlink>
      <w:hyperlink r:id="rId28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العليا</w:t>
        </w:r>
      </w:hyperlink>
      <w:hyperlink r:id="rId29">
        <w:r w:rsidDel="00000000" w:rsidR="00000000" w:rsidRPr="00000000">
          <w:rPr>
            <w:color w:val="0000ff"/>
            <w:sz w:val="28"/>
            <w:szCs w:val="28"/>
            <w:u w:val="single"/>
            <w:rtl w:val="1"/>
          </w:rPr>
          <w:t xml:space="preserve"> 20/2623</w:t>
        </w:r>
      </w:hyperlink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160" w:line="360" w:lineRule="auto"/>
        <w:jc w:val="both"/>
        <w:rPr>
          <w:sz w:val="28"/>
          <w:szCs w:val="28"/>
        </w:rPr>
      </w:pP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color w:val="000000"/>
          <w:sz w:val="28"/>
          <w:szCs w:val="28"/>
          <w:rtl w:val="1"/>
        </w:rPr>
        <w:t xml:space="preserve">جولات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ينظمها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المستوطنون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مواقع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مقدسة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لشخصيات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توراتية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ولمواقع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ذات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قيمة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تاريخية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أو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مناظر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طبيعية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غالبية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تلك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الجولات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يتم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تنسيقها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الجيش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ويقوم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الجنود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بتأمين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دخول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المشاركين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تلك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المواقع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العديد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الحالات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يفرض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الجيش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تقييدات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قاسية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على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حركة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السكان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الفلسطينيين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المحليين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خلال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تواجد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إسرائيليين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المكان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نحن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نعلم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حتى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الآن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عن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22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موقع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هذا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النوع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ويلاحظ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تزايد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هذا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التوجه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في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السنوات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الأخيرة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. 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ror Etkes" w:id="2" w:date="2020-10-05T10:35:39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 Building and Construction</w:t>
      </w:r>
    </w:p>
  </w:comment>
  <w:comment w:author="Dror Etkes" w:id="1" w:date="2020-10-05T10:34:35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Agricultural take overs</w:t>
      </w:r>
    </w:p>
  </w:comment>
  <w:comment w:author="Dror Etkes" w:id="3" w:date="2020-10-05T10:36:01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settlers visits</w:t>
      </w:r>
    </w:p>
  </w:comment>
  <w:comment w:author="Dror Etkes" w:id="0" w:date="2020-10-05T10:32:57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Denial of Acces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B" w15:done="0"/>
  <w15:commentEx w15:paraId="0000001C" w15:done="0"/>
  <w15:commentEx w15:paraId="0000001D" w15:done="0"/>
  <w15:commentEx w15:paraId="0000001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Web">
    <w:name w:val="Normal (Web)"/>
    <w:basedOn w:val="a"/>
    <w:uiPriority w:val="99"/>
    <w:semiHidden w:val="1"/>
    <w:unhideWhenUsed w:val="1"/>
    <w:rsid w:val="008522C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a0"/>
    <w:uiPriority w:val="99"/>
    <w:unhideWhenUsed w:val="1"/>
    <w:rsid w:val="008522C1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0B71jb6LalZsmdxu64N1cYh1dDwL_2y6/view?usp=sharing" TargetMode="External"/><Relationship Id="rId22" Type="http://schemas.openxmlformats.org/officeDocument/2006/relationships/hyperlink" Target="https://drive.google.com/file/d/10B71jb6LalZsmdxu64N1cYh1dDwL_2y6/view?usp=sharing" TargetMode="External"/><Relationship Id="rId21" Type="http://schemas.openxmlformats.org/officeDocument/2006/relationships/hyperlink" Target="https://drive.google.com/file/d/10B71jb6LalZsmdxu64N1cYh1dDwL_2y6/view?usp=sharing" TargetMode="External"/><Relationship Id="rId24" Type="http://schemas.openxmlformats.org/officeDocument/2006/relationships/hyperlink" Target="https://drive.google.com/file/d/11KkjajOo-EL-UvhFKwgvEWnU5H9saTo4/view?usp=sharing" TargetMode="External"/><Relationship Id="rId23" Type="http://schemas.openxmlformats.org/officeDocument/2006/relationships/hyperlink" Target="https://drive.google.com/file/d/10B71jb6LalZsmdxu64N1cYh1dDwL_2y6/view?usp=sharin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btselem.org/arabic/publications/summaries/200205_land_grab" TargetMode="External"/><Relationship Id="rId26" Type="http://schemas.openxmlformats.org/officeDocument/2006/relationships/hyperlink" Target="https://drive.google.com/file/d/11KkjajOo-EL-UvhFKwgvEWnU5H9saTo4/view?usp=sharing" TargetMode="External"/><Relationship Id="rId25" Type="http://schemas.openxmlformats.org/officeDocument/2006/relationships/hyperlink" Target="https://drive.google.com/file/d/11KkjajOo-EL-UvhFKwgvEWnU5H9saTo4/view?usp=sharing" TargetMode="External"/><Relationship Id="rId28" Type="http://schemas.openxmlformats.org/officeDocument/2006/relationships/hyperlink" Target="https://drive.google.com/file/d/11KkjajOo-EL-UvhFKwgvEWnU5H9saTo4/view?usp=sharing" TargetMode="External"/><Relationship Id="rId27" Type="http://schemas.openxmlformats.org/officeDocument/2006/relationships/hyperlink" Target="https://drive.google.com/file/d/11KkjajOo-EL-UvhFKwgvEWnU5H9saTo4/view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drive.google.com/file/d/11KkjajOo-EL-UvhFKwgvEWnU5H9saTo4/view?usp=sharing" TargetMode="Externa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Relationship Id="rId11" Type="http://schemas.openxmlformats.org/officeDocument/2006/relationships/hyperlink" Target="https://www.btselem.org/arabic/publications/summaries/200205_land_grab" TargetMode="External"/><Relationship Id="rId10" Type="http://schemas.openxmlformats.org/officeDocument/2006/relationships/hyperlink" Target="https://www.btselem.org/arabic/publications/summaries/200205_land_grab" TargetMode="External"/><Relationship Id="rId13" Type="http://schemas.openxmlformats.org/officeDocument/2006/relationships/hyperlink" Target="https://drive.google.com/file/d/110k2w2Y7xyXG58wK_nfK2DA23aHjCcdZ/view?usp=sharing" TargetMode="External"/><Relationship Id="rId12" Type="http://schemas.openxmlformats.org/officeDocument/2006/relationships/hyperlink" Target="https://drive.google.com/file/d/110k2w2Y7xyXG58wK_nfK2DA23aHjCcdZ/view?usp=sharing" TargetMode="External"/><Relationship Id="rId15" Type="http://schemas.openxmlformats.org/officeDocument/2006/relationships/hyperlink" Target="https://drive.google.com/file/d/110k2w2Y7xyXG58wK_nfK2DA23aHjCcdZ/view?usp=sharing" TargetMode="External"/><Relationship Id="rId14" Type="http://schemas.openxmlformats.org/officeDocument/2006/relationships/hyperlink" Target="https://drive.google.com/file/d/110k2w2Y7xyXG58wK_nfK2DA23aHjCcdZ/view?usp=sharing" TargetMode="External"/><Relationship Id="rId17" Type="http://schemas.openxmlformats.org/officeDocument/2006/relationships/hyperlink" Target="https://drive.google.com/file/d/110k2w2Y7xyXG58wK_nfK2DA23aHjCcdZ/view?usp=sharing" TargetMode="External"/><Relationship Id="rId16" Type="http://schemas.openxmlformats.org/officeDocument/2006/relationships/hyperlink" Target="https://drive.google.com/file/d/110k2w2Y7xyXG58wK_nfK2DA23aHjCcdZ/view?usp=sharing" TargetMode="External"/><Relationship Id="rId19" Type="http://schemas.openxmlformats.org/officeDocument/2006/relationships/hyperlink" Target="https://drive.google.com/file/d/10B71jb6LalZsmdxu64N1cYh1dDwL_2y6/view?usp=sharing" TargetMode="External"/><Relationship Id="rId18" Type="http://schemas.openxmlformats.org/officeDocument/2006/relationships/hyperlink" Target="https://drive.google.com/file/d/10B71jb6LalZsmdxu64N1cYh1dDwL_2y6/view?usp=sharing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n4lLKuUBmJ3r+A6t+CQohCOnLg==">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2020-09-30T07:57:00Z</dcterms:created>
  <dc:creator>nawaf athamnah</dc:creator>
</cp:coreProperties>
</file>