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FIN-W5-ENTERPRISE-05</w:t>
      </w:r>
    </w:p>
    <w:p>
      <w:pPr>
        <w:pStyle w:val="Subtitle"/>
      </w:pPr>
      <w:r>
        <w:t>Enterprise Financial Planning, Budgeting &amp; Cash-Flow Intelligence Platform</w:t>
      </w:r>
    </w:p>
    <w:p>
      <w:pPr>
        <w:pStyle w:val="Heading1"/>
      </w:pPr>
      <w:r>
        <w:t>Executive Summary</w:t>
      </w:r>
    </w:p>
    <w:p>
      <w:r>
        <w:t>This project implements an end-to-end FP&amp;A workflow covering financial data, budgeting, revenue and expense analytics, variance analysis, cash flow, AR/AP aging, working capital, profitability, forecasting, scenario planning, risk alerts and an executive dashboard.</w:t>
      </w:r>
    </w:p>
    <w:p>
      <w:pPr>
        <w:pStyle w:val="Heading1"/>
      </w:pPr>
      <w:r>
        <w:t>1. Executive KPIs</w:t>
      </w:r>
    </w:p>
    <w:tbl>
      <w:tblPr>
        <w:tblStyle w:val="TableGrid"/>
        <w:tblW w:type="auto" w:w="0"/>
        <w:tblLook w:firstColumn="1" w:firstRow="1" w:lastColumn="0" w:lastRow="0" w:noHBand="0" w:noVBand="1" w:val="04A0"/>
      </w:tblPr>
      <w:tblGrid>
        <w:gridCol w:w="4320"/>
        <w:gridCol w:w="4320"/>
      </w:tblGrid>
      <w:tr>
        <w:tc>
          <w:tcPr>
            <w:tcW w:type="dxa" w:w="4320"/>
          </w:tcPr>
          <w:p>
            <w:r>
              <w:t>KPI</w:t>
            </w:r>
          </w:p>
        </w:tc>
        <w:tc>
          <w:tcPr>
            <w:tcW w:type="dxa" w:w="4320"/>
          </w:tcPr>
          <w:p>
            <w:r>
              <w:t>FY2025</w:t>
            </w:r>
          </w:p>
        </w:tc>
      </w:tr>
      <w:tr>
        <w:tc>
          <w:tcPr>
            <w:tcW w:type="dxa" w:w="4320"/>
          </w:tcPr>
          <w:p>
            <w:r>
              <w:t>Revenue</w:t>
            </w:r>
          </w:p>
        </w:tc>
        <w:tc>
          <w:tcPr>
            <w:tcW w:type="dxa" w:w="4320"/>
          </w:tcPr>
          <w:p>
            <w:r>
              <w:t>₹30,610,800</w:t>
            </w:r>
          </w:p>
        </w:tc>
      </w:tr>
      <w:tr>
        <w:tc>
          <w:tcPr>
            <w:tcW w:type="dxa" w:w="4320"/>
          </w:tcPr>
          <w:p>
            <w:r>
              <w:t>EBITDA</w:t>
            </w:r>
          </w:p>
        </w:tc>
        <w:tc>
          <w:tcPr>
            <w:tcW w:type="dxa" w:w="4320"/>
          </w:tcPr>
          <w:p>
            <w:r>
              <w:t>₹1,585,920</w:t>
            </w:r>
          </w:p>
        </w:tc>
      </w:tr>
      <w:tr>
        <w:tc>
          <w:tcPr>
            <w:tcW w:type="dxa" w:w="4320"/>
          </w:tcPr>
          <w:p>
            <w:r>
              <w:t>Net Profit</w:t>
            </w:r>
          </w:p>
        </w:tc>
        <w:tc>
          <w:tcPr>
            <w:tcW w:type="dxa" w:w="4320"/>
          </w:tcPr>
          <w:p>
            <w:r>
              <w:t>₹568,322</w:t>
            </w:r>
          </w:p>
        </w:tc>
      </w:tr>
      <w:tr>
        <w:tc>
          <w:tcPr>
            <w:tcW w:type="dxa" w:w="4320"/>
          </w:tcPr>
          <w:p>
            <w:r>
              <w:t>Closing Cash</w:t>
            </w:r>
          </w:p>
        </w:tc>
        <w:tc>
          <w:tcPr>
            <w:tcW w:type="dxa" w:w="4320"/>
          </w:tcPr>
          <w:p>
            <w:r>
              <w:t>₹16,720,561</w:t>
            </w:r>
          </w:p>
        </w:tc>
      </w:tr>
      <w:tr>
        <w:tc>
          <w:tcPr>
            <w:tcW w:type="dxa" w:w="4320"/>
          </w:tcPr>
          <w:p>
            <w:r>
              <w:t>Budget Utilization</w:t>
            </w:r>
          </w:p>
        </w:tc>
        <w:tc>
          <w:tcPr>
            <w:tcW w:type="dxa" w:w="4320"/>
          </w:tcPr>
          <w:p>
            <w:r>
              <w:t>92.5%</w:t>
            </w:r>
          </w:p>
        </w:tc>
      </w:tr>
      <w:tr>
        <w:tc>
          <w:tcPr>
            <w:tcW w:type="dxa" w:w="4320"/>
          </w:tcPr>
          <w:p>
            <w:r>
              <w:t>AR Outstanding</w:t>
            </w:r>
          </w:p>
        </w:tc>
        <w:tc>
          <w:tcPr>
            <w:tcW w:type="dxa" w:w="4320"/>
          </w:tcPr>
          <w:p>
            <w:r>
              <w:t>₹7,524,800</w:t>
            </w:r>
          </w:p>
        </w:tc>
      </w:tr>
      <w:tr>
        <w:tc>
          <w:tcPr>
            <w:tcW w:type="dxa" w:w="4320"/>
          </w:tcPr>
          <w:p>
            <w:r>
              <w:t>AP Outstanding</w:t>
            </w:r>
          </w:p>
        </w:tc>
        <w:tc>
          <w:tcPr>
            <w:tcW w:type="dxa" w:w="4320"/>
          </w:tcPr>
          <w:p>
            <w:r>
              <w:t>₹4,110,600</w:t>
            </w:r>
          </w:p>
        </w:tc>
      </w:tr>
      <w:tr>
        <w:tc>
          <w:tcPr>
            <w:tcW w:type="dxa" w:w="4320"/>
          </w:tcPr>
          <w:p>
            <w:r>
              <w:t>Current Ratio</w:t>
            </w:r>
          </w:p>
        </w:tc>
        <w:tc>
          <w:tcPr>
            <w:tcW w:type="dxa" w:w="4320"/>
          </w:tcPr>
          <w:p>
            <w:r>
              <w:t>22.05</w:t>
            </w:r>
          </w:p>
        </w:tc>
      </w:tr>
    </w:tbl>
    <w:p>
      <w:pPr>
        <w:pStyle w:val="Heading1"/>
      </w:pPr>
      <w:r>
        <w:t>2. Budget &amp; Variance Analysis</w:t>
      </w:r>
    </w:p>
    <w:p>
      <w:r>
        <w:t>Operations: budget ₹913,700, actual ₹853,900, variance ₹-59,800, utilization 93.5%.</w:t>
      </w:r>
    </w:p>
    <w:p>
      <w:r>
        <w:t>Finance &amp; Admin: budget ₹1,322,800, actual ₹1,247,900, variance ₹-74,900, utilization 94.3%.</w:t>
      </w:r>
    </w:p>
    <w:p>
      <w:r>
        <w:t>Sales &amp; Marketing: budget ₹1,931,100, actual ₹1,839,100, variance ₹-92,000, utilization 95.2%.</w:t>
      </w:r>
    </w:p>
    <w:p>
      <w:r>
        <w:t>HR: budget ₹1,691,800, actual ₹1,510,500, variance ₹-181,300, utilization 89.3%.</w:t>
      </w:r>
    </w:p>
    <w:p>
      <w:r>
        <w:t>IT: budget ₹3,135,800, actual ₹2,850,700, variance ₹-285,100, utilization 90.9%.</w:t>
      </w:r>
    </w:p>
    <w:p>
      <w:r>
        <w:t>Engineering: budget ₹10,809,700, actual ₹10,009,000, variance ₹-800,700, utilization 92.6%.</w:t>
      </w:r>
    </w:p>
    <w:p>
      <w:pPr>
        <w:pStyle w:val="Heading1"/>
      </w:pPr>
      <w:r>
        <w:t>3. Revenue &amp; Profitability</w:t>
      </w:r>
    </w:p>
    <w:p>
      <w:r>
        <w:t>Total revenue is ₹30,610,800. Gross margin is 65.0%, EBITDA margin is 5.2%, and net profit margin is 1.9%.</w:t>
      </w:r>
    </w:p>
    <w:p>
      <w:pPr>
        <w:pStyle w:val="Heading1"/>
      </w:pPr>
      <w:r>
        <w:t>4. Cash Flow</w:t>
      </w:r>
    </w:p>
    <w:p>
      <w:r>
        <w:t>Closing cash at December 2025 is ₹16,720,561. The cash-flow model reconciles opening cash plus inflows less outflows to closing cash.</w:t>
      </w:r>
    </w:p>
    <w:p>
      <w:pPr>
        <w:pStyle w:val="Heading1"/>
      </w:pPr>
      <w:r>
        <w:t>5. AR/AP &amp; Working Capital</w:t>
      </w:r>
    </w:p>
    <w:p>
      <w:r>
        <w:t>Outstanding AR is ₹7,524,800; outstanding AP is ₹4,110,600. The December current ratio is 22.05 and quick ratio is 21.54.</w:t>
      </w:r>
    </w:p>
    <w:p>
      <w:pPr>
        <w:pStyle w:val="Heading1"/>
      </w:pPr>
      <w:r>
        <w:t>6. Forecasting</w:t>
      </w:r>
    </w:p>
    <w:p>
      <w:r>
        <w:t>A linear trend model is applied to monthly historical revenue, expenses and net profit. The workbook contains a 12-month forward forecast and supports 3/6/12-month planning.</w:t>
      </w:r>
    </w:p>
    <w:p>
      <w:pPr>
        <w:pStyle w:val="Heading1"/>
      </w:pPr>
      <w:r>
        <w:t>7. Scenario Planning</w:t>
      </w:r>
    </w:p>
    <w:p>
      <w:r>
        <w:t>Base: revenue ₹3,154,500, expenses ₹1,735,800, EBITDA ₹314,625, net profit ₹235,969.</w:t>
      </w:r>
    </w:p>
    <w:p>
      <w:r>
        <w:t>Upside: revenue ₹3,469,950, expenses ₹1,683,726, EBITDA ₹571,742, net profit ₹428,806.</w:t>
      </w:r>
    </w:p>
    <w:p>
      <w:r>
        <w:t>Downside: revenue ₹2,839,050, expenses ₹1,874,664, EBITDA ₹-29,282, net profit ₹-29,282.</w:t>
      </w:r>
    </w:p>
    <w:p>
      <w:pPr>
        <w:pStyle w:val="Heading1"/>
      </w:pPr>
      <w:r>
        <w:t>8. Financial Risk Detection</w:t>
      </w:r>
    </w:p>
    <w:p>
      <w:r>
        <w:t>HIGH | Budget Utilization | Engineering — Utilization 92.5% exceeds 90% threshold</w:t>
      </w:r>
    </w:p>
    <w:p>
      <w:r>
        <w:t>HIGH | Budget Utilization | Finance &amp; Admin — Utilization 94.3% exceeds 90% threshold</w:t>
      </w:r>
    </w:p>
    <w:p>
      <w:r>
        <w:t>HIGH | Budget Utilization | IT — Utilization 90.8% exceeds 90% threshold</w:t>
      </w:r>
    </w:p>
    <w:p>
      <w:r>
        <w:t>HIGH | Budget Utilization | Operations — Utilization 93.4% exceeds 90% threshold</w:t>
      </w:r>
    </w:p>
    <w:p>
      <w:r>
        <w:t>HIGH | Budget Utilization | Sales &amp; Marketing — Utilization 95.2% exceeds 90% threshold</w:t>
      </w:r>
    </w:p>
    <w:p>
      <w:r>
        <w:t>HIGH | Credit Risk | Bright Retail — Invoice AR-5002 overdue 334 days</w:t>
      </w:r>
    </w:p>
    <w:p>
      <w:r>
        <w:t>HIGH | Credit Risk | Crest Healthcare — Invoice AR-5003 overdue 334 days</w:t>
      </w:r>
    </w:p>
    <w:p>
      <w:r>
        <w:t>HIGH | Credit Risk | Delta Logistics — Invoice AR-5004 overdue 334 days</w:t>
      </w:r>
    </w:p>
    <w:p>
      <w:r>
        <w:t>HIGH | Credit Risk | Evergreen Finance — Invoice AR-5005 overdue 334 days</w:t>
      </w:r>
    </w:p>
    <w:p>
      <w:r>
        <w:t>HIGH | Credit Risk | Bright Retail — Invoice AR-5006 overdue 303 days</w:t>
      </w:r>
    </w:p>
    <w:p>
      <w:r>
        <w:t>HIGH | Credit Risk | Crest Healthcare — Invoice AR-5007 overdue 303 days</w:t>
      </w:r>
    </w:p>
    <w:p>
      <w:r>
        <w:t>HIGH | Credit Risk | Delta Logistics — Invoice AR-5008 overdue 303 days</w:t>
      </w:r>
    </w:p>
    <w:p>
      <w:r>
        <w:t>HIGH | Credit Risk | Evergreen Finance — Invoice AR-5009 overdue 303 days</w:t>
      </w:r>
    </w:p>
    <w:p>
      <w:r>
        <w:t>HIGH | Credit Risk | Crest Healthcare — Invoice AR-5011 overdue 275 days</w:t>
      </w:r>
    </w:p>
    <w:p>
      <w:r>
        <w:t>HIGH | Credit Risk | Delta Logistics — Invoice AR-5012 overdue 275 days</w:t>
      </w:r>
    </w:p>
    <w:p>
      <w:r>
        <w:t>HIGH | Credit Risk | Evergreen Finance — Invoice AR-5013 overdue 275 days</w:t>
      </w:r>
    </w:p>
    <w:p>
      <w:r>
        <w:t>HIGH | Credit Risk | Alpha Industries — Invoice AR-5015 overdue 275 days</w:t>
      </w:r>
    </w:p>
    <w:p>
      <w:r>
        <w:t>HIGH | Credit Risk | Delta Logistics — Invoice AR-5016 overdue 244 days</w:t>
      </w:r>
    </w:p>
    <w:p>
      <w:r>
        <w:t>HIGH | Credit Risk | Evergreen Finance — Invoice AR-5017 overdue 244 days</w:t>
      </w:r>
    </w:p>
    <w:p>
      <w:r>
        <w:t>HIGH | Credit Risk | Alpha Industries — Invoice AR-5019 overdue 244 days</w:t>
      </w:r>
    </w:p>
    <w:p>
      <w:pPr>
        <w:pStyle w:val="Heading1"/>
      </w:pPr>
      <w:r>
        <w:t>9. Recommendations</w:t>
      </w:r>
    </w:p>
    <w:p>
      <w:pPr>
        <w:pStyle w:val="ListBullet"/>
      </w:pPr>
      <w:r>
        <w:t>Keep departmental budget utilization below 90% through monthly reforecasting.</w:t>
      </w:r>
    </w:p>
    <w:p>
      <w:pPr>
        <w:pStyle w:val="ListBullet"/>
      </w:pPr>
      <w:r>
        <w:t>Prioritize collection of invoices in the 61–90 and 90+ day buckets.</w:t>
      </w:r>
    </w:p>
    <w:p>
      <w:pPr>
        <w:pStyle w:val="ListBullet"/>
      </w:pPr>
      <w:r>
        <w:t>Maintain a minimum cash buffer and monitor monthly operating cash conversion.</w:t>
      </w:r>
    </w:p>
    <w:p>
      <w:pPr>
        <w:pStyle w:val="ListBullet"/>
      </w:pPr>
      <w:r>
        <w:t>Review expense categories with the fastest month-on-month growth before approving incremental spend.</w:t>
      </w:r>
    </w:p>
    <w:p>
      <w:pPr>
        <w:pStyle w:val="ListBullet"/>
      </w:pPr>
      <w:r>
        <w:t>Use Base/Upside/Downside scenarios in quarterly planning and update assumptions with actual results.</w:t>
      </w:r>
    </w:p>
    <w:p>
      <w:pPr>
        <w:pStyle w:val="ListBullet"/>
      </w:pPr>
      <w:r>
        <w:t>Use the dashboard as the management control layer and retain the underlying transaction tables for auditability.</w:t>
      </w:r>
    </w:p>
    <w:p>
      <w:pPr>
        <w:pStyle w:val="Heading1"/>
      </w:pPr>
      <w:r>
        <w:t>10. Deliverables Included</w:t>
      </w:r>
    </w:p>
    <w:p>
      <w:pPr>
        <w:pStyle w:val="ListBullet"/>
      </w:pPr>
      <w:r>
        <w:t>Financial dataset</w:t>
      </w:r>
    </w:p>
    <w:p>
      <w:pPr>
        <w:pStyle w:val="ListBullet"/>
      </w:pPr>
      <w:r>
        <w:t>Database design</w:t>
      </w:r>
    </w:p>
    <w:p>
      <w:pPr>
        <w:pStyle w:val="ListBullet"/>
      </w:pPr>
      <w:r>
        <w:t>Data-quality checks</w:t>
      </w:r>
    </w:p>
    <w:p>
      <w:pPr>
        <w:pStyle w:val="ListBullet"/>
      </w:pPr>
      <w:r>
        <w:t>Budgeting module</w:t>
      </w:r>
    </w:p>
    <w:p>
      <w:pPr>
        <w:pStyle w:val="ListBullet"/>
      </w:pPr>
      <w:r>
        <w:t>Revenue analysis</w:t>
      </w:r>
    </w:p>
    <w:p>
      <w:pPr>
        <w:pStyle w:val="ListBullet"/>
      </w:pPr>
      <w:r>
        <w:t>Expense analysis</w:t>
      </w:r>
    </w:p>
    <w:p>
      <w:pPr>
        <w:pStyle w:val="ListBullet"/>
      </w:pPr>
      <w:r>
        <w:t>Budget vs Actual and variance analysis</w:t>
      </w:r>
    </w:p>
    <w:p>
      <w:pPr>
        <w:pStyle w:val="ListBullet"/>
      </w:pPr>
      <w:r>
        <w:t>Cash-flow analysis</w:t>
      </w:r>
    </w:p>
    <w:p>
      <w:pPr>
        <w:pStyle w:val="ListBullet"/>
      </w:pPr>
      <w:r>
        <w:t>AR aging</w:t>
      </w:r>
    </w:p>
    <w:p>
      <w:pPr>
        <w:pStyle w:val="ListBullet"/>
      </w:pPr>
      <w:r>
        <w:t>AP aging</w:t>
      </w:r>
    </w:p>
    <w:p>
      <w:pPr>
        <w:pStyle w:val="ListBullet"/>
      </w:pPr>
      <w:r>
        <w:t>Working-capital analysis</w:t>
      </w:r>
    </w:p>
    <w:p>
      <w:pPr>
        <w:pStyle w:val="ListBullet"/>
      </w:pPr>
      <w:r>
        <w:t>Profitability analysis</w:t>
      </w:r>
    </w:p>
    <w:p>
      <w:pPr>
        <w:pStyle w:val="ListBullet"/>
      </w:pPr>
      <w:r>
        <w:t>Forecasting model</w:t>
      </w:r>
    </w:p>
    <w:p>
      <w:pPr>
        <w:pStyle w:val="ListBullet"/>
      </w:pPr>
      <w:r>
        <w:t>Scenario analysis</w:t>
      </w:r>
    </w:p>
    <w:p>
      <w:pPr>
        <w:pStyle w:val="ListBullet"/>
      </w:pPr>
      <w:r>
        <w:t>Financial-risk alerts</w:t>
      </w:r>
    </w:p>
    <w:p>
      <w:pPr>
        <w:pStyle w:val="ListBullet"/>
      </w:pPr>
      <w:r>
        <w:t>Executive dashboard</w:t>
      </w:r>
    </w:p>
    <w:p>
      <w:pPr>
        <w:pStyle w:val="ListBullet"/>
      </w:pPr>
      <w:r>
        <w:t>Management report</w:t>
      </w:r>
    </w:p>
    <w:p>
      <w:pPr>
        <w:pStyle w:val="ListBullet"/>
      </w:pPr>
      <w:r>
        <w:t>Automated Excel/PDF-ready reporting</w:t>
      </w:r>
    </w:p>
    <w:p>
      <w:pPr>
        <w:pStyle w:val="ListBullet"/>
      </w:pPr>
      <w:r>
        <w:t>Final business recommendations</w:t>
      </w:r>
    </w:p>
    <w:p>
      <w:pPr>
        <w:pStyle w:val="Heading1"/>
      </w:pPr>
      <w:r>
        <w:t>Enhanced Management Analysis</w:t>
      </w:r>
    </w:p>
    <w:p>
      <w:pPr>
        <w:pStyle w:val="Heading2"/>
      </w:pPr>
      <w:r>
        <w:t>Executive Management View</w:t>
      </w:r>
    </w:p>
    <w:p>
      <w:r>
        <w:t>This report is a decision-support pack covering revenue quality, cost discipline, profitability, working capital, liquidity, receivables, payables, budget control, cash resilience and scenario planning. Management should use the dashboard as an exception-management tool and investigate material deviations at transaction level.</w:t>
      </w:r>
    </w:p>
    <w:p>
      <w:pPr>
        <w:pStyle w:val="Heading2"/>
      </w:pPr>
      <w:r>
        <w:t>Revenue Quality &amp; Growth</w:t>
      </w:r>
    </w:p>
    <w:p>
      <w:r>
        <w:t>Review monthly revenue, service mix and customer concentration where available. Separate sustainable growth from one-off invoices and timing effects. Revenue growth should be assessed together with gross margin and cash collection because invoicing growth without cash conversion can increase working-capital pressure.</w:t>
      </w:r>
    </w:p>
    <w:p>
      <w:pPr>
        <w:pStyle w:val="Heading2"/>
      </w:pPr>
      <w:r>
        <w:t>Profitability &amp; Cost Structure</w:t>
      </w:r>
    </w:p>
    <w:p>
      <w:r>
        <w:t>Gross profit measures delivery economics, EBITDA measures operating performance before depreciation, EBIT incorporates depreciation, and net profit reflects tax effects. A month in which revenue rises while EBITDA or net margin falls should trigger a review of pricing, delivery efficiency, revenue mix and operating-cost growth.</w:t>
      </w:r>
    </w:p>
    <w:p>
      <w:pPr>
        <w:pStyle w:val="Heading2"/>
      </w:pPr>
      <w:r>
        <w:t>Working Capital &amp; Liquidity</w:t>
      </w:r>
    </w:p>
    <w:p>
      <w:r>
        <w:t>Monitor current ratio, quick ratio, working capital and closing cash together. A strong current ratio can still mask weak liquidity if assets are not readily collectible. Rising overdue AR combined with falling cash is a key warning signal.</w:t>
      </w:r>
    </w:p>
    <w:p>
      <w:pPr>
        <w:pStyle w:val="Heading2"/>
      </w:pPr>
      <w:r>
        <w:t>AR Aging &amp; Collection Risk</w:t>
      </w:r>
    </w:p>
    <w:p>
      <w:r>
        <w:t>Prioritize collections by outstanding value and age. The 61–90 and 90+ buckets should receive named owners, expected collection dates and escalation. Review material overdue balances monthly and connect collection performance to cash forecasts.</w:t>
      </w:r>
    </w:p>
    <w:p>
      <w:pPr>
        <w:pStyle w:val="Heading2"/>
      </w:pPr>
      <w:r>
        <w:t>AP Aging &amp; Supplier Risk</w:t>
      </w:r>
    </w:p>
    <w:p>
      <w:r>
        <w:t>Review overdue supplier obligations and payment timing. High overdue AP together with weak cash can indicate liquidity pressure. Payment scheduling should protect essential supplier relationships while preserving operating cash.</w:t>
      </w:r>
    </w:p>
    <w:p>
      <w:pPr>
        <w:pStyle w:val="Heading2"/>
      </w:pPr>
      <w:r>
        <w:t>Budget vs Actual</w:t>
      </w:r>
    </w:p>
    <w:p>
      <w:r>
        <w:t>Analyze budget utilization by department and category. Above 100% indicates overspending; 90–100% should be monitored closely. Every material variance should have a reason, owner, corrective action and follow-up date.</w:t>
      </w:r>
    </w:p>
    <w:p>
      <w:pPr>
        <w:pStyle w:val="Heading2"/>
      </w:pPr>
      <w:r>
        <w:t>Management Alerts</w:t>
      </w:r>
    </w:p>
    <w:p>
      <w:r>
        <w:t>Treat High alerts as action items, Watch alerts as preventive controls and OK as within-threshold performance. Repeated High/Watch alerts should be tracked until the underlying driver is resolved.</w:t>
      </w:r>
    </w:p>
    <w:p>
      <w:pPr>
        <w:pStyle w:val="Heading2"/>
      </w:pPr>
      <w:r>
        <w:t>Scenario Planning</w:t>
      </w:r>
    </w:p>
    <w:p>
      <w:r>
        <w:t>Use Base, Upside and Downside scenarios to test revenue, expense and profit sensitivity. The objective is to understand the range of outcomes and establish trigger points for cost controls, hiring, marketing spend and collection escalation.</w:t>
      </w:r>
    </w:p>
    <w:p>
      <w:pPr>
        <w:pStyle w:val="Heading2"/>
      </w:pPr>
      <w:r>
        <w:t>Monthly Management Routine</w:t>
      </w:r>
    </w:p>
    <w:p>
      <w:r>
        <w:t>Validate source data; review revenue and gross margin; investigate expense variances; review EBITDA and net profit; review AR/AP aging; review cash and liquidity; review budget utilization; resolve dashboard alerts; assign owners; update scenarios and document decisions.</w:t>
      </w:r>
    </w:p>
    <w:p>
      <w:pPr>
        <w:pStyle w:val="Heading2"/>
      </w:pPr>
      <w:r>
        <w:t>Data Governance</w:t>
      </w:r>
    </w:p>
    <w:p>
      <w:r>
        <w:t>Keep source transactions separate from calculations. Use real Excel dates, numeric monetary fields, controlled categories and formula-driven summaries. Reconcile transaction totals to management reports before major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