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b/>
          <w:color w:val="3E6FDB"/>
          <w:sz w:val="26"/>
        </w:rPr>
        <w:t>TRIPNEXIO</w:t>
      </w:r>
    </w:p>
    <w:p>
      <w:pPr>
        <w:pStyle w:val="Title"/>
        <w:jc w:val="center"/>
      </w:pPr>
      <w:r>
        <w:t>UAE VISA SERVICE PAGE</w:t>
      </w:r>
    </w:p>
    <w:p>
      <w:pPr>
        <w:jc w:val="center"/>
      </w:pPr>
      <w:r>
        <w:rPr>
          <w:b/>
          <w:color w:val="182A4D"/>
          <w:sz w:val="28"/>
        </w:rPr>
        <w:t>Final Website Content + UI/UX Design Handover + Service FAQ</w:t>
      </w:r>
    </w:p>
    <w:p>
      <w:pPr>
        <w:jc w:val="center"/>
      </w:pPr>
      <w:r>
        <w:rPr>
          <w:color w:val="59616F"/>
          <w:sz w:val="20"/>
        </w:rPr>
        <w:t>Simple • Clear • Modern • B2C</w:t>
      </w:r>
    </w:p>
    <w:tbl>
      <w:tblPr>
        <w:tblW w:type="auto" w:w="0"/>
        <w:jc w:val="center"/>
        <w:tblLook w:firstColumn="1" w:firstRow="1" w:lastColumn="0" w:lastRow="0" w:noHBand="0" w:noVBand="1" w:val="04A0"/>
      </w:tblPr>
      <w:tblGrid>
        <w:gridCol w:w="10282"/>
      </w:tblGrid>
      <w:tr>
        <w:tc>
          <w:tcPr>
            <w:tcW w:type="dxa" w:w="10282"/>
            <w:shd w:fill="F3F6FC"/>
            <w:tcBorders>
              <w:top w:val="single" w:sz="8" w:color="D9DEE8"/>
              <w:left w:val="single" w:sz="8" w:color="D9DEE8"/>
              <w:bottom w:val="single" w:sz="8" w:color="D9DEE8"/>
              <w:right w:val="single" w:sz="8" w:color="D9DEE8"/>
            </w:tcBorders>
            <w:tcMar>
              <w:top w:w="160" w:type="dxa"/>
              <w:start w:w="180" w:type="dxa"/>
              <w:bottom w:w="160" w:type="dxa"/>
              <w:end w:w="180" w:type="dxa"/>
            </w:tcMar>
          </w:tcPr>
          <w:p>
            <w:r>
              <w:rPr>
                <w:b/>
                <w:color w:val="182A4D"/>
              </w:rPr>
              <w:t xml:space="preserve">LOCKED POSITIONING  </w:t>
            </w:r>
            <w:r>
              <w:rPr>
                <w:color w:val="111318"/>
              </w:rPr>
              <w:t>UAE visa, made simple. Apply online, choose your visa option, and let TripNexio guide you from application to completion.</w:t>
            </w:r>
          </w:p>
        </w:tc>
      </w:tr>
    </w:tbl>
    <w:p>
      <w:pPr>
        <w:spacing w:after="0"/>
      </w:pPr>
    </w:p>
    <w:tbl>
      <w:tblPr>
        <w:tblW w:type="auto" w:w="0"/>
        <w:jc w:val="center"/>
        <w:tblLook w:firstColumn="1" w:firstRow="1" w:lastColumn="0" w:lastRow="0" w:noHBand="0" w:noVBand="1" w:val="04A0"/>
      </w:tblPr>
      <w:tblGrid>
        <w:gridCol w:w="10282"/>
      </w:tblGrid>
      <w:tr>
        <w:tc>
          <w:tcPr>
            <w:tcW w:type="dxa" w:w="10282"/>
            <w:shd w:fill="F7F5F0"/>
            <w:tcBorders>
              <w:top w:val="single" w:sz="8" w:color="D9DEE8"/>
              <w:left w:val="single" w:sz="8" w:color="D9DEE8"/>
              <w:bottom w:val="single" w:sz="8" w:color="D9DEE8"/>
              <w:right w:val="single" w:sz="8" w:color="D9DEE8"/>
            </w:tcBorders>
            <w:tcMar>
              <w:top w:w="160" w:type="dxa"/>
              <w:start w:w="180" w:type="dxa"/>
              <w:bottom w:w="160" w:type="dxa"/>
              <w:end w:w="180" w:type="dxa"/>
            </w:tcMar>
          </w:tcPr>
          <w:p>
            <w:r>
              <w:rPr>
                <w:b/>
                <w:color w:val="182A4D"/>
              </w:rPr>
              <w:t xml:space="preserve">PAGE PRINCIPLE  </w:t>
            </w:r>
            <w:r>
              <w:rPr>
                <w:color w:val="111318"/>
              </w:rPr>
              <w:t>Keep the page easy to scan and conversion-focused. Explain only what customers need before they apply; move detailed operational information into the application and booking journey.</w:t>
            </w:r>
          </w:p>
        </w:tc>
      </w:tr>
    </w:tbl>
    <w:p>
      <w:pPr>
        <w:spacing w:after="0"/>
      </w:pPr>
    </w:p>
    <w:p>
      <w:pPr>
        <w:pStyle w:val="Heading1"/>
        <w:spacing w:before="280" w:after="100"/>
      </w:pPr>
      <w:r>
        <w:rPr>
          <w:color w:val="182A4D"/>
        </w:rPr>
        <w:t>1. HERO — LOCKED CONTENT</w:t>
      </w:r>
    </w:p>
    <w:p>
      <w:r>
        <w:rPr>
          <w:b/>
          <w:color w:val="3E6FDB"/>
        </w:rPr>
        <w:t xml:space="preserve">Eyebrow: </w:t>
      </w:r>
      <w:r>
        <w:t>UAE VISA</w:t>
      </w:r>
    </w:p>
    <w:p>
      <w:r>
        <w:rPr>
          <w:b/>
          <w:color w:val="3E6FDB"/>
        </w:rPr>
        <w:t xml:space="preserve">Headline: </w:t>
      </w:r>
      <w:r>
        <w:t>UAE Visa Made Simple</w:t>
      </w:r>
    </w:p>
    <w:p>
      <w:r>
        <w:rPr>
          <w:b/>
          <w:color w:val="3E6FDB"/>
        </w:rPr>
        <w:t xml:space="preserve">Body: </w:t>
      </w:r>
      <w:r>
        <w:t>UAE visa, made simple. Apply online, choose your visa option, and let TripNexio guide you from application to completion.</w:t>
      </w:r>
    </w:p>
    <w:p>
      <w:r>
        <w:rPr>
          <w:b/>
          <w:color w:val="3E6FDB"/>
        </w:rPr>
        <w:t xml:space="preserve">Primary CTA: </w:t>
      </w:r>
      <w:r>
        <w:t>Apply for UAE Visa</w:t>
      </w:r>
    </w:p>
    <w:p>
      <w:r>
        <w:rPr>
          <w:b/>
          <w:color w:val="3E6FDB"/>
        </w:rPr>
        <w:t xml:space="preserve">Secondary CTA: </w:t>
      </w:r>
      <w:r>
        <w:t>Track Application</w:t>
      </w:r>
    </w:p>
    <w:p>
      <w:r>
        <w:t>Design direction: one strong UAE/Dubai visual, premium but minimal typography, generous whitespace, and one prominent primary CTA. Do not mention embassy, vendor, OCR, staff, Protection Plan, or internal operations in the hero.</w:t>
      </w:r>
    </w:p>
    <w:p>
      <w:pPr>
        <w:pStyle w:val="Heading1"/>
        <w:spacing w:before="280" w:after="100"/>
      </w:pPr>
      <w:r>
        <w:rPr>
          <w:color w:val="182A4D"/>
        </w:rPr>
        <w:t>2. WHAT IS A NEW VISA REQUEST?</w:t>
      </w:r>
    </w:p>
    <w:p>
      <w:r>
        <w:rPr>
          <w:b/>
          <w:color w:val="3E6FDB"/>
        </w:rPr>
        <w:t xml:space="preserve">Section heading: </w:t>
      </w:r>
      <w:r>
        <w:t>What is a New Visa Request?</w:t>
      </w:r>
    </w:p>
    <w:p>
      <w:r>
        <w:rPr>
          <w:b/>
          <w:color w:val="3E6FDB"/>
        </w:rPr>
        <w:t xml:space="preserve">Supporting heading: </w:t>
      </w:r>
      <w:r>
        <w:t>Your UAE visa application, guided end to end</w:t>
      </w:r>
    </w:p>
    <w:p>
      <w:r>
        <w:t>Applying for a UAE visa involves choosing the right visa option, sharing accurate traveller details and completing the required documents. TripNexio keeps the process simple, coordinates the next steps with the relevant processing partner or authority, and helps you track your application along the way.</w:t>
      </w:r>
    </w:p>
    <w:p>
      <w:r>
        <w:t>Optional alternate supporting line for shorter layouts: Apply online, share your travel details, and let TripNexio guide you through the next steps.</w:t>
      </w:r>
    </w:p>
    <w:p>
      <w:pPr>
        <w:pStyle w:val="Heading1"/>
        <w:spacing w:before="280" w:after="100"/>
      </w:pPr>
      <w:r>
        <w:rPr>
          <w:color w:val="182A4D"/>
        </w:rPr>
        <w:t>3. APPLY NOW → LOGIN / CONTINUE AS GUEST</w:t>
      </w:r>
    </w:p>
    <w:p>
      <w:r>
        <w:t>The Login / Guest choice must appear only after the customer clicks “Apply for UAE Visa”.</w:t>
      </w:r>
    </w:p>
    <w:tbl>
      <w:tblPr>
        <w:tblW w:type="auto" w:w="0"/>
        <w:jc w:val="center"/>
        <w:tblLook w:firstColumn="1" w:firstRow="1" w:lastColumn="0" w:lastRow="0" w:noHBand="0" w:noVBand="1" w:val="04A0"/>
      </w:tblPr>
      <w:tblGrid>
        <w:gridCol w:w="5141"/>
        <w:gridCol w:w="5141"/>
      </w:tblGrid>
      <w:tr>
        <w:tc>
          <w:tcPr>
            <w:tcW w:type="dxa" w:w="5141"/>
            <w:shd w:fill="EEF3FF"/>
            <w:tcBorders>
              <w:top w:val="single" w:sz="8" w:color="D9DEE8"/>
              <w:left w:val="single" w:sz="8" w:color="D9DEE8"/>
              <w:bottom w:val="single" w:sz="8" w:color="D9DEE8"/>
              <w:right w:val="single" w:sz="8" w:color="D9DEE8"/>
            </w:tcBorders>
            <w:tcMar>
              <w:top w:w="150" w:type="dxa"/>
              <w:start w:w="160" w:type="dxa"/>
              <w:bottom w:w="150" w:type="dxa"/>
              <w:end w:w="160" w:type="dxa"/>
            </w:tcMar>
          </w:tcPr>
          <w:p>
            <w:r>
              <w:rPr>
                <w:b/>
                <w:color w:val="182A4D"/>
              </w:rPr>
              <w:t>LOGIN</w:t>
            </w:r>
          </w:p>
          <w:p>
            <w:r>
              <w:rPr>
                <w:color w:val="111318"/>
              </w:rPr>
              <w:t>Sign in to your TripNexio account. Use the account to manage applications, bookings, documents and status updates. Google Sign-In may be offered here.</w:t>
            </w:r>
          </w:p>
        </w:tc>
        <w:tc>
          <w:tcPr>
            <w:tcW w:type="dxa" w:w="5141"/>
            <w:shd w:fill="F7F5F0"/>
            <w:tcBorders>
              <w:top w:val="single" w:sz="8" w:color="D9DEE8"/>
              <w:left w:val="single" w:sz="8" w:color="D9DEE8"/>
              <w:bottom w:val="single" w:sz="8" w:color="D9DEE8"/>
              <w:right w:val="single" w:sz="8" w:color="D9DEE8"/>
            </w:tcBorders>
            <w:tcMar>
              <w:top w:w="150" w:type="dxa"/>
              <w:start w:w="160" w:type="dxa"/>
              <w:bottom w:w="150" w:type="dxa"/>
              <w:end w:w="160" w:type="dxa"/>
            </w:tcMar>
          </w:tcPr>
          <w:p>
            <w:r>
              <w:rPr>
                <w:b/>
                <w:color w:val="182A4D"/>
              </w:rPr>
              <w:t>CONTINUE AS GUEST</w:t>
            </w:r>
          </w:p>
          <w:p>
            <w:r>
              <w:rPr>
                <w:color w:val="111318"/>
              </w:rPr>
              <w:t>Start the application without creating an account. Use the applicant mobile number and email address for the booking and future tracking.</w:t>
            </w:r>
          </w:p>
        </w:tc>
      </w:tr>
    </w:tbl>
    <w:p>
      <w:r>
        <w:t>Developer rule: Login and Guest must use the same booking journey and customer data model. A guest should not be forced to create an account before starting the application.</w:t>
      </w:r>
    </w:p>
    <w:p>
      <w:pPr>
        <w:pStyle w:val="Heading1"/>
        <w:spacing w:before="280" w:after="100"/>
      </w:pPr>
      <w:r>
        <w:rPr>
          <w:color w:val="182A4D"/>
        </w:rPr>
        <w:t>4. UAE VISA OPTIONS — PRODUCT CARDS</w:t>
      </w:r>
    </w:p>
    <w:p>
      <w:r>
        <w:t>The product area is the main conversion block near the top of the page. Customers should understand the product, key conditions, processing choice and price directly from the card.</w:t>
      </w:r>
    </w:p>
    <w:p>
      <w:r>
        <w:rPr>
          <w:b/>
          <w:color w:val="3E6FDB"/>
        </w:rPr>
        <w:t xml:space="preserve">Selection controls: </w:t>
      </w:r>
      <w:r>
        <w:t>Stay Duration → 30 Days / 60 Days  •  Entry Type → Single Entry / Multiple Entry  •  Travellers → Adults [−] 0 [+] and Children [−] 0 [+]</w:t>
      </w:r>
    </w:p>
    <w:tbl>
      <w:tblPr>
        <w:tblW w:type="auto" w:w="0"/>
        <w:jc w:val="center"/>
        <w:tblLook w:firstColumn="1" w:firstRow="1" w:lastColumn="0" w:lastRow="0" w:noHBand="0" w:noVBand="1" w:val="04A0"/>
      </w:tblPr>
      <w:tblGrid>
        <w:gridCol w:w="5141"/>
        <w:gridCol w:w="5141"/>
      </w:tblGrid>
      <w:tr>
        <w:tc>
          <w:tcPr>
            <w:tcW w:type="dxa" w:w="5141"/>
            <w:shd w:fill="182A4D"/>
          </w:tcPr>
          <w:p>
            <w:r>
              <w:rPr>
                <w:b/>
                <w:color w:val="FFFFFF"/>
              </w:rPr>
              <w:t>PRODUCT CARD CONTENT</w:t>
            </w:r>
          </w:p>
        </w:tc>
        <w:tc>
          <w:tcPr>
            <w:tcW w:type="dxa" w:w="5141"/>
            <w:shd w:fill="182A4D"/>
          </w:tcPr>
          <w:p>
            <w:r>
              <w:rPr>
                <w:b/>
                <w:color w:val="FFFFFF"/>
              </w:rPr>
              <w:t>DYNAMIC TRAVELLER CONTROL</w:t>
            </w:r>
          </w:p>
        </w:tc>
      </w:tr>
      <w:tr>
        <w:tc>
          <w:tcPr>
            <w:tcW w:type="dxa" w:w="5141"/>
            <w:tcBorders>
              <w:top w:val="single" w:sz="6" w:color="D9DEE8"/>
              <w:left w:val="single" w:sz="6" w:color="D9DEE8"/>
              <w:bottom w:val="single" w:sz="6" w:color="D9DEE8"/>
              <w:right w:val="single" w:sz="6" w:color="D9DEE8"/>
            </w:tcBorders>
            <w:tcMar>
              <w:top w:w="100" w:type="dxa"/>
              <w:start w:w="120" w:type="dxa"/>
              <w:bottom w:w="100" w:type="dxa"/>
              <w:end w:w="120" w:type="dxa"/>
            </w:tcMar>
          </w:tcPr>
          <w:p>
            <w:r>
              <w:t>30 Days • Single Entry</w:t>
            </w:r>
          </w:p>
        </w:tc>
        <w:tc>
          <w:tcPr>
            <w:tcW w:type="dxa" w:w="5141"/>
            <w:tcBorders>
              <w:top w:val="single" w:sz="6" w:color="D9DEE8"/>
              <w:left w:val="single" w:sz="6" w:color="D9DEE8"/>
              <w:bottom w:val="single" w:sz="6" w:color="D9DEE8"/>
              <w:right w:val="single" w:sz="6" w:color="D9DEE8"/>
            </w:tcBorders>
            <w:tcMar>
              <w:top w:w="100" w:type="dxa"/>
              <w:start w:w="120" w:type="dxa"/>
              <w:bottom w:w="100" w:type="dxa"/>
              <w:end w:w="120" w:type="dxa"/>
            </w:tcMar>
          </w:tcPr>
          <w:p>
            <w:r>
              <w:t>Adult 1  −  +   |   Child 0  −  +</w:t>
            </w:r>
          </w:p>
        </w:tc>
      </w:tr>
      <w:tr>
        <w:tc>
          <w:tcPr>
            <w:tcW w:type="dxa" w:w="5141"/>
            <w:tcBorders>
              <w:top w:val="single" w:sz="6" w:color="D9DEE8"/>
              <w:left w:val="single" w:sz="6" w:color="D9DEE8"/>
              <w:bottom w:val="single" w:sz="6" w:color="D9DEE8"/>
              <w:right w:val="single" w:sz="6" w:color="D9DEE8"/>
            </w:tcBorders>
            <w:tcMar>
              <w:top w:w="100" w:type="dxa"/>
              <w:start w:w="120" w:type="dxa"/>
              <w:bottom w:w="100" w:type="dxa"/>
              <w:end w:w="120" w:type="dxa"/>
            </w:tcMar>
          </w:tcPr>
          <w:p>
            <w:r>
              <w:t>Stay Duration</w:t>
            </w:r>
          </w:p>
        </w:tc>
        <w:tc>
          <w:tcPr>
            <w:tcW w:type="dxa" w:w="5141"/>
            <w:tcBorders>
              <w:top w:val="single" w:sz="6" w:color="D9DEE8"/>
              <w:left w:val="single" w:sz="6" w:color="D9DEE8"/>
              <w:bottom w:val="single" w:sz="6" w:color="D9DEE8"/>
              <w:right w:val="single" w:sz="6" w:color="D9DEE8"/>
            </w:tcBorders>
            <w:tcMar>
              <w:top w:w="100" w:type="dxa"/>
              <w:start w:w="120" w:type="dxa"/>
              <w:bottom w:w="100" w:type="dxa"/>
              <w:end w:w="120" w:type="dxa"/>
            </w:tcMar>
          </w:tcPr>
          <w:p>
            <w:r>
              <w:t>Updates automatically from selected product</w:t>
            </w:r>
          </w:p>
        </w:tc>
      </w:tr>
      <w:tr>
        <w:tc>
          <w:tcPr>
            <w:tcW w:type="dxa" w:w="5141"/>
            <w:tcBorders>
              <w:top w:val="single" w:sz="6" w:color="D9DEE8"/>
              <w:left w:val="single" w:sz="6" w:color="D9DEE8"/>
              <w:bottom w:val="single" w:sz="6" w:color="D9DEE8"/>
              <w:right w:val="single" w:sz="6" w:color="D9DEE8"/>
            </w:tcBorders>
            <w:tcMar>
              <w:top w:w="100" w:type="dxa"/>
              <w:start w:w="120" w:type="dxa"/>
              <w:bottom w:w="100" w:type="dxa"/>
              <w:end w:w="120" w:type="dxa"/>
            </w:tcMar>
          </w:tcPr>
          <w:p>
            <w:r>
              <w:t>Visa Validity</w:t>
            </w:r>
          </w:p>
        </w:tc>
        <w:tc>
          <w:tcPr>
            <w:tcW w:type="dxa" w:w="5141"/>
            <w:tcBorders>
              <w:top w:val="single" w:sz="6" w:color="D9DEE8"/>
              <w:left w:val="single" w:sz="6" w:color="D9DEE8"/>
              <w:bottom w:val="single" w:sz="6" w:color="D9DEE8"/>
              <w:right w:val="single" w:sz="6" w:color="D9DEE8"/>
            </w:tcBorders>
            <w:tcMar>
              <w:top w:w="100" w:type="dxa"/>
              <w:start w:w="120" w:type="dxa"/>
              <w:bottom w:w="100" w:type="dxa"/>
              <w:end w:w="120" w:type="dxa"/>
            </w:tcMar>
          </w:tcPr>
          <w:p>
            <w:r>
              <w:t>As per issued visa</w:t>
            </w:r>
          </w:p>
        </w:tc>
      </w:tr>
      <w:tr>
        <w:tc>
          <w:tcPr>
            <w:tcW w:type="dxa" w:w="5141"/>
            <w:tcBorders>
              <w:top w:val="single" w:sz="6" w:color="D9DEE8"/>
              <w:left w:val="single" w:sz="6" w:color="D9DEE8"/>
              <w:bottom w:val="single" w:sz="6" w:color="D9DEE8"/>
              <w:right w:val="single" w:sz="6" w:color="D9DEE8"/>
            </w:tcBorders>
            <w:tcMar>
              <w:top w:w="100" w:type="dxa"/>
              <w:start w:w="120" w:type="dxa"/>
              <w:bottom w:w="100" w:type="dxa"/>
              <w:end w:w="120" w:type="dxa"/>
            </w:tcMar>
          </w:tcPr>
          <w:p>
            <w:r>
              <w:t>Entry Type</w:t>
            </w:r>
          </w:p>
        </w:tc>
        <w:tc>
          <w:tcPr>
            <w:tcW w:type="dxa" w:w="5141"/>
            <w:tcBorders>
              <w:top w:val="single" w:sz="6" w:color="D9DEE8"/>
              <w:left w:val="single" w:sz="6" w:color="D9DEE8"/>
              <w:bottom w:val="single" w:sz="6" w:color="D9DEE8"/>
              <w:right w:val="single" w:sz="6" w:color="D9DEE8"/>
            </w:tcBorders>
            <w:tcMar>
              <w:top w:w="100" w:type="dxa"/>
              <w:start w:w="120" w:type="dxa"/>
              <w:bottom w:w="100" w:type="dxa"/>
              <w:end w:w="120" w:type="dxa"/>
            </w:tcMar>
          </w:tcPr>
          <w:p>
            <w:r>
              <w:t>Single Entry / Multiple Entry</w:t>
            </w:r>
          </w:p>
        </w:tc>
      </w:tr>
      <w:tr>
        <w:tc>
          <w:tcPr>
            <w:tcW w:type="dxa" w:w="5141"/>
            <w:tcBorders>
              <w:top w:val="single" w:sz="6" w:color="D9DEE8"/>
              <w:left w:val="single" w:sz="6" w:color="D9DEE8"/>
              <w:bottom w:val="single" w:sz="6" w:color="D9DEE8"/>
              <w:right w:val="single" w:sz="6" w:color="D9DEE8"/>
            </w:tcBorders>
            <w:tcMar>
              <w:top w:w="100" w:type="dxa"/>
              <w:start w:w="120" w:type="dxa"/>
              <w:bottom w:w="100" w:type="dxa"/>
              <w:end w:w="120" w:type="dxa"/>
            </w:tcMar>
          </w:tcPr>
          <w:p>
            <w:r>
              <w:t>Processing Time</w:t>
            </w:r>
          </w:p>
        </w:tc>
        <w:tc>
          <w:tcPr>
            <w:tcW w:type="dxa" w:w="5141"/>
            <w:tcBorders>
              <w:top w:val="single" w:sz="6" w:color="D9DEE8"/>
              <w:left w:val="single" w:sz="6" w:color="D9DEE8"/>
              <w:bottom w:val="single" w:sz="6" w:color="D9DEE8"/>
              <w:right w:val="single" w:sz="6" w:color="D9DEE8"/>
            </w:tcBorders>
            <w:tcMar>
              <w:top w:w="100" w:type="dxa"/>
              <w:start w:w="120" w:type="dxa"/>
              <w:bottom w:w="100" w:type="dxa"/>
              <w:end w:w="120" w:type="dxa"/>
            </w:tcMar>
          </w:tcPr>
          <w:p>
            <w:r>
              <w:t>Normal / Express</w:t>
            </w:r>
          </w:p>
        </w:tc>
      </w:tr>
      <w:tr>
        <w:tc>
          <w:tcPr>
            <w:tcW w:type="dxa" w:w="5141"/>
            <w:tcBorders>
              <w:top w:val="single" w:sz="6" w:color="D9DEE8"/>
              <w:left w:val="single" w:sz="6" w:color="D9DEE8"/>
              <w:bottom w:val="single" w:sz="6" w:color="D9DEE8"/>
              <w:right w:val="single" w:sz="6" w:color="D9DEE8"/>
            </w:tcBorders>
            <w:tcMar>
              <w:top w:w="100" w:type="dxa"/>
              <w:start w:w="120" w:type="dxa"/>
              <w:bottom w:w="100" w:type="dxa"/>
              <w:end w:w="120" w:type="dxa"/>
            </w:tcMar>
          </w:tcPr>
          <w:p>
            <w:r>
              <w:t>Price</w:t>
            </w:r>
          </w:p>
        </w:tc>
        <w:tc>
          <w:tcPr>
            <w:tcW w:type="dxa" w:w="5141"/>
            <w:tcBorders>
              <w:top w:val="single" w:sz="6" w:color="D9DEE8"/>
              <w:left w:val="single" w:sz="6" w:color="D9DEE8"/>
              <w:bottom w:val="single" w:sz="6" w:color="D9DEE8"/>
              <w:right w:val="single" w:sz="6" w:color="D9DEE8"/>
            </w:tcBorders>
            <w:tcMar>
              <w:top w:w="100" w:type="dxa"/>
              <w:start w:w="120" w:type="dxa"/>
              <w:bottom w:w="100" w:type="dxa"/>
              <w:end w:w="120" w:type="dxa"/>
            </w:tcMar>
          </w:tcPr>
          <w:p>
            <w:r>
              <w:t>Configured price for selected product + traveller quantities</w:t>
            </w:r>
          </w:p>
        </w:tc>
      </w:tr>
      <w:tr>
        <w:tc>
          <w:tcPr>
            <w:tcW w:type="dxa" w:w="5141"/>
            <w:tcBorders>
              <w:top w:val="single" w:sz="6" w:color="D9DEE8"/>
              <w:left w:val="single" w:sz="6" w:color="D9DEE8"/>
              <w:bottom w:val="single" w:sz="6" w:color="D9DEE8"/>
              <w:right w:val="single" w:sz="6" w:color="D9DEE8"/>
            </w:tcBorders>
            <w:tcMar>
              <w:top w:w="100" w:type="dxa"/>
              <w:start w:w="120" w:type="dxa"/>
              <w:bottom w:w="100" w:type="dxa"/>
              <w:end w:w="120" w:type="dxa"/>
            </w:tcMar>
          </w:tcPr>
          <w:p>
            <w:r>
              <w:t>CTA</w:t>
            </w:r>
          </w:p>
        </w:tc>
        <w:tc>
          <w:tcPr>
            <w:tcW w:type="dxa" w:w="5141"/>
            <w:tcBorders>
              <w:top w:val="single" w:sz="6" w:color="D9DEE8"/>
              <w:left w:val="single" w:sz="6" w:color="D9DEE8"/>
              <w:bottom w:val="single" w:sz="6" w:color="D9DEE8"/>
              <w:right w:val="single" w:sz="6" w:color="D9DEE8"/>
            </w:tcBorders>
            <w:tcMar>
              <w:top w:w="100" w:type="dxa"/>
              <w:start w:w="120" w:type="dxa"/>
              <w:bottom w:w="100" w:type="dxa"/>
              <w:end w:w="120" w:type="dxa"/>
            </w:tcMar>
          </w:tcPr>
          <w:p>
            <w:r>
              <w:t>Apply Now →</w:t>
            </w:r>
          </w:p>
        </w:tc>
      </w:tr>
    </w:tbl>
    <w:p>
      <w:r>
        <w:t>Product matrix: 30 Days / 60 Days × Single Entry / Multiple Entry. Adult and Child are traveller quantities with separately configurable pricing. Future “Add Traveller” actions should update traveller count and total price dynamically.</w:t>
      </w:r>
    </w:p>
    <w:p>
      <w:r>
        <w:t>Only active products configured in Admin should be shown. Do not hard-code public availability or prices in the page copy.</w:t>
      </w:r>
    </w:p>
    <w:p>
      <w:pPr>
        <w:pStyle w:val="Heading1"/>
        <w:spacing w:before="280" w:after="100"/>
      </w:pPr>
      <w:r>
        <w:rPr>
          <w:color w:val="182A4D"/>
        </w:rPr>
        <w:t>5. UAE VISA APPLICATIONS FROM ACROSS INDIA</w:t>
      </w:r>
    </w:p>
    <w:p>
      <w:r>
        <w:rPr>
          <w:b/>
          <w:color w:val="3E6FDB"/>
        </w:rPr>
        <w:t xml:space="preserve">Section heading: </w:t>
      </w:r>
      <w:r>
        <w:t>UAE Visa Applications From Across India</w:t>
      </w:r>
    </w:p>
    <w:p>
      <w:r>
        <w:t>Locked supporting copy: From every Indian state to different applicant profiles, TripNexio provides a simple way to apply for your UAE visa online.</w:t>
      </w:r>
    </w:p>
    <w:p>
      <w:r>
        <w:t>Design: one heading, one sentence and a simple India/location visual or minimal applicant icons. Do not add a long occupation list.</w:t>
      </w:r>
    </w:p>
    <w:p>
      <w:pPr>
        <w:pStyle w:val="Heading1"/>
        <w:spacing w:before="280" w:after="100"/>
      </w:pPr>
      <w:r>
        <w:rPr>
          <w:color w:val="182A4D"/>
        </w:rPr>
        <w:t>6. WHAT YOU’LL NEED + DOCUMENTS</w:t>
      </w:r>
    </w:p>
    <w:p>
      <w:r>
        <w:rPr>
          <w:b/>
          <w:color w:val="182A4D"/>
          <w:sz w:val="26"/>
        </w:rPr>
        <w:t>What you’ll need</w:t>
      </w:r>
    </w:p>
    <w:p>
      <w:pPr>
        <w:pStyle w:val="ListBullet"/>
        <w:spacing w:after="80"/>
      </w:pPr>
      <w:r>
        <w:t>Applicant name, mobile number and email address</w:t>
      </w:r>
    </w:p>
    <w:p>
      <w:pPr>
        <w:pStyle w:val="ListBullet"/>
        <w:spacing w:after="80"/>
      </w:pPr>
      <w:r>
        <w:t>Traveller basic details</w:t>
      </w:r>
    </w:p>
    <w:p>
      <w:pPr>
        <w:pStyle w:val="ListBullet"/>
        <w:spacing w:after="80"/>
      </w:pPr>
      <w:r>
        <w:t>Occupation / profile information</w:t>
      </w:r>
    </w:p>
    <w:p>
      <w:pPr>
        <w:pStyle w:val="ListBullet"/>
        <w:spacing w:after="80"/>
      </w:pPr>
      <w:r>
        <w:t>Expected travel date</w:t>
      </w:r>
    </w:p>
    <w:p>
      <w:pPr>
        <w:pStyle w:val="ListBullet"/>
        <w:spacing w:after="80"/>
      </w:pPr>
      <w:r>
        <w:t>Selected visa option, visa type and processing preference</w:t>
      </w:r>
    </w:p>
    <w:p>
      <w:r>
        <w:rPr>
          <w:b/>
          <w:color w:val="182A4D"/>
          <w:sz w:val="26"/>
        </w:rPr>
        <w:t>Documents required</w:t>
      </w:r>
    </w:p>
    <w:tbl>
      <w:tblPr>
        <w:tblW w:type="auto" w:w="0"/>
        <w:jc w:val="center"/>
        <w:tblLook w:firstColumn="1" w:firstRow="1" w:lastColumn="0" w:lastRow="0" w:noHBand="0" w:noVBand="1" w:val="04A0"/>
      </w:tblPr>
      <w:tblGrid>
        <w:gridCol w:w="3427"/>
        <w:gridCol w:w="3427"/>
        <w:gridCol w:w="3427"/>
      </w:tblGrid>
      <w:tr>
        <w:tc>
          <w:tcPr>
            <w:tcW w:type="dxa" w:w="3427"/>
            <w:shd w:fill="F7F5F0"/>
            <w:tcBorders>
              <w:top w:val="single" w:sz="8" w:color="D9DEE8"/>
              <w:left w:val="single" w:sz="8" w:color="D9DEE8"/>
              <w:bottom w:val="single" w:sz="8" w:color="D9DEE8"/>
              <w:right w:val="single" w:sz="8" w:color="D9DEE8"/>
            </w:tcBorders>
            <w:tcMar>
              <w:top w:w="160" w:type="dxa"/>
              <w:start w:w="120" w:type="dxa"/>
              <w:bottom w:w="160" w:type="dxa"/>
              <w:end w:w="120" w:type="dxa"/>
            </w:tcMar>
          </w:tcPr>
          <w:p>
            <w:pPr>
              <w:jc w:val="center"/>
            </w:pPr>
            <w:r>
              <w:rPr>
                <w:b/>
                <w:color w:val="182A4D"/>
              </w:rPr>
              <w:t>PASSPORT FRONT PAGE</w:t>
            </w:r>
          </w:p>
        </w:tc>
        <w:tc>
          <w:tcPr>
            <w:tcW w:type="dxa" w:w="3427"/>
            <w:shd w:fill="F7F5F0"/>
            <w:tcBorders>
              <w:top w:val="single" w:sz="8" w:color="D9DEE8"/>
              <w:left w:val="single" w:sz="8" w:color="D9DEE8"/>
              <w:bottom w:val="single" w:sz="8" w:color="D9DEE8"/>
              <w:right w:val="single" w:sz="8" w:color="D9DEE8"/>
            </w:tcBorders>
            <w:tcMar>
              <w:top w:w="160" w:type="dxa"/>
              <w:start w:w="120" w:type="dxa"/>
              <w:bottom w:w="160" w:type="dxa"/>
              <w:end w:w="120" w:type="dxa"/>
            </w:tcMar>
          </w:tcPr>
          <w:p>
            <w:pPr>
              <w:jc w:val="center"/>
            </w:pPr>
            <w:r>
              <w:rPr>
                <w:b/>
                <w:color w:val="182A4D"/>
              </w:rPr>
              <w:t>PASSPORT LAST PAGE</w:t>
            </w:r>
          </w:p>
        </w:tc>
        <w:tc>
          <w:tcPr>
            <w:tcW w:type="dxa" w:w="3427"/>
            <w:shd w:fill="F7F5F0"/>
            <w:tcBorders>
              <w:top w:val="single" w:sz="8" w:color="D9DEE8"/>
              <w:left w:val="single" w:sz="8" w:color="D9DEE8"/>
              <w:bottom w:val="single" w:sz="8" w:color="D9DEE8"/>
              <w:right w:val="single" w:sz="8" w:color="D9DEE8"/>
            </w:tcBorders>
            <w:tcMar>
              <w:top w:w="160" w:type="dxa"/>
              <w:start w:w="120" w:type="dxa"/>
              <w:bottom w:w="160" w:type="dxa"/>
              <w:end w:w="120" w:type="dxa"/>
            </w:tcMar>
          </w:tcPr>
          <w:p>
            <w:pPr>
              <w:jc w:val="center"/>
            </w:pPr>
            <w:r>
              <w:rPr>
                <w:b/>
                <w:color w:val="182A4D"/>
              </w:rPr>
              <w:t>PASSPORT PHOTOGRAPH</w:t>
            </w:r>
          </w:p>
        </w:tc>
      </w:tr>
    </w:tbl>
    <w:tbl>
      <w:tblPr>
        <w:tblW w:type="auto" w:w="0"/>
        <w:jc w:val="center"/>
        <w:tblLook w:firstColumn="1" w:firstRow="1" w:lastColumn="0" w:lastRow="0" w:noHBand="0" w:noVBand="1" w:val="04A0"/>
      </w:tblPr>
      <w:tblGrid>
        <w:gridCol w:w="10282"/>
      </w:tblGrid>
      <w:tr>
        <w:tc>
          <w:tcPr>
            <w:tcW w:type="dxa" w:w="10282"/>
            <w:shd w:fill="FFF7E8"/>
            <w:tcBorders>
              <w:top w:val="single" w:sz="8" w:color="D9DEE8"/>
              <w:left w:val="single" w:sz="8" w:color="D9DEE8"/>
              <w:bottom w:val="single" w:sz="8" w:color="D9DEE8"/>
              <w:right w:val="single" w:sz="8" w:color="D9DEE8"/>
            </w:tcBorders>
            <w:tcMar>
              <w:top w:w="160" w:type="dxa"/>
              <w:start w:w="180" w:type="dxa"/>
              <w:bottom w:w="160" w:type="dxa"/>
              <w:end w:w="180" w:type="dxa"/>
            </w:tcMar>
          </w:tcPr>
          <w:p>
            <w:r>
              <w:rPr>
                <w:b/>
                <w:color w:val="182A4D"/>
              </w:rPr>
              <w:t xml:space="preserve">NOTE  </w:t>
            </w:r>
            <w:r>
              <w:rPr>
                <w:color w:val="111318"/>
              </w:rPr>
              <w:t>Additional documents may be requested depending on the application, traveller profile or authority requirements.</w:t>
            </w:r>
          </w:p>
        </w:tc>
      </w:tr>
    </w:tbl>
    <w:p>
      <w:pPr>
        <w:spacing w:after="0"/>
      </w:pPr>
    </w:p>
    <w:p>
      <w:r>
        <w:t>Flow rule: document upload becomes available after successful payment and Booking ID creation. The page should explain this clearly without making the pre-payment form look document-heavy.</w:t>
      </w:r>
    </w:p>
    <w:p>
      <w:pPr>
        <w:pStyle w:val="Heading1"/>
        <w:spacing w:before="280" w:after="100"/>
      </w:pPr>
      <w:r>
        <w:rPr>
          <w:color w:val="182A4D"/>
        </w:rPr>
        <w:t>7. TRAVELLING WITH CHILDREN</w:t>
      </w:r>
    </w:p>
    <w:p>
      <w:r>
        <w:t>Applicants under 18 years must apply with at least one parent in the same booking. The child must be linked to that parent. Adult and Child pricing can be configured separately.</w:t>
      </w:r>
    </w:p>
    <w:p>
      <w:pPr>
        <w:pStyle w:val="Heading1"/>
        <w:spacing w:before="280" w:after="100"/>
      </w:pPr>
      <w:r>
        <w:rPr>
          <w:color w:val="182A4D"/>
        </w:rPr>
        <w:t>8. PROCESSING TIME</w:t>
      </w:r>
    </w:p>
    <w:tbl>
      <w:tblPr>
        <w:tblW w:type="auto" w:w="0"/>
        <w:jc w:val="center"/>
        <w:tblLook w:firstColumn="1" w:firstRow="1" w:lastColumn="0" w:lastRow="0" w:noHBand="0" w:noVBand="1" w:val="04A0"/>
      </w:tblPr>
      <w:tblGrid>
        <w:gridCol w:w="5141"/>
        <w:gridCol w:w="5141"/>
      </w:tblGrid>
      <w:tr>
        <w:tc>
          <w:tcPr>
            <w:tcW w:type="dxa" w:w="5141"/>
            <w:shd w:fill="EEF3FF"/>
            <w:tcBorders>
              <w:top w:val="single" w:sz="8" w:color="D9DEE8"/>
              <w:left w:val="single" w:sz="8" w:color="D9DEE8"/>
              <w:bottom w:val="single" w:sz="8" w:color="D9DEE8"/>
              <w:right w:val="single" w:sz="8" w:color="D9DEE8"/>
            </w:tcBorders>
            <w:tcMar>
              <w:top w:w="160" w:type="dxa"/>
              <w:start w:w="170" w:type="dxa"/>
              <w:bottom w:w="160" w:type="dxa"/>
              <w:end w:w="170" w:type="dxa"/>
            </w:tcMar>
          </w:tcPr>
          <w:p>
            <w:r>
              <w:rPr>
                <w:b/>
                <w:color w:val="182A4D"/>
              </w:rPr>
              <w:t>NORMAL</w:t>
            </w:r>
          </w:p>
          <w:p>
            <w:r>
              <w:rPr>
                <w:color w:val="111318"/>
              </w:rPr>
              <w:t>Minimum planned travel timeline: 7 days</w:t>
            </w:r>
          </w:p>
        </w:tc>
        <w:tc>
          <w:tcPr>
            <w:tcW w:type="dxa" w:w="5141"/>
            <w:shd w:fill="FFF4E5"/>
            <w:tcBorders>
              <w:top w:val="single" w:sz="8" w:color="D9DEE8"/>
              <w:left w:val="single" w:sz="8" w:color="D9DEE8"/>
              <w:bottom w:val="single" w:sz="8" w:color="D9DEE8"/>
              <w:right w:val="single" w:sz="8" w:color="D9DEE8"/>
            </w:tcBorders>
            <w:tcMar>
              <w:top w:w="160" w:type="dxa"/>
              <w:start w:w="170" w:type="dxa"/>
              <w:bottom w:w="160" w:type="dxa"/>
              <w:end w:w="170" w:type="dxa"/>
            </w:tcMar>
          </w:tcPr>
          <w:p>
            <w:r>
              <w:rPr>
                <w:b/>
                <w:color w:val="182A4D"/>
              </w:rPr>
              <w:t>EXPRESS</w:t>
            </w:r>
          </w:p>
          <w:p>
            <w:r>
              <w:rPr>
                <w:color w:val="111318"/>
              </w:rPr>
              <w:t>Minimum planned travel timeline: 3 days</w:t>
            </w:r>
          </w:p>
        </w:tc>
      </w:tr>
    </w:tbl>
    <w:p>
      <w:r>
        <w:t>Use “Normal” and “Express” consistently. Processing timelines depend on document readiness, working days, holidays, configured service timelines and authority processing. Processing type does not guarantee visa approval or a fixed authority decision time.</w:t>
      </w:r>
    </w:p>
    <w:p>
      <w:pPr>
        <w:pStyle w:val="Heading1"/>
        <w:spacing w:before="280" w:after="100"/>
      </w:pPr>
      <w:r>
        <w:rPr>
          <w:color w:val="182A4D"/>
        </w:rPr>
        <w:t>9. THE VISA PROCESS — REFERENCE-STYLE VISUAL</w:t>
      </w:r>
    </w:p>
    <w:p>
      <w:r>
        <w:t>Use the supplied reference image as the visual benchmark: a large curved path/route, four numbered milestones, large short headlines, one short supporting line per step, generous white space, and a small live current-status card if useful.</w:t>
      </w:r>
    </w:p>
    <w:tbl>
      <w:tblPr>
        <w:tblW w:type="auto" w:w="0"/>
        <w:jc w:val="center"/>
        <w:tblLook w:firstColumn="1" w:firstRow="1" w:lastColumn="0" w:lastRow="0" w:noHBand="0" w:noVBand="1" w:val="04A0"/>
      </w:tblPr>
      <w:tblGrid>
        <w:gridCol w:w="3427"/>
        <w:gridCol w:w="3427"/>
        <w:gridCol w:w="3427"/>
      </w:tblGrid>
      <w:tr>
        <w:tc>
          <w:tcPr>
            <w:tcW w:type="dxa" w:w="3427"/>
            <w:shd w:fill="182A4D"/>
          </w:tcPr>
          <w:p>
            <w:r>
              <w:rPr>
                <w:b/>
                <w:color w:val="FFFFFF"/>
              </w:rPr>
              <w:t>STEP</w:t>
            </w:r>
          </w:p>
        </w:tc>
        <w:tc>
          <w:tcPr>
            <w:tcW w:type="dxa" w:w="3427"/>
            <w:shd w:fill="182A4D"/>
          </w:tcPr>
          <w:p>
            <w:r>
              <w:rPr>
                <w:b/>
                <w:color w:val="FFFFFF"/>
              </w:rPr>
              <w:t>HEADLINE</w:t>
            </w:r>
          </w:p>
        </w:tc>
        <w:tc>
          <w:tcPr>
            <w:tcW w:type="dxa" w:w="3427"/>
            <w:shd w:fill="182A4D"/>
          </w:tcPr>
          <w:p>
            <w:r>
              <w:rPr>
                <w:b/>
                <w:color w:val="FFFFFF"/>
              </w:rPr>
              <w:t>SUPPORTING COPY</w:t>
            </w:r>
          </w:p>
        </w:tc>
      </w:tr>
      <w:tr>
        <w:tc>
          <w:tcPr>
            <w:tcW w:type="dxa" w:w="3427"/>
            <w:tcBorders>
              <w:top w:val="single" w:sz="6" w:color="D9DEE8"/>
              <w:left w:val="single" w:sz="6" w:color="D9DEE8"/>
              <w:bottom w:val="single" w:sz="6" w:color="D9DEE8"/>
              <w:right w:val="single" w:sz="6" w:color="D9DEE8"/>
            </w:tcBorders>
            <w:tcMar>
              <w:top w:w="110" w:type="dxa"/>
              <w:start w:w="120" w:type="dxa"/>
              <w:bottom w:w="110" w:type="dxa"/>
              <w:end w:w="120" w:type="dxa"/>
            </w:tcMar>
          </w:tcPr>
          <w:p>
            <w:r>
              <w:t>01</w:t>
            </w:r>
          </w:p>
        </w:tc>
        <w:tc>
          <w:tcPr>
            <w:tcW w:type="dxa" w:w="3427"/>
            <w:tcBorders>
              <w:top w:val="single" w:sz="6" w:color="D9DEE8"/>
              <w:left w:val="single" w:sz="6" w:color="D9DEE8"/>
              <w:bottom w:val="single" w:sz="6" w:color="D9DEE8"/>
              <w:right w:val="single" w:sz="6" w:color="D9DEE8"/>
            </w:tcBorders>
            <w:tcMar>
              <w:top w:w="110" w:type="dxa"/>
              <w:start w:w="120" w:type="dxa"/>
              <w:bottom w:w="110" w:type="dxa"/>
              <w:end w:w="120" w:type="dxa"/>
            </w:tcMar>
          </w:tcPr>
          <w:p>
            <w:r>
              <w:t>Apply online</w:t>
            </w:r>
          </w:p>
        </w:tc>
        <w:tc>
          <w:tcPr>
            <w:tcW w:type="dxa" w:w="3427"/>
            <w:tcBorders>
              <w:top w:val="single" w:sz="6" w:color="D9DEE8"/>
              <w:left w:val="single" w:sz="6" w:color="D9DEE8"/>
              <w:bottom w:val="single" w:sz="6" w:color="D9DEE8"/>
              <w:right w:val="single" w:sz="6" w:color="D9DEE8"/>
            </w:tcBorders>
            <w:tcMar>
              <w:top w:w="110" w:type="dxa"/>
              <w:start w:w="120" w:type="dxa"/>
              <w:bottom w:w="110" w:type="dxa"/>
              <w:end w:w="120" w:type="dxa"/>
            </w:tcMar>
          </w:tcPr>
          <w:p>
            <w:r>
              <w:t>Choose your UAE visa option and submit your traveller details.</w:t>
            </w:r>
          </w:p>
        </w:tc>
      </w:tr>
      <w:tr>
        <w:tc>
          <w:tcPr>
            <w:tcW w:type="dxa" w:w="3427"/>
            <w:tcBorders>
              <w:top w:val="single" w:sz="6" w:color="D9DEE8"/>
              <w:left w:val="single" w:sz="6" w:color="D9DEE8"/>
              <w:bottom w:val="single" w:sz="6" w:color="D9DEE8"/>
              <w:right w:val="single" w:sz="6" w:color="D9DEE8"/>
            </w:tcBorders>
            <w:tcMar>
              <w:top w:w="110" w:type="dxa"/>
              <w:start w:w="120" w:type="dxa"/>
              <w:bottom w:w="110" w:type="dxa"/>
              <w:end w:w="120" w:type="dxa"/>
            </w:tcMar>
          </w:tcPr>
          <w:p>
            <w:r>
              <w:t>02</w:t>
            </w:r>
          </w:p>
        </w:tc>
        <w:tc>
          <w:tcPr>
            <w:tcW w:type="dxa" w:w="3427"/>
            <w:tcBorders>
              <w:top w:val="single" w:sz="6" w:color="D9DEE8"/>
              <w:left w:val="single" w:sz="6" w:color="D9DEE8"/>
              <w:bottom w:val="single" w:sz="6" w:color="D9DEE8"/>
              <w:right w:val="single" w:sz="6" w:color="D9DEE8"/>
            </w:tcBorders>
            <w:tcMar>
              <w:top w:w="110" w:type="dxa"/>
              <w:start w:w="120" w:type="dxa"/>
              <w:bottom w:w="110" w:type="dxa"/>
              <w:end w:w="120" w:type="dxa"/>
            </w:tcMar>
          </w:tcPr>
          <w:p>
            <w:r>
              <w:t>Upload documents</w:t>
            </w:r>
          </w:p>
        </w:tc>
        <w:tc>
          <w:tcPr>
            <w:tcW w:type="dxa" w:w="3427"/>
            <w:tcBorders>
              <w:top w:val="single" w:sz="6" w:color="D9DEE8"/>
              <w:left w:val="single" w:sz="6" w:color="D9DEE8"/>
              <w:bottom w:val="single" w:sz="6" w:color="D9DEE8"/>
              <w:right w:val="single" w:sz="6" w:color="D9DEE8"/>
            </w:tcBorders>
            <w:tcMar>
              <w:top w:w="110" w:type="dxa"/>
              <w:start w:w="120" w:type="dxa"/>
              <w:bottom w:w="110" w:type="dxa"/>
              <w:end w:w="120" w:type="dxa"/>
            </w:tcMar>
          </w:tcPr>
          <w:p>
            <w:r>
              <w:t>Complete payment and upload the required documents.</w:t>
            </w:r>
          </w:p>
        </w:tc>
      </w:tr>
      <w:tr>
        <w:tc>
          <w:tcPr>
            <w:tcW w:type="dxa" w:w="3427"/>
            <w:tcBorders>
              <w:top w:val="single" w:sz="6" w:color="D9DEE8"/>
              <w:left w:val="single" w:sz="6" w:color="D9DEE8"/>
              <w:bottom w:val="single" w:sz="6" w:color="D9DEE8"/>
              <w:right w:val="single" w:sz="6" w:color="D9DEE8"/>
            </w:tcBorders>
            <w:tcMar>
              <w:top w:w="110" w:type="dxa"/>
              <w:start w:w="120" w:type="dxa"/>
              <w:bottom w:w="110" w:type="dxa"/>
              <w:end w:w="120" w:type="dxa"/>
            </w:tcMar>
          </w:tcPr>
          <w:p>
            <w:r>
              <w:t>03</w:t>
            </w:r>
          </w:p>
        </w:tc>
        <w:tc>
          <w:tcPr>
            <w:tcW w:type="dxa" w:w="3427"/>
            <w:tcBorders>
              <w:top w:val="single" w:sz="6" w:color="D9DEE8"/>
              <w:left w:val="single" w:sz="6" w:color="D9DEE8"/>
              <w:bottom w:val="single" w:sz="6" w:color="D9DEE8"/>
              <w:right w:val="single" w:sz="6" w:color="D9DEE8"/>
            </w:tcBorders>
            <w:tcMar>
              <w:top w:w="110" w:type="dxa"/>
              <w:start w:w="120" w:type="dxa"/>
              <w:bottom w:w="110" w:type="dxa"/>
              <w:end w:w="120" w:type="dxa"/>
            </w:tcMar>
          </w:tcPr>
          <w:p>
            <w:r>
              <w:t>We process your application</w:t>
            </w:r>
          </w:p>
        </w:tc>
        <w:tc>
          <w:tcPr>
            <w:tcW w:type="dxa" w:w="3427"/>
            <w:tcBorders>
              <w:top w:val="single" w:sz="6" w:color="D9DEE8"/>
              <w:left w:val="single" w:sz="6" w:color="D9DEE8"/>
              <w:bottom w:val="single" w:sz="6" w:color="D9DEE8"/>
              <w:right w:val="single" w:sz="6" w:color="D9DEE8"/>
            </w:tcBorders>
            <w:tcMar>
              <w:top w:w="110" w:type="dxa"/>
              <w:start w:w="120" w:type="dxa"/>
              <w:bottom w:w="110" w:type="dxa"/>
              <w:end w:w="120" w:type="dxa"/>
            </w:tcMar>
          </w:tcPr>
          <w:p>
            <w:r>
              <w:t>We coordinate the next steps and keep you updated.</w:t>
            </w:r>
          </w:p>
        </w:tc>
      </w:tr>
      <w:tr>
        <w:tc>
          <w:tcPr>
            <w:tcW w:type="dxa" w:w="3427"/>
            <w:tcBorders>
              <w:top w:val="single" w:sz="6" w:color="D9DEE8"/>
              <w:left w:val="single" w:sz="6" w:color="D9DEE8"/>
              <w:bottom w:val="single" w:sz="6" w:color="D9DEE8"/>
              <w:right w:val="single" w:sz="6" w:color="D9DEE8"/>
            </w:tcBorders>
            <w:tcMar>
              <w:top w:w="110" w:type="dxa"/>
              <w:start w:w="120" w:type="dxa"/>
              <w:bottom w:w="110" w:type="dxa"/>
              <w:end w:w="120" w:type="dxa"/>
            </w:tcMar>
          </w:tcPr>
          <w:p>
            <w:r>
              <w:t>04</w:t>
            </w:r>
          </w:p>
        </w:tc>
        <w:tc>
          <w:tcPr>
            <w:tcW w:type="dxa" w:w="3427"/>
            <w:tcBorders>
              <w:top w:val="single" w:sz="6" w:color="D9DEE8"/>
              <w:left w:val="single" w:sz="6" w:color="D9DEE8"/>
              <w:bottom w:val="single" w:sz="6" w:color="D9DEE8"/>
              <w:right w:val="single" w:sz="6" w:color="D9DEE8"/>
            </w:tcBorders>
            <w:tcMar>
              <w:top w:w="110" w:type="dxa"/>
              <w:start w:w="120" w:type="dxa"/>
              <w:bottom w:w="110" w:type="dxa"/>
              <w:end w:w="120" w:type="dxa"/>
            </w:tcMar>
          </w:tcPr>
          <w:p>
            <w:r>
              <w:t>Visa delivered</w:t>
            </w:r>
          </w:p>
        </w:tc>
        <w:tc>
          <w:tcPr>
            <w:tcW w:type="dxa" w:w="3427"/>
            <w:tcBorders>
              <w:top w:val="single" w:sz="6" w:color="D9DEE8"/>
              <w:left w:val="single" w:sz="6" w:color="D9DEE8"/>
              <w:bottom w:val="single" w:sz="6" w:color="D9DEE8"/>
              <w:right w:val="single" w:sz="6" w:color="D9DEE8"/>
            </w:tcBorders>
            <w:tcMar>
              <w:top w:w="110" w:type="dxa"/>
              <w:start w:w="120" w:type="dxa"/>
              <w:bottom w:w="110" w:type="dxa"/>
              <w:end w:w="120" w:type="dxa"/>
            </w:tcMar>
          </w:tcPr>
          <w:p>
            <w:r>
              <w:t>Receive your issued visa digitally once approved and issued.</w:t>
            </w:r>
          </w:p>
        </w:tc>
      </w:tr>
    </w:tbl>
    <w:tbl>
      <w:tblPr>
        <w:tblW w:type="auto" w:w="0"/>
        <w:jc w:val="center"/>
        <w:tblLook w:firstColumn="1" w:firstRow="1" w:lastColumn="0" w:lastRow="0" w:noHBand="0" w:noVBand="1" w:val="04A0"/>
      </w:tblPr>
      <w:tblGrid>
        <w:gridCol w:w="10282"/>
      </w:tblGrid>
      <w:tr>
        <w:tc>
          <w:tcPr>
            <w:tcW w:type="dxa" w:w="10282"/>
            <w:shd w:fill="F3F1FF"/>
            <w:tcBorders>
              <w:top w:val="single" w:sz="8" w:color="D9DEE8"/>
              <w:left w:val="single" w:sz="8" w:color="D9DEE8"/>
              <w:bottom w:val="single" w:sz="8" w:color="D9DEE8"/>
              <w:right w:val="single" w:sz="8" w:color="D9DEE8"/>
            </w:tcBorders>
            <w:tcMar>
              <w:top w:w="160" w:type="dxa"/>
              <w:start w:w="180" w:type="dxa"/>
              <w:bottom w:w="160" w:type="dxa"/>
              <w:end w:w="180" w:type="dxa"/>
            </w:tcMar>
          </w:tcPr>
          <w:p>
            <w:r>
              <w:rPr>
                <w:b/>
                <w:color w:val="182A4D"/>
              </w:rPr>
              <w:t xml:space="preserve">OPTIONAL LIVE STATUS CARD  </w:t>
            </w:r>
            <w:r>
              <w:rPr>
                <w:color w:val="111318"/>
              </w:rPr>
              <w:t>Your visa application is being processed.</w:t>
            </w:r>
          </w:p>
        </w:tc>
      </w:tr>
    </w:tbl>
    <w:p>
      <w:pPr>
        <w:spacing w:after="0"/>
      </w:pPr>
    </w:p>
    <w:p>
      <w:r>
        <w:t>Do not mention OCR, staff verification, internal CRM tasks, vendor workflows or technical processing details in this customer-facing section.</w:t>
      </w:r>
    </w:p>
    <w:p>
      <w:pPr>
        <w:pStyle w:val="Heading1"/>
        <w:spacing w:before="280" w:after="100"/>
      </w:pPr>
      <w:r>
        <w:rPr>
          <w:color w:val="182A4D"/>
        </w:rPr>
        <w:t>10. VISA VALIDITY &amp; STAY</w:t>
      </w:r>
    </w:p>
    <w:tbl>
      <w:tblPr>
        <w:tblW w:type="auto" w:w="0"/>
        <w:jc w:val="center"/>
        <w:tblLook w:firstColumn="1" w:firstRow="1" w:lastColumn="0" w:lastRow="0" w:noHBand="0" w:noVBand="1" w:val="04A0"/>
      </w:tblPr>
      <w:tblGrid>
        <w:gridCol w:w="5141"/>
        <w:gridCol w:w="5141"/>
      </w:tblGrid>
      <w:tr>
        <w:tc>
          <w:tcPr>
            <w:tcW w:type="dxa" w:w="5141"/>
            <w:shd w:fill="F7F5F0"/>
            <w:tcBorders>
              <w:top w:val="single" w:sz="8" w:color="D9DEE8"/>
              <w:left w:val="single" w:sz="8" w:color="D9DEE8"/>
              <w:bottom w:val="single" w:sz="8" w:color="D9DEE8"/>
              <w:right w:val="single" w:sz="8" w:color="D9DEE8"/>
            </w:tcBorders>
            <w:tcMar>
              <w:top w:w="160" w:type="dxa"/>
              <w:start w:w="160" w:type="dxa"/>
              <w:bottom w:w="160" w:type="dxa"/>
              <w:end w:w="160" w:type="dxa"/>
            </w:tcMar>
          </w:tcPr>
          <w:p>
            <w:r>
              <w:rPr>
                <w:b/>
                <w:color w:val="182A4D"/>
              </w:rPr>
              <w:t>VISA VALIDITY</w:t>
            </w:r>
          </w:p>
          <w:p>
            <w:r>
              <w:t>The period within which you must enter the UAE according to the issued visa.</w:t>
            </w:r>
          </w:p>
        </w:tc>
        <w:tc>
          <w:tcPr>
            <w:tcW w:type="dxa" w:w="5141"/>
            <w:shd w:fill="F7F5F0"/>
            <w:tcBorders>
              <w:top w:val="single" w:sz="8" w:color="D9DEE8"/>
              <w:left w:val="single" w:sz="8" w:color="D9DEE8"/>
              <w:bottom w:val="single" w:sz="8" w:color="D9DEE8"/>
              <w:right w:val="single" w:sz="8" w:color="D9DEE8"/>
            </w:tcBorders>
            <w:tcMar>
              <w:top w:w="160" w:type="dxa"/>
              <w:start w:w="160" w:type="dxa"/>
              <w:bottom w:w="160" w:type="dxa"/>
              <w:end w:w="160" w:type="dxa"/>
            </w:tcMar>
          </w:tcPr>
          <w:p>
            <w:r>
              <w:rPr>
                <w:b/>
                <w:color w:val="182A4D"/>
              </w:rPr>
              <w:t>STAY DURATION</w:t>
            </w:r>
          </w:p>
          <w:p>
            <w:r>
              <w:t>The permitted period you may remain in the UAE according to the issued visa conditions.</w:t>
            </w:r>
          </w:p>
        </w:tc>
      </w:tr>
    </w:tbl>
    <w:p>
      <w:r>
        <w:t>Product-card rule: show “Visa Validity: As per issued visa” rather than hard-coding one universal validity period.</w:t>
      </w:r>
    </w:p>
    <w:p>
      <w:pPr>
        <w:pStyle w:val="Heading1"/>
        <w:spacing w:before="280" w:after="100"/>
      </w:pPr>
      <w:r>
        <w:rPr>
          <w:color w:val="182A4D"/>
        </w:rPr>
        <w:t>11. IMPORTANT BEFORE YOU APPLY</w:t>
      </w:r>
    </w:p>
    <w:p>
      <w:pPr>
        <w:pStyle w:val="ListBullet"/>
        <w:spacing w:after="80"/>
      </w:pPr>
      <w:r>
        <w:t>Provide accurate applicant and traveller information.</w:t>
      </w:r>
    </w:p>
    <w:p>
      <w:pPr>
        <w:pStyle w:val="ListBullet"/>
        <w:spacing w:after="80"/>
      </w:pPr>
      <w:r>
        <w:t>Upload clear, genuine and readable documents when requested.</w:t>
      </w:r>
    </w:p>
    <w:p>
      <w:pPr>
        <w:pStyle w:val="ListBullet"/>
        <w:spacing w:after="80"/>
      </w:pPr>
      <w:r>
        <w:t>Make sure the selected visa option matches the intended trip.</w:t>
      </w:r>
    </w:p>
    <w:p>
      <w:pPr>
        <w:pStyle w:val="ListBullet"/>
        <w:spacing w:after="80"/>
      </w:pPr>
      <w:r>
        <w:t>Processing time does not guarantee visa approval or a fixed authority decision.</w:t>
      </w:r>
    </w:p>
    <w:p>
      <w:pPr>
        <w:pStyle w:val="ListBullet"/>
        <w:spacing w:after="80"/>
      </w:pPr>
      <w:r>
        <w:t>Final visa decisions and immigration permissions are determined by the relevant UAE authority.</w:t>
      </w:r>
    </w:p>
    <w:p>
      <w:pPr>
        <w:pStyle w:val="Heading1"/>
        <w:spacing w:before="280" w:after="100"/>
      </w:pPr>
      <w:r>
        <w:rPr>
          <w:color w:val="182A4D"/>
        </w:rPr>
        <w:t>12. SERVICE FAQ — UAE NEW VISA</w:t>
      </w:r>
    </w:p>
    <w:p>
      <w:r>
        <w:t>Use an accordion layout. On desktop, show a clean two-column FAQ grid; on mobile, use one column. Keep the most useful questions visible first and allow “View all”.</w:t>
      </w:r>
    </w:p>
    <w:p>
      <w:pPr>
        <w:spacing w:before="140" w:after="40"/>
      </w:pPr>
      <w:r>
        <w:rPr>
          <w:b/>
          <w:color w:val="182A4D"/>
        </w:rPr>
        <w:t>What is a New UAE Visa request?</w:t>
      </w:r>
    </w:p>
    <w:p>
      <w:pPr>
        <w:spacing w:after="120"/>
      </w:pPr>
      <w:r>
        <w:rPr>
          <w:color w:val="111318"/>
        </w:rPr>
        <w:t>It is an online application for an available UAE visa product. You select the visa option, provide traveller details, complete payment, upload required documents and track the application through TripNexio.</w:t>
      </w:r>
    </w:p>
    <w:p>
      <w:pPr>
        <w:spacing w:before="140" w:after="40"/>
      </w:pPr>
      <w:r>
        <w:rPr>
          <w:b/>
          <w:color w:val="182A4D"/>
        </w:rPr>
        <w:t>Can I apply for a UAE visa from any Indian state?</w:t>
      </w:r>
    </w:p>
    <w:p>
      <w:pPr>
        <w:spacing w:after="120"/>
      </w:pPr>
      <w:r>
        <w:rPr>
          <w:color w:val="111318"/>
        </w:rPr>
        <w:t>Yes. From every Indian state to different applicant profiles, TripNexio provides a simple way to apply for your UAE visa online. Applications remain subject to applicable UAE visa requirements and the relevant authority’s decision.</w:t>
      </w:r>
    </w:p>
    <w:p>
      <w:pPr>
        <w:spacing w:before="140" w:after="40"/>
      </w:pPr>
      <w:r>
        <w:rPr>
          <w:b/>
          <w:color w:val="182A4D"/>
        </w:rPr>
        <w:t>Can an ECR passport holder apply for a UAE tourist visa?</w:t>
      </w:r>
    </w:p>
    <w:p>
      <w:pPr>
        <w:spacing w:after="120"/>
      </w:pPr>
      <w:r>
        <w:rPr>
          <w:color w:val="111318"/>
        </w:rPr>
        <w:t>Yes. An ECR passport holder can apply for a UAE tourist or visit visa. The Ministry of External Affairs states that ECR passport holders travelling to an ECR country for purposes other than employment do not require emigration clearance; for employment travel, applicable emigration-clearance requirements apply.</w:t>
      </w:r>
    </w:p>
    <w:p>
      <w:pPr>
        <w:spacing w:before="140" w:after="40"/>
      </w:pPr>
      <w:r>
        <w:rPr>
          <w:b/>
          <w:color w:val="182A4D"/>
        </w:rPr>
        <w:t>Do I need to create an account to apply?</w:t>
      </w:r>
    </w:p>
    <w:p>
      <w:pPr>
        <w:spacing w:after="120"/>
      </w:pPr>
      <w:r>
        <w:rPr>
          <w:color w:val="111318"/>
        </w:rPr>
        <w:t>No. After clicking Apply for UAE Visa, you can choose Login or Continue as Guest.</w:t>
      </w:r>
    </w:p>
    <w:p>
      <w:pPr>
        <w:spacing w:before="140" w:after="40"/>
      </w:pPr>
      <w:r>
        <w:rPr>
          <w:b/>
          <w:color w:val="182A4D"/>
        </w:rPr>
        <w:t>Can I use Google to sign in?</w:t>
      </w:r>
    </w:p>
    <w:p>
      <w:pPr>
        <w:spacing w:after="120"/>
      </w:pPr>
      <w:r>
        <w:rPr>
          <w:color w:val="111318"/>
        </w:rPr>
        <w:t>Yes. Google Sign-In can be offered under the Login option.</w:t>
      </w:r>
    </w:p>
    <w:p>
      <w:pPr>
        <w:spacing w:before="140" w:after="40"/>
      </w:pPr>
      <w:r>
        <w:rPr>
          <w:b/>
          <w:color w:val="182A4D"/>
        </w:rPr>
        <w:t>Can I apply for more than one traveller?</w:t>
      </w:r>
    </w:p>
    <w:p>
      <w:pPr>
        <w:spacing w:after="120"/>
      </w:pPr>
      <w:r>
        <w:rPr>
          <w:color w:val="111318"/>
        </w:rPr>
        <w:t>Yes. A booking can include multiple passengers, including adults and children.</w:t>
      </w:r>
    </w:p>
    <w:p>
      <w:pPr>
        <w:spacing w:before="140" w:after="40"/>
      </w:pPr>
      <w:r>
        <w:rPr>
          <w:b/>
          <w:color w:val="182A4D"/>
        </w:rPr>
        <w:t>Can I add travellers later?</w:t>
      </w:r>
    </w:p>
    <w:p>
      <w:pPr>
        <w:spacing w:after="120"/>
      </w:pPr>
      <w:r>
        <w:rPr>
          <w:color w:val="111318"/>
        </w:rPr>
        <w:t>The application UI should allow adding travellers before final submission, and the adult/child quantities and total price should update dynamically.</w:t>
      </w:r>
    </w:p>
    <w:p>
      <w:pPr>
        <w:spacing w:before="140" w:after="40"/>
      </w:pPr>
      <w:r>
        <w:rPr>
          <w:b/>
          <w:color w:val="182A4D"/>
        </w:rPr>
        <w:t>Can I apply for a child?</w:t>
      </w:r>
    </w:p>
    <w:p>
      <w:pPr>
        <w:spacing w:after="120"/>
      </w:pPr>
      <w:r>
        <w:rPr>
          <w:color w:val="111318"/>
        </w:rPr>
        <w:t>Yes. Applicants under 18 years must apply with at least one parent in the same booking, and the child must be linked to that parent.</w:t>
      </w:r>
    </w:p>
    <w:p>
      <w:pPr>
        <w:spacing w:before="140" w:after="40"/>
      </w:pPr>
      <w:r>
        <w:rPr>
          <w:b/>
          <w:color w:val="182A4D"/>
        </w:rPr>
        <w:t>Which UAE visa options are available?</w:t>
      </w:r>
    </w:p>
    <w:p>
      <w:pPr>
        <w:spacing w:after="120"/>
      </w:pPr>
      <w:r>
        <w:rPr>
          <w:color w:val="111318"/>
        </w:rPr>
        <w:t>The TripNexio product area can offer 30-day and 60-day stay options with Single Entry or Multiple Entry, subject to the products configured and available at the time of application.</w:t>
      </w:r>
    </w:p>
    <w:p>
      <w:pPr>
        <w:spacing w:before="140" w:after="40"/>
      </w:pPr>
      <w:r>
        <w:rPr>
          <w:b/>
          <w:color w:val="182A4D"/>
        </w:rPr>
        <w:t>Are Adult and Child prices different?</w:t>
      </w:r>
    </w:p>
    <w:p>
      <w:pPr>
        <w:spacing w:after="120"/>
      </w:pPr>
      <w:r>
        <w:rPr>
          <w:color w:val="111318"/>
        </w:rPr>
        <w:t>Adult and Child pricing can be configured separately. The payable amount is based on the selected visa product and traveller quantities.</w:t>
      </w:r>
    </w:p>
    <w:p>
      <w:pPr>
        <w:spacing w:before="140" w:after="40"/>
      </w:pPr>
      <w:r>
        <w:rPr>
          <w:b/>
          <w:color w:val="182A4D"/>
        </w:rPr>
        <w:t>What information do I need to start my application?</w:t>
      </w:r>
    </w:p>
    <w:p>
      <w:pPr>
        <w:spacing w:after="120"/>
      </w:pPr>
      <w:r>
        <w:rPr>
          <w:color w:val="111318"/>
        </w:rPr>
        <w:t>You generally need the applicant name, mobile number and email address, traveller basic details, occupation/profile information, expected travel date, selected visa option, visa type and processing preference.</w:t>
      </w:r>
    </w:p>
    <w:p>
      <w:pPr>
        <w:spacing w:before="140" w:after="40"/>
      </w:pPr>
      <w:r>
        <w:rPr>
          <w:b/>
          <w:color w:val="182A4D"/>
        </w:rPr>
        <w:t>What documents are normally required?</w:t>
      </w:r>
    </w:p>
    <w:p>
      <w:pPr>
        <w:spacing w:after="120"/>
      </w:pPr>
      <w:r>
        <w:rPr>
          <w:color w:val="111318"/>
        </w:rPr>
        <w:t>The standard New Visa checklist includes Passport Front Page, Passport Last Page and Passport Photograph. Additional documents may be requested depending on the application, traveller profile or authority requirements.</w:t>
      </w:r>
    </w:p>
    <w:p>
      <w:pPr>
        <w:spacing w:before="140" w:after="40"/>
      </w:pPr>
      <w:r>
        <w:rPr>
          <w:b/>
          <w:color w:val="182A4D"/>
        </w:rPr>
        <w:t>When do I upload my passport and documents?</w:t>
      </w:r>
    </w:p>
    <w:p>
      <w:pPr>
        <w:spacing w:after="120"/>
      </w:pPr>
      <w:r>
        <w:rPr>
          <w:color w:val="111318"/>
        </w:rPr>
        <w:t>After successful payment, your Booking ID is created and the document-upload stage becomes available.</w:t>
      </w:r>
    </w:p>
    <w:p>
      <w:pPr>
        <w:spacing w:before="140" w:after="40"/>
      </w:pPr>
      <w:r>
        <w:rPr>
          <w:b/>
          <w:color w:val="182A4D"/>
        </w:rPr>
        <w:t>What is the difference between Normal and Express processing?</w:t>
      </w:r>
    </w:p>
    <w:p>
      <w:pPr>
        <w:spacing w:after="120"/>
      </w:pPr>
      <w:r>
        <w:rPr>
          <w:color w:val="111318"/>
        </w:rPr>
        <w:t>Normal currently uses a minimum planned travel timeline of 7 days, while Express uses 3 days, subject to working days, configured service timelines and processing conditions.</w:t>
      </w:r>
    </w:p>
    <w:p>
      <w:pPr>
        <w:spacing w:before="140" w:after="40"/>
      </w:pPr>
      <w:r>
        <w:rPr>
          <w:b/>
          <w:color w:val="182A4D"/>
        </w:rPr>
        <w:t>Does Express guarantee faster visa approval?</w:t>
      </w:r>
    </w:p>
    <w:p>
      <w:pPr>
        <w:spacing w:after="120"/>
      </w:pPr>
      <w:r>
        <w:rPr>
          <w:color w:val="111318"/>
        </w:rPr>
        <w:t>No. Express processing does not guarantee visa approval or a fixed authority decision time.</w:t>
      </w:r>
    </w:p>
    <w:p>
      <w:pPr>
        <w:spacing w:before="140" w:after="40"/>
      </w:pPr>
      <w:r>
        <w:rPr>
          <w:b/>
          <w:color w:val="182A4D"/>
        </w:rPr>
        <w:t>What is the difference between visa validity and stay duration?</w:t>
      </w:r>
    </w:p>
    <w:p>
      <w:pPr>
        <w:spacing w:after="120"/>
      </w:pPr>
      <w:r>
        <w:rPr>
          <w:color w:val="111318"/>
        </w:rPr>
        <w:t>Visa validity is the period within which you must enter the UAE according to the issued visa. Stay duration is the permitted period you may remain in the UAE according to the issued visa conditions.</w:t>
      </w:r>
    </w:p>
    <w:p>
      <w:pPr>
        <w:spacing w:before="140" w:after="40"/>
      </w:pPr>
      <w:r>
        <w:rPr>
          <w:b/>
          <w:color w:val="182A4D"/>
        </w:rPr>
        <w:t>What happens after I make payment?</w:t>
      </w:r>
    </w:p>
    <w:p>
      <w:pPr>
        <w:spacing w:after="120"/>
      </w:pPr>
      <w:r>
        <w:rPr>
          <w:color w:val="111318"/>
        </w:rPr>
        <w:t>Successful payment creates the Booking ID and starts the confirmed visa workflow, including document upload and application processing.</w:t>
      </w:r>
    </w:p>
    <w:p>
      <w:pPr>
        <w:spacing w:before="140" w:after="40"/>
      </w:pPr>
      <w:r>
        <w:rPr>
          <w:b/>
          <w:color w:val="182A4D"/>
        </w:rPr>
        <w:t>Can additional documents be requested later?</w:t>
      </w:r>
    </w:p>
    <w:p>
      <w:pPr>
        <w:spacing w:after="120"/>
      </w:pPr>
      <w:r>
        <w:rPr>
          <w:color w:val="111318"/>
        </w:rPr>
        <w:t>Yes. Additional information or documents may be requested during processing or authority review.</w:t>
      </w:r>
    </w:p>
    <w:p>
      <w:pPr>
        <w:spacing w:before="140" w:after="40"/>
      </w:pPr>
      <w:r>
        <w:rPr>
          <w:b/>
          <w:color w:val="182A4D"/>
        </w:rPr>
        <w:t>Can I extend my UAE tourist visa?</w:t>
      </w:r>
    </w:p>
    <w:p>
      <w:pPr>
        <w:spacing w:after="120"/>
      </w:pPr>
      <w:r>
        <w:rPr>
          <w:color w:val="111318"/>
        </w:rPr>
        <w:t>Yes, eligible UAE tourist or visit visas may be extendable, subject to the visa type, applicable immigration rules, timing, fees and the decision of the relevant authority. Extension is not automatic for every visa.</w:t>
      </w:r>
    </w:p>
    <w:p>
      <w:pPr>
        <w:spacing w:before="140" w:after="40"/>
      </w:pPr>
      <w:r>
        <w:rPr>
          <w:b/>
          <w:color w:val="182A4D"/>
        </w:rPr>
        <w:t>Can TripNexio help with a UAE visa extension?</w:t>
      </w:r>
    </w:p>
    <w:p>
      <w:pPr>
        <w:spacing w:after="120"/>
      </w:pPr>
      <w:r>
        <w:rPr>
          <w:color w:val="111318"/>
        </w:rPr>
        <w:t>Yes. TripNexio may assist with eligible UAE visa extension services. Availability and processing depend on the visa category, applicable immigration requirements and approval by the relevant authority.</w:t>
      </w:r>
    </w:p>
    <w:p>
      <w:pPr>
        <w:spacing w:before="140" w:after="40"/>
      </w:pPr>
      <w:r>
        <w:rPr>
          <w:b/>
          <w:color w:val="182A4D"/>
        </w:rPr>
        <w:t>What happens if I overstay my UAE visa?</w:t>
      </w:r>
    </w:p>
    <w:p>
      <w:pPr>
        <w:spacing w:after="120"/>
      </w:pPr>
      <w:r>
        <w:rPr>
          <w:color w:val="111318"/>
        </w:rPr>
        <w:t>Applicable UAE government overstay fines may apply if the permitted stay or other applicable period is exceeded. Any government fine is the passenger’s responsibility and must be settled with the relevant authority.</w:t>
      </w:r>
    </w:p>
    <w:p>
      <w:pPr>
        <w:spacing w:before="140" w:after="40"/>
      </w:pPr>
      <w:r>
        <w:rPr>
          <w:b/>
          <w:color w:val="182A4D"/>
        </w:rPr>
        <w:t>Can job-seeker or other applicant profiles apply?</w:t>
      </w:r>
    </w:p>
    <w:p>
      <w:pPr>
        <w:spacing w:after="120"/>
      </w:pPr>
      <w:r>
        <w:rPr>
          <w:color w:val="111318"/>
        </w:rPr>
        <w:t>TripNexio accepts applications from different applicant profiles where the selected visa service is applicable. The application remains subject to the applicable UAE visa requirements and authority decision.</w:t>
      </w:r>
    </w:p>
    <w:p>
      <w:pPr>
        <w:spacing w:before="140" w:after="40"/>
      </w:pPr>
      <w:r>
        <w:rPr>
          <w:b/>
          <w:color w:val="182A4D"/>
        </w:rPr>
        <w:t>Can I work in the UAE on a tourist visa?</w:t>
      </w:r>
    </w:p>
    <w:p>
      <w:pPr>
        <w:spacing w:after="120"/>
      </w:pPr>
      <w:r>
        <w:rPr>
          <w:color w:val="111318"/>
        </w:rPr>
        <w:t>No. A tourist visa does not itself authorize employment. Any employment requires the applicable UAE employment and immigration process.</w:t>
      </w:r>
    </w:p>
    <w:p>
      <w:pPr>
        <w:spacing w:before="140" w:after="40"/>
      </w:pPr>
      <w:r>
        <w:rPr>
          <w:b/>
          <w:color w:val="182A4D"/>
        </w:rPr>
        <w:t>Can I change my status inside the UAE after finding a job?</w:t>
      </w:r>
    </w:p>
    <w:p>
      <w:pPr>
        <w:spacing w:after="120"/>
      </w:pPr>
      <w:r>
        <w:rPr>
          <w:color w:val="111318"/>
        </w:rPr>
        <w:t>Any in-country status change is subject to applicable UAE immigration and employment rules and approval by the relevant authority.</w:t>
      </w:r>
    </w:p>
    <w:p>
      <w:pPr>
        <w:spacing w:before="140" w:after="40"/>
      </w:pPr>
      <w:r>
        <w:rPr>
          <w:b/>
          <w:color w:val="182A4D"/>
        </w:rPr>
        <w:t>Is UAE visa approval guaranteed?</w:t>
      </w:r>
    </w:p>
    <w:p>
      <w:pPr>
        <w:spacing w:after="120"/>
      </w:pPr>
      <w:r>
        <w:rPr>
          <w:color w:val="111318"/>
        </w:rPr>
        <w:t>No. The final visa decision is made by the relevant UAE authority.</w:t>
      </w:r>
    </w:p>
    <w:p>
      <w:pPr>
        <w:spacing w:before="140" w:after="40"/>
      </w:pPr>
      <w:r>
        <w:rPr>
          <w:b/>
          <w:color w:val="182A4D"/>
        </w:rPr>
        <w:t>What happens after my visa is approved?</w:t>
      </w:r>
    </w:p>
    <w:p>
      <w:pPr>
        <w:spacing w:after="120"/>
      </w:pPr>
      <w:r>
        <w:rPr>
          <w:color w:val="111318"/>
        </w:rPr>
        <w:t>The issued visa document is made available through the available TripNexio customer communication or account channel.</w:t>
      </w:r>
    </w:p>
    <w:p>
      <w:pPr>
        <w:spacing w:before="140" w:after="40"/>
      </w:pPr>
      <w:r>
        <w:rPr>
          <w:b/>
          <w:color w:val="182A4D"/>
        </w:rPr>
        <w:t>How can I track my application?</w:t>
      </w:r>
    </w:p>
    <w:p>
      <w:pPr>
        <w:spacing w:after="120"/>
      </w:pPr>
      <w:r>
        <w:rPr>
          <w:color w:val="111318"/>
        </w:rPr>
        <w:t>Use Track Status to view the available booking, payment, document and visa updates for your application.</w:t>
      </w:r>
    </w:p>
    <w:p>
      <w:pPr>
        <w:spacing w:before="140" w:after="40"/>
      </w:pPr>
      <w:r>
        <w:rPr>
          <w:b/>
          <w:color w:val="182A4D"/>
        </w:rPr>
        <w:t>Can I cancel and request a refund?</w:t>
      </w:r>
    </w:p>
    <w:p>
      <w:pPr>
        <w:spacing w:after="120"/>
      </w:pPr>
      <w:r>
        <w:rPr>
          <w:color w:val="111318"/>
        </w:rPr>
        <w:t>Refund eligibility depends on the stage of your application and the applicable TripNexio refund terms.</w:t>
      </w:r>
    </w:p>
    <w:p>
      <w:pPr>
        <w:pStyle w:val="Heading1"/>
        <w:spacing w:before="280" w:after="100"/>
      </w:pPr>
      <w:r>
        <w:rPr>
          <w:color w:val="182A4D"/>
        </w:rPr>
        <w:t>13. FINAL CTA</w:t>
      </w:r>
    </w:p>
    <w:p>
      <w:r>
        <w:rPr>
          <w:b/>
          <w:color w:val="3E6FDB"/>
        </w:rPr>
        <w:t xml:space="preserve">Headline: </w:t>
      </w:r>
      <w:r>
        <w:t>Ready to apply for your UAE visa?</w:t>
      </w:r>
    </w:p>
    <w:p>
      <w:r>
        <w:rPr>
          <w:b/>
        </w:rPr>
        <w:t xml:space="preserve">Supporting line: </w:t>
      </w:r>
      <w:r>
        <w:t>Choose your visa option, enter your traveller details and complete your application online.</w:t>
      </w:r>
    </w:p>
    <w:p>
      <w:r>
        <w:rPr>
          <w:b/>
        </w:rPr>
        <w:t xml:space="preserve">Primary CTA: </w:t>
      </w:r>
      <w:r>
        <w:t>Apply for UAE Visa</w:t>
      </w:r>
    </w:p>
    <w:p>
      <w:r>
        <w:rPr>
          <w:b/>
        </w:rPr>
        <w:t xml:space="preserve">Secondary CTA: </w:t>
      </w:r>
      <w:r>
        <w:t>Track Application</w:t>
      </w:r>
    </w:p>
    <w:p>
      <w:pPr>
        <w:pStyle w:val="Heading1"/>
        <w:spacing w:before="280" w:after="100"/>
      </w:pPr>
      <w:r>
        <w:rPr>
          <w:color w:val="182A4D"/>
        </w:rPr>
        <w:t>14. FINAL UI/UX &amp; DEVELOPER RULES</w:t>
      </w:r>
    </w:p>
    <w:p>
      <w:pPr>
        <w:pStyle w:val="ListBullet"/>
        <w:spacing w:after="80"/>
      </w:pPr>
      <w:r>
        <w:t>Keep the page clear, easy to scan and conversion-focused. Avoid unnecessary educational sections.</w:t>
      </w:r>
    </w:p>
    <w:p>
      <w:pPr>
        <w:pStyle w:val="ListBullet"/>
        <w:spacing w:after="80"/>
      </w:pPr>
      <w:r>
        <w:t>Hero is locked: “UAE visa, made simple. Apply online, choose your visa option, and let TripNexio guide you from application to completion.”</w:t>
      </w:r>
    </w:p>
    <w:p>
      <w:pPr>
        <w:pStyle w:val="ListBullet"/>
        <w:spacing w:after="80"/>
      </w:pPr>
      <w:r>
        <w:t>Apply Now opens Login / Continue as Guest. Google Sign-In may appear under Login.</w:t>
      </w:r>
    </w:p>
    <w:p>
      <w:pPr>
        <w:pStyle w:val="ListBullet"/>
        <w:spacing w:after="80"/>
      </w:pPr>
      <w:r>
        <w:t>Visa options show 30/60-day stay choices and Single/Multiple Entry choices.</w:t>
      </w:r>
    </w:p>
    <w:p>
      <w:pPr>
        <w:pStyle w:val="ListBullet"/>
        <w:spacing w:after="80"/>
      </w:pPr>
      <w:r>
        <w:t>Adult and Child are traveller quantities with separate pricing. Add Traveller updates quantities and total price dynamically.</w:t>
      </w:r>
    </w:p>
    <w:p>
      <w:pPr>
        <w:pStyle w:val="ListBullet"/>
        <w:spacing w:after="80"/>
      </w:pPr>
      <w:r>
        <w:t>Every active visa card must show Stay Duration, Visa Validity, Entry Type, Processing Time and Price.</w:t>
      </w:r>
    </w:p>
    <w:p>
      <w:pPr>
        <w:pStyle w:val="ListBullet"/>
        <w:spacing w:after="80"/>
      </w:pPr>
      <w:r>
        <w:t>Keep “UAE Visa Applications From Across India” to the locked one-sentence copy only.</w:t>
      </w:r>
    </w:p>
    <w:p>
      <w:pPr>
        <w:pStyle w:val="ListBullet"/>
        <w:spacing w:after="80"/>
      </w:pPr>
      <w:r>
        <w:t>Keep What You’ll Need and Documents Required short and visual.</w:t>
      </w:r>
    </w:p>
    <w:p>
      <w:pPr>
        <w:pStyle w:val="ListBullet"/>
        <w:spacing w:after="80"/>
      </w:pPr>
      <w:r>
        <w:t>Do not include Travel Purpose, UAE inspiration, UAE insights or Protection Plan on this page.</w:t>
      </w:r>
    </w:p>
    <w:p>
      <w:pPr>
        <w:pStyle w:val="ListBullet"/>
        <w:spacing w:after="80"/>
      </w:pPr>
      <w:r>
        <w:t>Keep Overstay information in FAQ only.</w:t>
      </w:r>
    </w:p>
    <w:p>
      <w:pPr>
        <w:pStyle w:val="ListBullet"/>
        <w:spacing w:after="80"/>
      </w:pPr>
      <w:r>
        <w:t>Do not mention OCR, staff verification or internal operational systems in the customer-facing process section.</w:t>
      </w:r>
    </w:p>
    <w:p>
      <w:pPr>
        <w:pStyle w:val="ListBullet"/>
        <w:spacing w:after="80"/>
      </w:pPr>
      <w:r>
        <w:t>Use the supplied reference image as the visual direction for the four-step process: large route/path, numbered steps, short copy and optional live current-status card.</w:t>
      </w:r>
    </w:p>
    <w:p>
      <w:pPr>
        <w:pStyle w:val="ListBullet"/>
        <w:spacing w:after="80"/>
      </w:pPr>
      <w:r>
        <w:t>Use Normal / Express wording consistently. Current minimum planned timeline: Normal 7 days; Express 3 days.</w:t>
      </w:r>
    </w:p>
    <w:p>
      <w:pPr>
        <w:pStyle w:val="ListBullet"/>
        <w:spacing w:after="80"/>
      </w:pPr>
      <w:r>
        <w:t>Document upload begins after successful payment and Booking ID creation.</w:t>
      </w:r>
    </w:p>
    <w:p>
      <w:pPr>
        <w:pStyle w:val="ListBullet"/>
        <w:spacing w:after="80"/>
      </w:pPr>
      <w:r>
        <w:t>Actual document checklist and prices may be Admin-configured; do not present a static promise that the checklist or price can never change.</w:t>
      </w:r>
    </w:p>
    <w:p>
      <w:pPr>
        <w:pStyle w:val="ListBullet"/>
        <w:spacing w:after="80"/>
      </w:pPr>
      <w:r>
        <w:t>Do not promise visa approval, guaranteed processing, guaranteed entry or guaranteed travel outcomes.</w:t>
      </w:r>
    </w:p>
    <w:p>
      <w:pPr>
        <w:pStyle w:val="ListBullet"/>
        <w:spacing w:after="80"/>
      </w:pPr>
      <w:r>
        <w:t>All customer-facing wording must remain B2C.</w:t>
      </w:r>
    </w:p>
    <w:p>
      <w:pPr>
        <w:pStyle w:val="Heading1"/>
        <w:spacing w:before="280" w:after="100"/>
      </w:pPr>
      <w:r>
        <w:rPr>
          <w:color w:val="182A4D"/>
        </w:rPr>
        <w:t>15. SOURCE / VERIFICATION NOTES</w:t>
      </w:r>
    </w:p>
    <w:p>
      <w:r>
        <w:t>These notes are for the developer/content team and should not be displayed as a public-facing section on the service page.</w:t>
      </w:r>
    </w:p>
    <w:p>
      <w:r>
        <w:rPr>
          <w:b/>
          <w:color w:val="3E6FDB"/>
        </w:rPr>
        <w:t xml:space="preserve">New Visa business specification: </w:t>
      </w:r>
      <w:r>
        <w:t>TripNexio — UAE New Visa Journey v1.1 (founder-locked working specification).</w:t>
      </w:r>
    </w:p>
    <w:p>
      <w:r>
        <w:rPr>
          <w:b/>
          <w:color w:val="3E6FDB"/>
        </w:rPr>
        <w:t xml:space="preserve">ECR rule: </w:t>
      </w:r>
      <w:r>
        <w:t>Indian Ministry of External Affairs guidance: ECR passport holders travelling to an ECR country for purposes other than employment do not require emigration clearance; employment travel has separate clearance requirements. UAE is listed by MEA among the ECR countries.</w:t>
      </w:r>
    </w:p>
    <w:p>
      <w:r>
        <w:rPr>
          <w:b/>
          <w:color w:val="3E6FDB"/>
        </w:rPr>
        <w:t xml:space="preserve">Tourist visa products: </w:t>
      </w:r>
      <w:r>
        <w:t>GDRFA Dubai lists single-entry and multi-entry tourist visa services with 30-day and 60-day stay products.</w:t>
      </w:r>
    </w:p>
    <w:p>
      <w:r>
        <w:rPr>
          <w:b/>
          <w:color w:val="3E6FDB"/>
        </w:rPr>
        <w:t xml:space="preserve">Visa extension: </w:t>
      </w:r>
      <w:r>
        <w:t>GDRFA Dubai provides a tourist visa extension service for eligible single- or multiple-trip tourist visas and states that extension is subject to authority decision and applicable conditions.</w:t>
      </w:r>
    </w:p>
    <w:p>
      <w:pPr>
        <w:spacing w:after="40"/>
      </w:pPr>
      <w:r>
        <w:rPr>
          <w:color w:val="59616F"/>
          <w:sz w:val="16"/>
        </w:rPr>
        <w:t>https://meacms.mea.gov.in/Images/attach/Emigrationabroademployment_new.pdf</w:t>
      </w:r>
    </w:p>
    <w:p>
      <w:pPr>
        <w:spacing w:after="40"/>
      </w:pPr>
      <w:r>
        <w:rPr>
          <w:color w:val="59616F"/>
          <w:sz w:val="16"/>
        </w:rPr>
        <w:t>https://www.gdrfad.gov.ae/en/services/f9e586fe-0642-11ec-0320-0050569629e8</w:t>
      </w:r>
    </w:p>
    <w:p>
      <w:pPr>
        <w:spacing w:after="40"/>
      </w:pPr>
      <w:r>
        <w:rPr>
          <w:color w:val="59616F"/>
          <w:sz w:val="16"/>
        </w:rPr>
        <w:t>https://www.gdrfad.gov.ae/en/services/f9e586fb-0642-11ec-0320-0050569629e8</w:t>
      </w:r>
    </w:p>
    <w:p>
      <w:pPr>
        <w:spacing w:after="40"/>
      </w:pPr>
      <w:r>
        <w:rPr>
          <w:color w:val="59616F"/>
          <w:sz w:val="16"/>
        </w:rPr>
        <w:t>https://www.gdrfad.gov.ae/en/services/1ce744f0-b801-11ed-5210-4cd98f768936</w:t>
      </w:r>
    </w:p>
    <w:tbl>
      <w:tblPr>
        <w:tblW w:type="auto" w:w="0"/>
        <w:jc w:val="center"/>
        <w:tblLook w:firstColumn="1" w:firstRow="1" w:lastColumn="0" w:lastRow="0" w:noHBand="0" w:noVBand="1" w:val="04A0"/>
      </w:tblPr>
      <w:tblGrid>
        <w:gridCol w:w="10282"/>
      </w:tblGrid>
      <w:tr>
        <w:tc>
          <w:tcPr>
            <w:tcW w:type="dxa" w:w="10282"/>
            <w:shd w:fill="EAF8F2"/>
            <w:tcBorders>
              <w:top w:val="single" w:sz="8" w:color="D9DEE8"/>
              <w:left w:val="single" w:sz="8" w:color="D9DEE8"/>
              <w:bottom w:val="single" w:sz="8" w:color="D9DEE8"/>
              <w:right w:val="single" w:sz="8" w:color="D9DEE8"/>
            </w:tcBorders>
            <w:tcMar>
              <w:top w:w="160" w:type="dxa"/>
              <w:start w:w="180" w:type="dxa"/>
              <w:bottom w:w="160" w:type="dxa"/>
              <w:end w:w="180" w:type="dxa"/>
            </w:tcMar>
          </w:tcPr>
          <w:p>
            <w:r>
              <w:rPr>
                <w:b/>
                <w:color w:val="182A4D"/>
              </w:rPr>
              <w:t xml:space="preserve">FINAL LOCK  </w:t>
            </w:r>
            <w:r>
              <w:rPr>
                <w:color w:val="111318"/>
              </w:rPr>
              <w:t>This document is the final UAE New Visa service-page content and developer handover. The page should remain simple and customer-facing; detailed operational logic belongs in the application/CRM workflow.</w:t>
            </w:r>
          </w:p>
        </w:tc>
      </w:tr>
    </w:tbl>
    <w:p>
      <w:pPr>
        <w:spacing w:after="0"/>
      </w:pPr>
    </w:p>
    <w:sectPr w:rsidR="00FC693F" w:rsidRPr="0006063C" w:rsidSect="00034616">
      <w:headerReference w:type="default" r:id="rId9"/>
      <w:footerReference w:type="default" r:id="rId10"/>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16F"/>
        <w:sz w:val="16"/>
      </w:rPr>
      <w:t xml:space="preserve">Developer Handover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82A4D"/>
        <w:sz w:val="18"/>
      </w:rPr>
      <w:t>TRIPNEXIO  |  UAE VISA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3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82A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E6FD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82A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9616F"/>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TripNexio UAE Visa Final Developer Handover - Content Design FAQ</dc:title>
  <dc:subject>UAE Visa service page, UI/UX and FAQ</dc:subject>
  <dc:creator>TripNexio</dc:creator>
  <cp:keywords>TripNexio, UAE Visa, website, developer handover, FAQ</cp:keywords>
  <dc:description>generated by python-docx</dc:description>
  <cp:lastModifiedBy/>
  <cp:revision>1</cp:revision>
  <dcterms:created xsi:type="dcterms:W3CDTF">2013-12-23T23:15:00Z</dcterms:created>
  <dcterms:modified xsi:type="dcterms:W3CDTF">2013-12-23T23:15:00Z</dcterms:modified>
  <cp:category/>
</cp:coreProperties>
</file>