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A4D"/>
          <w:sz w:val="24"/>
        </w:rPr>
        <w:t>TripNexio</w:t>
      </w:r>
    </w:p>
    <w:p>
      <w:pPr>
        <w:pStyle w:val="Title"/>
        <w:jc w:val="center"/>
      </w:pPr>
      <w:r>
        <w:t>Visa Change — Final Page Content, Design &amp; FAQ</w:t>
      </w:r>
    </w:p>
    <w:p>
      <w:pPr>
        <w:jc w:val="center"/>
      </w:pPr>
      <w:r>
        <w:rPr>
          <w:color w:val="60656E"/>
          <w:sz w:val="20"/>
        </w:rPr>
        <w:t>Customer-facing website copy + UI/UX + developer handover</w:t>
      </w:r>
    </w:p>
    <w:p>
      <w:pPr>
        <w:pStyle w:val="Heading1"/>
      </w:pPr>
      <w:r>
        <w:t>1. Final Business Rules for This Page</w:t>
      </w:r>
    </w:p>
    <w:p>
      <w:pPr>
        <w:spacing w:after="100"/>
      </w:pPr>
      <w:r>
        <w:t>These are the latest product rules to use for the customer-facing Visa Change page. The uploaded Visa Change Journey v3.0 remains the detailed operational source for A2A/Border, availability, pricing, payment, documents, exit completion and post-exit processing.</w:t>
      </w:r>
    </w:p>
    <w:p>
      <w:pPr>
        <w:ind w:left="259" w:hanging="173"/>
      </w:pPr>
      <w:r>
        <w:rPr>
          <w:color w:val="3E6FDB"/>
        </w:rPr>
        <w:t xml:space="preserve">• </w:t>
      </w:r>
      <w:r>
        <w:t>Visa Change is available only for customers who are currently in the UAE. It is not an India/outside-UAE service.</w:t>
      </w:r>
    </w:p>
    <w:p>
      <w:pPr>
        <w:ind w:left="259" w:hanging="173"/>
      </w:pPr>
      <w:r>
        <w:rPr>
          <w:color w:val="3E6FDB"/>
        </w:rPr>
        <w:t xml:space="preserve">• </w:t>
      </w:r>
      <w:r>
        <w:t>Supported starting profiles for this service: eligible UAE tourist visa holders and holders of a cancelled UAE residence visa, subject to applicable immigration requirements and confirmed service availability.</w:t>
      </w:r>
    </w:p>
    <w:p>
      <w:pPr>
        <w:ind w:left="259" w:hanging="173"/>
      </w:pPr>
      <w:r>
        <w:t>• Two methods: Airport-to-Airport (A2A) and Land Border Exit.</w:t>
      </w:r>
    </w:p>
    <w:p>
      <w:pPr>
        <w:ind w:left="259" w:hanging="173"/>
      </w:pPr>
      <w:r>
        <w:t>• Customer does not manually enter airport names, airport codes, border names or operational pickup details. Only confirmed operational options are shown.</w:t>
      </w:r>
    </w:p>
    <w:p>
      <w:pPr>
        <w:ind w:left="259" w:hanging="173"/>
      </w:pPr>
      <w:r>
        <w:t>• Final pricing is nationality-wise and depends on confirmed availability/package, passenger type/count and applicable charges.</w:t>
      </w:r>
    </w:p>
    <w:p>
      <w:pPr>
        <w:ind w:left="259" w:hanging="173"/>
      </w:pPr>
      <w:r>
        <w:t>• Lead is created before availability checking; final rate appears after availability is confirmed and the customer selects the package.</w:t>
      </w:r>
    </w:p>
    <w:p>
      <w:pPr>
        <w:ind w:left="259" w:hanging="173"/>
      </w:pPr>
      <w:r>
        <w:t>• Actual document upload happens after successful payment.</w:t>
      </w:r>
    </w:p>
    <w:p>
      <w:pPr>
        <w:ind w:left="259" w:hanging="173"/>
      </w:pPr>
      <w:r>
        <w:t>• Customer does not upload exit proof; staff marks Exit Completed, after which New Visa Processing starts.</w:t>
      </w:r>
    </w:p>
    <w:p>
      <w:pPr>
        <w:ind w:left="259" w:hanging="173"/>
      </w:pPr>
      <w:r>
        <w:t>• Visa approval is not guaranteed.</w:t>
      </w:r>
    </w:p>
    <w:p>
      <w:pPr>
        <w:pStyle w:val="Heading1"/>
      </w:pPr>
      <w:r>
        <w:t>2. Page Structure</w:t>
      </w:r>
    </w:p>
    <w:p>
      <w:pPr>
        <w:spacing w:after="100"/>
      </w:pPr>
      <w:r>
        <w:t>Use a clean, premium, low-text page similar in information density to the approved New Visa page. The page should focus on one simple customer journey.</w:t>
      </w:r>
    </w:p>
    <w:tbl>
      <w:tblPr>
        <w:tblW w:type="auto" w:w="0"/>
        <w:jc w:val="center"/>
        <w:tblLayout w:type="autofit"/>
        <w:tblLook w:firstColumn="1" w:firstRow="1" w:lastColumn="0" w:lastRow="0" w:noHBand="0" w:noVBand="1" w:val="04A0"/>
      </w:tblPr>
      <w:tblGrid>
        <w:gridCol w:w="5083"/>
        <w:gridCol w:w="5083"/>
      </w:tblGrid>
      <w:tr>
        <w:tc>
          <w:tcPr>
            <w:tcW w:type="dxa" w:w="5083"/>
            <w:vAlign w:val="center"/>
            <w:shd w:fill="182A4D"/>
          </w:tcPr>
          <w:p>
            <w:r/>
            <w:r>
              <w:rPr>
                <w:rFonts w:ascii="Aptos" w:hAnsi="Aptos"/>
                <w:b/>
                <w:color w:val="FFFFFF"/>
                <w:sz w:val="19"/>
              </w:rPr>
              <w:t>Section</w:t>
            </w:r>
          </w:p>
        </w:tc>
        <w:tc>
          <w:tcPr>
            <w:tcW w:type="dxa" w:w="5083"/>
            <w:vAlign w:val="center"/>
            <w:shd w:fill="182A4D"/>
          </w:tcPr>
          <w:p>
            <w:r/>
            <w:r>
              <w:rPr>
                <w:rFonts w:ascii="Aptos" w:hAnsi="Aptos"/>
                <w:b/>
                <w:color w:val="FFFFFF"/>
                <w:sz w:val="19"/>
              </w:rPr>
              <w:t>Customer-facing purpose</w:t>
            </w:r>
          </w:p>
        </w:tc>
      </w:tr>
      <w:tr>
        <w:tc>
          <w:tcPr>
            <w:tcW w:type="dxa" w:w="5083"/>
            <w:vAlign w:val="center"/>
            <w:shd w:fill="F3F6FB"/>
          </w:tcPr>
          <w:p>
            <w:r/>
            <w:r>
              <w:rPr>
                <w:rFonts w:ascii="Aptos" w:hAnsi="Aptos"/>
                <w:b/>
                <w:sz w:val="19"/>
              </w:rPr>
              <w:t>Hero</w:t>
            </w:r>
          </w:p>
        </w:tc>
        <w:tc>
          <w:tcPr>
            <w:tcW w:type="dxa" w:w="5083"/>
            <w:vAlign w:val="center"/>
          </w:tcPr>
          <w:p>
            <w:r/>
            <w:r>
              <w:rPr>
                <w:rFonts w:ascii="Aptos" w:hAnsi="Aptos"/>
                <w:b w:val="0"/>
                <w:sz w:val="19"/>
              </w:rPr>
              <w:t>Clear Visa Change proposition + Start Visa Change + Track Status</w:t>
            </w:r>
          </w:p>
        </w:tc>
      </w:tr>
      <w:tr>
        <w:tc>
          <w:tcPr>
            <w:tcW w:type="dxa" w:w="5083"/>
            <w:vAlign w:val="center"/>
            <w:shd w:fill="F3F6FB"/>
          </w:tcPr>
          <w:p>
            <w:r/>
            <w:r>
              <w:rPr>
                <w:rFonts w:ascii="Aptos" w:hAnsi="Aptos"/>
                <w:b/>
                <w:sz w:val="19"/>
              </w:rPr>
              <w:t>What is Visa Change?</w:t>
            </w:r>
          </w:p>
        </w:tc>
        <w:tc>
          <w:tcPr>
            <w:tcW w:type="dxa" w:w="5083"/>
            <w:vAlign w:val="center"/>
          </w:tcPr>
          <w:p>
            <w:r/>
            <w:r>
              <w:rPr>
                <w:rFonts w:ascii="Aptos" w:hAnsi="Aptos"/>
                <w:b w:val="0"/>
                <w:sz w:val="19"/>
              </w:rPr>
              <w:t>One-paragraph explanation of the service</w:t>
            </w:r>
          </w:p>
        </w:tc>
      </w:tr>
      <w:tr>
        <w:tc>
          <w:tcPr>
            <w:tcW w:type="dxa" w:w="5083"/>
            <w:vAlign w:val="center"/>
            <w:shd w:fill="F3F6FB"/>
          </w:tcPr>
          <w:p>
            <w:r/>
            <w:r>
              <w:rPr>
                <w:rFonts w:ascii="Aptos" w:hAnsi="Aptos"/>
                <w:b/>
                <w:sz w:val="19"/>
              </w:rPr>
              <w:t>Where can I apply?</w:t>
            </w:r>
          </w:p>
        </w:tc>
        <w:tc>
          <w:tcPr>
            <w:tcW w:type="dxa" w:w="5083"/>
            <w:vAlign w:val="center"/>
          </w:tcPr>
          <w:p>
            <w:r/>
            <w:r>
              <w:rPr>
                <w:rFonts w:ascii="Aptos" w:hAnsi="Aptos"/>
                <w:b w:val="0"/>
                <w:sz w:val="19"/>
              </w:rPr>
              <w:t>Make it clear the traveller must currently be in the UAE</w:t>
            </w:r>
          </w:p>
        </w:tc>
      </w:tr>
      <w:tr>
        <w:tc>
          <w:tcPr>
            <w:tcW w:type="dxa" w:w="5083"/>
            <w:vAlign w:val="center"/>
            <w:shd w:fill="F3F6FB"/>
          </w:tcPr>
          <w:p>
            <w:r/>
            <w:r>
              <w:rPr>
                <w:rFonts w:ascii="Aptos" w:hAnsi="Aptos"/>
                <w:b/>
                <w:sz w:val="19"/>
              </w:rPr>
              <w:t>Visa Change methods</w:t>
            </w:r>
          </w:p>
        </w:tc>
        <w:tc>
          <w:tcPr>
            <w:tcW w:type="dxa" w:w="5083"/>
            <w:vAlign w:val="center"/>
          </w:tcPr>
          <w:p>
            <w:r/>
            <w:r>
              <w:rPr>
                <w:rFonts w:ascii="Aptos" w:hAnsi="Aptos"/>
                <w:b w:val="0"/>
                <w:sz w:val="19"/>
              </w:rPr>
              <w:t>A2A and Border Exit cards</w:t>
            </w:r>
          </w:p>
        </w:tc>
      </w:tr>
      <w:tr>
        <w:tc>
          <w:tcPr>
            <w:tcW w:type="dxa" w:w="5083"/>
            <w:vAlign w:val="center"/>
            <w:shd w:fill="F3F6FB"/>
          </w:tcPr>
          <w:p>
            <w:r/>
            <w:r>
              <w:rPr>
                <w:rFonts w:ascii="Aptos" w:hAnsi="Aptos"/>
                <w:b/>
                <w:sz w:val="19"/>
              </w:rPr>
              <w:t>Who can apply?</w:t>
            </w:r>
          </w:p>
        </w:tc>
        <w:tc>
          <w:tcPr>
            <w:tcW w:type="dxa" w:w="5083"/>
            <w:vAlign w:val="center"/>
          </w:tcPr>
          <w:p>
            <w:r/>
            <w:r>
              <w:rPr>
                <w:rFonts w:ascii="Aptos" w:hAnsi="Aptos"/>
                <w:b w:val="0"/>
                <w:sz w:val="19"/>
              </w:rPr>
              <w:t>Tourist visa holders and cancelled residence visa holders, subject to requirements</w:t>
            </w:r>
          </w:p>
        </w:tc>
      </w:tr>
      <w:tr>
        <w:tc>
          <w:tcPr>
            <w:tcW w:type="dxa" w:w="5083"/>
            <w:vAlign w:val="center"/>
            <w:shd w:fill="F3F6FB"/>
          </w:tcPr>
          <w:p>
            <w:r/>
            <w:r>
              <w:rPr>
                <w:rFonts w:ascii="Aptos" w:hAnsi="Aptos"/>
                <w:b/>
                <w:sz w:val="19"/>
              </w:rPr>
              <w:t>What you'll need</w:t>
            </w:r>
          </w:p>
        </w:tc>
        <w:tc>
          <w:tcPr>
            <w:tcW w:type="dxa" w:w="5083"/>
            <w:vAlign w:val="center"/>
          </w:tcPr>
          <w:p>
            <w:r/>
            <w:r>
              <w:rPr>
                <w:rFonts w:ascii="Aptos" w:hAnsi="Aptos"/>
                <w:b w:val="0"/>
                <w:sz w:val="19"/>
              </w:rPr>
              <w:t>Short list of contact/passport/visa/nationality information</w:t>
            </w:r>
          </w:p>
        </w:tc>
      </w:tr>
      <w:tr>
        <w:tc>
          <w:tcPr>
            <w:tcW w:type="dxa" w:w="5083"/>
            <w:vAlign w:val="center"/>
            <w:shd w:fill="F3F6FB"/>
          </w:tcPr>
          <w:p>
            <w:r/>
            <w:r>
              <w:rPr>
                <w:rFonts w:ascii="Aptos" w:hAnsi="Aptos"/>
                <w:b/>
                <w:sz w:val="19"/>
              </w:rPr>
              <w:t>Pricing</w:t>
            </w:r>
          </w:p>
        </w:tc>
        <w:tc>
          <w:tcPr>
            <w:tcW w:type="dxa" w:w="5083"/>
            <w:vAlign w:val="center"/>
          </w:tcPr>
          <w:p>
            <w:r/>
            <w:r>
              <w:rPr>
                <w:rFonts w:ascii="Aptos" w:hAnsi="Aptos"/>
                <w:b w:val="0"/>
                <w:sz w:val="19"/>
              </w:rPr>
              <w:t>Explain nationality-wise pricing and when the final price appears</w:t>
            </w:r>
          </w:p>
        </w:tc>
      </w:tr>
      <w:tr>
        <w:tc>
          <w:tcPr>
            <w:tcW w:type="dxa" w:w="5083"/>
            <w:vAlign w:val="center"/>
            <w:shd w:fill="F3F6FB"/>
          </w:tcPr>
          <w:p>
            <w:r/>
            <w:r>
              <w:rPr>
                <w:rFonts w:ascii="Aptos" w:hAnsi="Aptos"/>
                <w:b/>
                <w:sz w:val="19"/>
              </w:rPr>
              <w:t>How it works</w:t>
            </w:r>
          </w:p>
        </w:tc>
        <w:tc>
          <w:tcPr>
            <w:tcW w:type="dxa" w:w="5083"/>
            <w:vAlign w:val="center"/>
          </w:tcPr>
          <w:p>
            <w:r>
              <w:t>7 simple visual steps using a clean path/timeline</w:t>
            </w:r>
          </w:p>
        </w:tc>
      </w:tr>
      <w:tr>
        <w:tc>
          <w:tcPr>
            <w:tcW w:type="dxa" w:w="5083"/>
            <w:vAlign w:val="center"/>
            <w:shd w:fill="F3F6FB"/>
          </w:tcPr>
          <w:p>
            <w:r/>
            <w:r>
              <w:rPr>
                <w:rFonts w:ascii="Aptos" w:hAnsi="Aptos"/>
                <w:b/>
                <w:sz w:val="19"/>
              </w:rPr>
              <w:t>A2A / Border package</w:t>
            </w:r>
          </w:p>
        </w:tc>
        <w:tc>
          <w:tcPr>
            <w:tcW w:type="dxa" w:w="5083"/>
            <w:vAlign w:val="center"/>
          </w:tcPr>
          <w:p>
            <w:r/>
            <w:r>
              <w:rPr>
                <w:rFonts w:ascii="Aptos" w:hAnsi="Aptos"/>
                <w:b w:val="0"/>
                <w:sz w:val="19"/>
              </w:rPr>
              <w:t>Show what the customer receives after availability confirmation</w:t>
            </w:r>
          </w:p>
        </w:tc>
      </w:tr>
      <w:tr>
        <w:tc>
          <w:tcPr>
            <w:tcW w:type="dxa" w:w="5083"/>
            <w:vAlign w:val="center"/>
            <w:shd w:fill="F3F6FB"/>
          </w:tcPr>
          <w:p>
            <w:r/>
            <w:r>
              <w:rPr>
                <w:rFonts w:ascii="Aptos" w:hAnsi="Aptos"/>
                <w:b/>
                <w:sz w:val="19"/>
              </w:rPr>
              <w:t>FAQ</w:t>
            </w:r>
          </w:p>
        </w:tc>
        <w:tc>
          <w:tcPr>
            <w:tcW w:type="dxa" w:w="5083"/>
            <w:vAlign w:val="center"/>
          </w:tcPr>
          <w:p>
            <w:r/>
            <w:r>
              <w:rPr>
                <w:rFonts w:ascii="Aptos" w:hAnsi="Aptos"/>
                <w:b w:val="0"/>
                <w:sz w:val="19"/>
              </w:rPr>
              <w:t>Service-specific questions and answers</w:t>
            </w:r>
          </w:p>
        </w:tc>
      </w:tr>
      <w:tr>
        <w:tc>
          <w:tcPr>
            <w:tcW w:type="dxa" w:w="5083"/>
            <w:vAlign w:val="center"/>
            <w:shd w:fill="F3F6FB"/>
          </w:tcPr>
          <w:p>
            <w:r/>
            <w:r>
              <w:rPr>
                <w:rFonts w:ascii="Aptos" w:hAnsi="Aptos"/>
                <w:b/>
                <w:sz w:val="19"/>
              </w:rPr>
              <w:t>Final CTA</w:t>
            </w:r>
          </w:p>
        </w:tc>
        <w:tc>
          <w:tcPr>
            <w:tcW w:type="dxa" w:w="5083"/>
            <w:vAlign w:val="center"/>
          </w:tcPr>
          <w:p>
            <w:r/>
            <w:r>
              <w:rPr>
                <w:rFonts w:ascii="Aptos" w:hAnsi="Aptos"/>
                <w:b w:val="0"/>
                <w:sz w:val="19"/>
              </w:rPr>
              <w:t>Start Visa Change + Track Status</w:t>
            </w:r>
          </w:p>
        </w:tc>
      </w:tr>
    </w:tbl>
    <w:p>
      <w:pPr>
        <w:pStyle w:val="Heading1"/>
      </w:pPr>
      <w:r>
        <w:t>3. HERO — Final Copy</w:t>
      </w:r>
    </w:p>
    <w:p>
      <w:pPr>
        <w:spacing w:before="80" w:after="40"/>
      </w:pPr>
      <w:r>
        <w:rPr>
          <w:b/>
          <w:color w:val="3E6FDB"/>
          <w:sz w:val="17"/>
        </w:rPr>
        <w:t>EYEBROW</w:t>
      </w:r>
    </w:p>
    <w:p>
      <w:pPr>
        <w:spacing w:after="100"/>
      </w:pPr>
      <w:r>
        <w:t>UAE VISA CHANGE</w:t>
      </w:r>
    </w:p>
    <w:p>
      <w:pPr>
        <w:spacing w:before="80" w:after="40"/>
      </w:pPr>
      <w:r>
        <w:rPr>
          <w:b/>
          <w:color w:val="3E6FDB"/>
          <w:sz w:val="17"/>
        </w:rPr>
        <w:t>HEADLINE</w:t>
      </w:r>
    </w:p>
    <w:p>
      <w:pPr>
        <w:spacing w:after="100"/>
      </w:pPr>
      <w:r>
        <w:t>Visa Change, Made Simple</w:t>
      </w:r>
    </w:p>
    <w:p>
      <w:pPr>
        <w:spacing w:before="80" w:after="40"/>
      </w:pPr>
      <w:r>
        <w:rPr>
          <w:b/>
          <w:color w:val="3E6FDB"/>
          <w:sz w:val="17"/>
        </w:rPr>
        <w:t>SUPPORTING COPY</w:t>
      </w:r>
    </w:p>
    <w:p>
      <w:pPr>
        <w:spacing w:after="100"/>
      </w:pPr>
      <w:r>
        <w:t>Change your UAE visa from inside the UAE through a simple, guided process. Choose Airport-to-Airport or Border Exit, submit your details, and let TripNexio coordinate the next steps for you.</w:t>
      </w:r>
    </w:p>
    <w:p>
      <w:pPr>
        <w:spacing w:before="80" w:after="40"/>
      </w:pPr>
      <w:r>
        <w:rPr>
          <w:b/>
          <w:color w:val="3E6FDB"/>
          <w:sz w:val="17"/>
        </w:rPr>
        <w:t>PRIMARY CTA</w:t>
      </w:r>
    </w:p>
    <w:p>
      <w:pPr>
        <w:spacing w:after="100"/>
      </w:pPr>
      <w:r>
        <w:t>Start Visa Change</w:t>
      </w:r>
    </w:p>
    <w:p>
      <w:pPr>
        <w:spacing w:before="80" w:after="40"/>
      </w:pPr>
      <w:r>
        <w:rPr>
          <w:b/>
          <w:color w:val="3E6FDB"/>
          <w:sz w:val="17"/>
        </w:rPr>
        <w:t>SECONDARY CTA</w:t>
      </w:r>
    </w:p>
    <w:p>
      <w:pPr>
        <w:spacing w:after="100"/>
      </w:pPr>
      <w:r>
        <w:t>Track Status</w:t>
      </w:r>
    </w:p>
    <w:p>
      <w:pPr>
        <w:spacing w:after="100"/>
      </w:pPr>
      <w:r>
        <w:t>Design note: keep the hero spacious. Use a subtle UAE travel/airport visual or abstract travel graphic. Do not place operational fields in the hero.</w:t>
      </w:r>
    </w:p>
    <w:p>
      <w:pPr>
        <w:pStyle w:val="Heading1"/>
      </w:pPr>
      <w:r>
        <w:t>4. What Is Visa Change?</w:t>
      </w:r>
    </w:p>
    <w:p>
      <w:pPr>
        <w:spacing w:before="80" w:after="40"/>
      </w:pPr>
      <w:r>
        <w:rPr>
          <w:b/>
          <w:color w:val="3E6FDB"/>
          <w:sz w:val="17"/>
        </w:rPr>
        <w:t>SECTION LABEL</w:t>
      </w:r>
    </w:p>
    <w:p>
      <w:pPr>
        <w:spacing w:after="100"/>
      </w:pPr>
      <w:r>
        <w:t>WHAT IS VISA CHANGE?</w:t>
      </w:r>
    </w:p>
    <w:p>
      <w:pPr>
        <w:spacing w:before="80" w:after="40"/>
      </w:pPr>
      <w:r>
        <w:rPr>
          <w:b/>
          <w:color w:val="3E6FDB"/>
          <w:sz w:val="17"/>
        </w:rPr>
        <w:t>HEADING</w:t>
      </w:r>
    </w:p>
    <w:p>
      <w:pPr>
        <w:spacing w:after="100"/>
      </w:pPr>
      <w:r>
        <w:t>Your UAE Visa Change, guided end to end</w:t>
      </w:r>
    </w:p>
    <w:p>
      <w:pPr>
        <w:spacing w:after="100"/>
      </w:pPr>
      <w:r>
        <w:t>Visa Change helps eligible travellers already in the UAE move through an available exit-and-new-visa process. Choose Airport-to-Airport or Border Exit, submit your details, and TripNexio coordinates the next steps once availability is confirmed.</w:t>
      </w:r>
    </w:p>
    <w:p>
      <w:pPr>
        <w:spacing w:after="100"/>
      </w:pPr>
      <w:r>
        <w:t>The service has two methods: Airport-to-Airport (A2A) and Border Exit.</w:t>
      </w:r>
    </w:p>
    <w:p>
      <w:pPr>
        <w:pStyle w:val="Heading1"/>
      </w:pPr>
      <w:r>
        <w:t>5. Where Can I Apply?</w:t>
      </w:r>
    </w:p>
    <w:p>
      <w:pPr>
        <w:spacing w:before="80" w:after="40"/>
      </w:pPr>
      <w:r>
        <w:rPr>
          <w:b/>
          <w:color w:val="3E6FDB"/>
          <w:sz w:val="17"/>
        </w:rPr>
        <w:t>SECTION LABEL</w:t>
      </w:r>
    </w:p>
    <w:p>
      <w:pPr>
        <w:spacing w:after="100"/>
      </w:pPr>
      <w:r>
        <w:t>CURRENTLY IN THE UAE</w:t>
      </w:r>
    </w:p>
    <w:p>
      <w:pPr>
        <w:spacing w:before="80" w:after="40"/>
      </w:pPr>
      <w:r>
        <w:rPr>
          <w:b/>
          <w:color w:val="3E6FDB"/>
          <w:sz w:val="17"/>
        </w:rPr>
        <w:t>HEADING</w:t>
      </w:r>
    </w:p>
    <w:p>
      <w:pPr>
        <w:spacing w:after="100"/>
      </w:pPr>
      <w:r>
        <w:t>Visa Change is available from inside the UAE</w:t>
      </w:r>
    </w:p>
    <w:p>
      <w:pPr>
        <w:spacing w:after="100"/>
      </w:pPr>
      <w:r>
        <w:t>This service is for travellers who are currently in the UAE. Customers outside the UAE should use the relevant New Visa service instead.</w:t>
      </w:r>
    </w:p>
    <w:p>
      <w:pPr>
        <w:spacing w:before="80" w:after="40"/>
      </w:pPr>
      <w:r>
        <w:rPr>
          <w:b/>
          <w:color w:val="3E6FDB"/>
          <w:sz w:val="17"/>
        </w:rPr>
        <w:t>ELIGIBILITY</w:t>
      </w:r>
    </w:p>
    <w:p>
      <w:pPr>
        <w:spacing w:after="100"/>
      </w:pPr>
      <w:r>
        <w:t>Visa Change can be requested by eligible UAE tourist visa holders and eligible holders of a cancelled UAE residence visa, subject to applicable immigration requirements, document checks, availability and the final decision of the relevant authority.</w:t>
      </w:r>
    </w:p>
    <w:p>
      <w:pPr>
        <w:spacing w:after="100"/>
      </w:pPr>
      <w:r>
        <w:t>Design note: use one simple horizontal reassurance card with the line “Inside UAE only” rather than a long eligibility checklist.</w:t>
      </w:r>
    </w:p>
    <w:p>
      <w:pPr>
        <w:pStyle w:val="Heading1"/>
      </w:pPr>
      <w:r>
        <w:t>6. Choose Your Visa Change Method</w:t>
      </w:r>
    </w:p>
    <w:p>
      <w:pPr>
        <w:spacing w:before="80" w:after="40"/>
      </w:pPr>
      <w:r>
        <w:rPr>
          <w:b/>
          <w:color w:val="3E6FDB"/>
          <w:sz w:val="17"/>
        </w:rPr>
        <w:t>SECTION LABEL</w:t>
      </w:r>
    </w:p>
    <w:p>
      <w:pPr>
        <w:spacing w:after="100"/>
      </w:pPr>
      <w:r>
        <w:t>CHOOSE YOUR METHOD</w:t>
      </w:r>
    </w:p>
    <w:p>
      <w:pPr>
        <w:spacing w:before="80" w:after="40"/>
      </w:pPr>
      <w:r>
        <w:rPr>
          <w:b/>
          <w:color w:val="3E6FDB"/>
          <w:sz w:val="17"/>
        </w:rPr>
        <w:t>HEADING</w:t>
      </w:r>
    </w:p>
    <w:p>
      <w:pPr>
        <w:spacing w:after="100"/>
      </w:pPr>
      <w:r>
        <w:t>Choose how you want to exit the UAE</w:t>
      </w:r>
    </w:p>
    <w:tbl>
      <w:tblPr>
        <w:tblW w:type="auto" w:w="0"/>
        <w:jc w:val="center"/>
        <w:tblLook w:firstColumn="1" w:firstRow="1" w:lastColumn="0" w:lastRow="0" w:noHBand="0" w:noVBand="1" w:val="04A0"/>
      </w:tblPr>
      <w:tblGrid>
        <w:gridCol w:w="5083"/>
        <w:gridCol w:w="5083"/>
      </w:tblGrid>
      <w:tr>
        <w:tc>
          <w:tcPr>
            <w:tcW w:type="dxa" w:w="5083"/>
            <w:vAlign w:val="center"/>
            <w:shd w:fill="F7F8FC"/>
          </w:tcPr>
          <w:p>
            <w:r/>
            <w:r>
              <w:rPr>
                <w:b/>
                <w:sz w:val="24"/>
              </w:rPr>
              <w:t>✈ Airport-to-Airport</w:t>
              <w:br/>
            </w:r>
            <w:r>
              <w:rPr>
                <w:sz w:val="19"/>
              </w:rPr>
              <w:t>Exit the UAE by air through a confirmed airport-to-airport arrangement. We confirm the available airport, airline, flight and timing before you choose.</w:t>
            </w:r>
          </w:p>
        </w:tc>
        <w:tc>
          <w:tcPr>
            <w:tcW w:type="dxa" w:w="5083"/>
            <w:vAlign w:val="center"/>
            <w:shd w:fill="F7F8FC"/>
          </w:tcPr>
          <w:p>
            <w:r/>
            <w:r>
              <w:rPr>
                <w:b/>
                <w:sz w:val="24"/>
              </w:rPr>
              <w:t>🚌 Border Exit</w:t>
              <w:br/>
            </w:r>
            <w:r>
              <w:rPr>
                <w:sz w:val="19"/>
              </w:rPr>
              <w:t>Exit the UAE through a confirmed land-border arrangement. We confirm the border, pickup and reporting details before you choose.</w:t>
            </w:r>
          </w:p>
        </w:tc>
      </w:tr>
    </w:tbl>
    <w:p>
      <w:pPr>
        <w:pStyle w:val="Heading1"/>
        <w:keepNext/>
        <w:pageBreakBefore/>
      </w:pPr>
      <w:r>
        <w:rPr>
          <w:b/>
        </w:rPr>
        <w:t>6A. How Airports and Borders Work</w:t>
      </w:r>
    </w:p>
    <w:p>
      <w:pPr>
        <w:keepNext/>
      </w:pPr>
      <w:r>
        <w:rPr>
          <w:b/>
          <w:color w:val="3E6FDB"/>
        </w:rPr>
        <w:t>HOW AIRPORTS AND BORDERS WORK</w:t>
      </w:r>
    </w:p>
    <w:p>
      <w:pPr>
        <w:pStyle w:val="Heading2"/>
        <w:keepNext/>
      </w:pPr>
      <w:r>
        <w:rPr>
          <w:b/>
        </w:rPr>
        <w:t>You choose the method. We confirm the route.</w:t>
      </w:r>
    </w:p>
    <w:p>
      <w:pPr>
        <w:keepNext/>
      </w:pPr>
      <w:r>
        <w:rPr>
          <w:b w:val="0"/>
        </w:rPr>
        <w:t>You do not need to choose a specific airport or border crossing. Select Airport-to-Airport or Border Exit, and our team confirms the available route, date, time and operational details. You will only see confirmed options available for your Visa Change.</w:t>
      </w:r>
    </w:p>
    <w:p>
      <w:pPr>
        <w:pStyle w:val="Heading1"/>
      </w:pPr>
      <w:r>
        <w:t>7. Who Can Apply?</w:t>
      </w:r>
    </w:p>
    <w:p>
      <w:pPr>
        <w:spacing w:before="80" w:after="40"/>
      </w:pPr>
      <w:r>
        <w:rPr>
          <w:b/>
          <w:color w:val="3E6FDB"/>
          <w:sz w:val="17"/>
        </w:rPr>
        <w:t>SECTION LABEL</w:t>
      </w:r>
    </w:p>
    <w:p>
      <w:pPr>
        <w:spacing w:after="100"/>
      </w:pPr>
      <w:r>
        <w:t>ELIGIBILITY</w:t>
      </w:r>
    </w:p>
    <w:p>
      <w:pPr>
        <w:spacing w:before="80" w:after="40"/>
      </w:pPr>
      <w:r>
        <w:rPr>
          <w:b/>
          <w:color w:val="3E6FDB"/>
          <w:sz w:val="17"/>
        </w:rPr>
        <w:t>HEADING</w:t>
      </w:r>
    </w:p>
    <w:p>
      <w:pPr>
        <w:spacing w:after="100"/>
      </w:pPr>
      <w:r>
        <w:t>Visa Change for eligible travellers in the UAE</w:t>
      </w:r>
    </w:p>
    <w:p>
      <w:pPr>
        <w:spacing w:after="100"/>
      </w:pPr>
      <w:r>
        <w:t>TripNexio accepts Visa Change requests from eligible travellers who are currently in the UAE, including tourist visa holders and eligible cancelled residence visa holders, subject to the applicable immigration requirements and confirmed availability.</w:t>
      </w:r>
    </w:p>
    <w:p>
      <w:pPr>
        <w:spacing w:after="100"/>
      </w:pPr>
      <w:r>
        <w:t>Design note: keep this to one short paragraph; do not create a long occupation/profile grid.</w:t>
      </w:r>
    </w:p>
    <w:p>
      <w:pPr>
        <w:pStyle w:val="Heading1"/>
      </w:pPr>
      <w:r>
        <w:t>8. What You'll Need</w:t>
      </w:r>
    </w:p>
    <w:p>
      <w:pPr>
        <w:spacing w:before="80" w:after="40"/>
      </w:pPr>
      <w:r>
        <w:rPr>
          <w:b/>
          <w:color w:val="3E6FDB"/>
          <w:sz w:val="17"/>
        </w:rPr>
        <w:t>SECTION LABEL</w:t>
      </w:r>
    </w:p>
    <w:p>
      <w:pPr>
        <w:spacing w:after="100"/>
      </w:pPr>
      <w:r>
        <w:t>WHAT YOU'LL NEED</w:t>
      </w:r>
    </w:p>
    <w:tbl>
      <w:tblPr>
        <w:tblW w:type="auto" w:w="0"/>
        <w:jc w:val="center"/>
        <w:tblLook w:firstColumn="1" w:firstRow="1" w:lastColumn="0" w:lastRow="0" w:noHBand="0" w:noVBand="1" w:val="04A0"/>
      </w:tblPr>
      <w:tblGrid>
        <w:gridCol w:w="3389"/>
        <w:gridCol w:w="3389"/>
        <w:gridCol w:w="3389"/>
      </w:tblGrid>
      <w:tr>
        <w:tc>
          <w:tcPr>
            <w:tcW w:type="dxa" w:w="3389"/>
            <w:shd w:fill="F8FAFD"/>
          </w:tcPr>
          <w:p>
            <w:r/>
            <w:r>
              <w:rPr>
                <w:b/>
                <w:color w:val="182A4D"/>
                <w:sz w:val="21"/>
              </w:rPr>
              <w:t>Full name</w:t>
              <w:br/>
            </w:r>
            <w:r>
              <w:rPr>
                <w:color w:val="60656E"/>
                <w:sz w:val="17"/>
              </w:rPr>
              <w:t>Applicant / passenger name</w:t>
            </w:r>
          </w:p>
        </w:tc>
        <w:tc>
          <w:tcPr>
            <w:tcW w:type="dxa" w:w="3389"/>
            <w:shd w:fill="F8FAFD"/>
          </w:tcPr>
          <w:p>
            <w:r/>
            <w:r>
              <w:rPr>
                <w:b/>
                <w:color w:val="182A4D"/>
                <w:sz w:val="21"/>
              </w:rPr>
              <w:t>Mobile number</w:t>
              <w:br/>
            </w:r>
            <w:r>
              <w:rPr>
                <w:color w:val="60656E"/>
                <w:sz w:val="17"/>
              </w:rPr>
              <w:t>Active contact number</w:t>
            </w:r>
          </w:p>
        </w:tc>
        <w:tc>
          <w:tcPr>
            <w:tcW w:type="dxa" w:w="3389"/>
            <w:shd w:fill="F8FAFD"/>
          </w:tcPr>
          <w:p>
            <w:r/>
            <w:r>
              <w:rPr>
                <w:b/>
                <w:color w:val="182A4D"/>
                <w:sz w:val="21"/>
              </w:rPr>
              <w:t>Email address</w:t>
              <w:br/>
            </w:r>
            <w:r>
              <w:rPr>
                <w:color w:val="60656E"/>
                <w:sz w:val="17"/>
              </w:rPr>
              <w:t>Email for updates and confirmations</w:t>
            </w:r>
          </w:p>
        </w:tc>
      </w:tr>
      <w:tr>
        <w:tc>
          <w:tcPr>
            <w:tcW w:type="dxa" w:w="3389"/>
            <w:shd w:fill="F8FAFD"/>
          </w:tcPr>
          <w:p>
            <w:r/>
            <w:r>
              <w:rPr>
                <w:b/>
                <w:color w:val="182A4D"/>
                <w:sz w:val="21"/>
              </w:rPr>
              <w:t>Passport number</w:t>
              <w:br/>
            </w:r>
            <w:r>
              <w:rPr>
                <w:color w:val="60656E"/>
                <w:sz w:val="17"/>
              </w:rPr>
              <w:t>Required passenger identifier</w:t>
            </w:r>
          </w:p>
        </w:tc>
        <w:tc>
          <w:tcPr>
            <w:tcW w:type="dxa" w:w="3389"/>
            <w:shd w:fill="F8FAFD"/>
          </w:tcPr>
          <w:p>
            <w:r/>
            <w:r>
              <w:rPr>
                <w:b/>
                <w:color w:val="182A4D"/>
                <w:sz w:val="21"/>
              </w:rPr>
              <w:t>Visa expiry date</w:t>
              <w:br/>
            </w:r>
            <w:r>
              <w:rPr>
                <w:color w:val="60656E"/>
                <w:sz w:val="17"/>
              </w:rPr>
              <w:t>Current visa last date</w:t>
            </w:r>
          </w:p>
        </w:tc>
        <w:tc>
          <w:tcPr>
            <w:tcW w:type="dxa" w:w="3389"/>
            <w:shd w:fill="F8FAFD"/>
          </w:tcPr>
          <w:p>
            <w:r/>
            <w:r>
              <w:rPr>
                <w:b/>
                <w:color w:val="182A4D"/>
                <w:sz w:val="21"/>
              </w:rPr>
              <w:t>Nationality</w:t>
              <w:br/>
            </w:r>
            <w:r>
              <w:rPr>
                <w:color w:val="60656E"/>
                <w:sz w:val="17"/>
              </w:rPr>
              <w:t>Used for applicable documents and nationality-wise pricing</w:t>
            </w:r>
          </w:p>
        </w:tc>
      </w:tr>
    </w:tbl>
    <w:p>
      <w:pPr>
        <w:spacing w:after="100"/>
      </w:pPr>
      <w:r>
        <w:t>You can add another passenger. Each passenger has their own nationality and Adult/Child details.</w:t>
      </w:r>
    </w:p>
    <w:p>
      <w:pPr>
        <w:pStyle w:val="Heading1"/>
      </w:pPr>
      <w:r>
        <w:t>9. Documents Required</w:t>
      </w:r>
    </w:p>
    <w:p>
      <w:pPr>
        <w:spacing w:before="80" w:after="40"/>
      </w:pPr>
      <w:r>
        <w:rPr>
          <w:b/>
          <w:color w:val="3E6FDB"/>
          <w:sz w:val="17"/>
        </w:rPr>
        <w:t>SECTION LABEL</w:t>
      </w:r>
    </w:p>
    <w:p>
      <w:pPr>
        <w:spacing w:after="100"/>
      </w:pPr>
      <w:r>
        <w:t>DOCUMENTS REQUIRED</w:t>
      </w:r>
    </w:p>
    <w:p>
      <w:pPr>
        <w:spacing w:after="100"/>
      </w:pPr>
      <w:r>
        <w:t>Show documents as visual cards, not as a long paragraph. The actual checklist is nationality-based and Admin-configured.</w:t>
      </w:r>
    </w:p>
    <w:tbl>
      <w:tblPr>
        <w:tblW w:type="auto" w:w="0"/>
        <w:jc w:val="center"/>
        <w:tblLook w:firstColumn="1" w:firstRow="1" w:lastColumn="0" w:lastRow="0" w:noHBand="0" w:noVBand="1" w:val="04A0"/>
      </w:tblPr>
      <w:tblGrid>
        <w:gridCol w:w="3389"/>
        <w:gridCol w:w="3389"/>
        <w:gridCol w:w="3389"/>
      </w:tblGrid>
      <w:tr>
        <w:tc>
          <w:tcPr>
            <w:tcW w:type="dxa" w:w="3389"/>
            <w:shd w:fill="F8FAFD"/>
          </w:tcPr>
          <w:p>
            <w:r/>
            <w:r>
              <w:rPr>
                <w:b/>
                <w:color w:val="182A4D"/>
                <w:sz w:val="20"/>
              </w:rPr>
              <w:t>Passport</w:t>
              <w:br/>
            </w:r>
            <w:r>
              <w:rPr>
                <w:color w:val="60656E"/>
                <w:sz w:val="17"/>
              </w:rPr>
              <w:t>Passport copy as requested</w:t>
            </w:r>
          </w:p>
        </w:tc>
        <w:tc>
          <w:tcPr>
            <w:tcW w:type="dxa" w:w="3389"/>
            <w:shd w:fill="F8FAFD"/>
          </w:tcPr>
          <w:p>
            <w:r/>
            <w:r>
              <w:rPr>
                <w:b/>
                <w:color w:val="182A4D"/>
                <w:sz w:val="20"/>
              </w:rPr>
              <w:t>Passport Photograph</w:t>
              <w:br/>
            </w:r>
            <w:r>
              <w:rPr>
                <w:color w:val="60656E"/>
                <w:sz w:val="17"/>
              </w:rPr>
              <w:t>Recent photograph when required</w:t>
            </w:r>
          </w:p>
        </w:tc>
        <w:tc>
          <w:tcPr>
            <w:tcW w:type="dxa" w:w="3389"/>
            <w:shd w:fill="F8FAFD"/>
          </w:tcPr>
          <w:p>
            <w:r/>
            <w:r>
              <w:rPr>
                <w:b/>
                <w:color w:val="182A4D"/>
                <w:sz w:val="20"/>
              </w:rPr>
              <w:t>Additional Documents</w:t>
              <w:br/>
            </w:r>
            <w:r>
              <w:rPr>
                <w:color w:val="60656E"/>
                <w:sz w:val="17"/>
              </w:rPr>
              <w:t>Nationality/service-specific documents where required</w:t>
            </w:r>
          </w:p>
        </w:tc>
      </w:tr>
    </w:tbl>
    <w:p>
      <w:pPr>
        <w:spacing w:after="100"/>
      </w:pPr>
      <w:r>
        <w:t>Small note: “Document requirements may vary by nationality and application. Additional documents may be requested where required.”</w:t>
      </w:r>
    </w:p>
    <w:p>
      <w:pPr>
        <w:spacing w:after="100"/>
      </w:pPr>
      <w:r>
        <w:t>Actual upload occurs after successful payment. Existing valid documents may be reused where available.</w:t>
      </w:r>
    </w:p>
    <w:p>
      <w:pPr>
        <w:pStyle w:val="Heading1"/>
      </w:pPr>
      <w:r>
        <w:t>10. Pricing — Final Customer Copy</w:t>
      </w:r>
    </w:p>
    <w:p>
      <w:pPr>
        <w:spacing w:before="80" w:after="40"/>
      </w:pPr>
      <w:r>
        <w:rPr>
          <w:b/>
          <w:color w:val="3E6FDB"/>
          <w:sz w:val="17"/>
        </w:rPr>
        <w:t>SECTION LABEL</w:t>
      </w:r>
    </w:p>
    <w:p>
      <w:pPr>
        <w:spacing w:after="100"/>
      </w:pPr>
      <w:r>
        <w:t>PRICING</w:t>
      </w:r>
    </w:p>
    <w:p>
      <w:pPr>
        <w:spacing w:before="80" w:after="40"/>
      </w:pPr>
      <w:r>
        <w:rPr>
          <w:b/>
          <w:color w:val="3E6FDB"/>
          <w:sz w:val="17"/>
        </w:rPr>
        <w:t>HEADING</w:t>
      </w:r>
    </w:p>
    <w:p>
      <w:pPr>
        <w:spacing w:after="100"/>
      </w:pPr>
      <w:r>
        <w:t>Your final price is confirmed after availability</w:t>
      </w:r>
    </w:p>
    <w:p>
      <w:pPr>
        <w:spacing w:after="100"/>
      </w:pPr>
      <w:r>
        <w:t>Visa Change pricing is nationality-wise and depends on the confirmed method and package, passenger type, passenger count and applicable charges. The final price is shown after an available option is confirmed and you select your preferred package.</w:t>
      </w:r>
    </w:p>
    <w:p>
      <w:pPr>
        <w:spacing w:after="100"/>
      </w:pPr>
      <w:r>
        <w:t>Example display:</w:t>
      </w:r>
    </w:p>
    <w:tbl>
      <w:tblPr>
        <w:tblW w:type="auto" w:w="0"/>
        <w:jc w:val="center"/>
        <w:tblLook w:firstColumn="1" w:firstRow="1" w:lastColumn="0" w:lastRow="0" w:noHBand="0" w:noVBand="1" w:val="04A0"/>
      </w:tblPr>
      <w:tblGrid>
        <w:gridCol w:w="3389"/>
        <w:gridCol w:w="3389"/>
        <w:gridCol w:w="3389"/>
      </w:tblGrid>
      <w:tr>
        <w:tc>
          <w:tcPr>
            <w:tcW w:type="dxa" w:w="3389"/>
            <w:vAlign w:val="center"/>
            <w:shd w:fill="182A4D"/>
          </w:tcPr>
          <w:p>
            <w:r/>
            <w:r>
              <w:rPr>
                <w:rFonts w:ascii="Aptos" w:hAnsi="Aptos"/>
                <w:b/>
                <w:color w:val="FFFFFF"/>
                <w:sz w:val="19"/>
              </w:rPr>
              <w:t>Nationality</w:t>
            </w:r>
          </w:p>
        </w:tc>
        <w:tc>
          <w:tcPr>
            <w:tcW w:type="dxa" w:w="3389"/>
            <w:vAlign w:val="center"/>
            <w:shd w:fill="182A4D"/>
          </w:tcPr>
          <w:p>
            <w:r/>
            <w:r>
              <w:rPr>
                <w:rFonts w:ascii="Aptos" w:hAnsi="Aptos"/>
                <w:b/>
                <w:color w:val="FFFFFF"/>
                <w:sz w:val="19"/>
              </w:rPr>
              <w:t>Passenger</w:t>
            </w:r>
          </w:p>
        </w:tc>
        <w:tc>
          <w:tcPr>
            <w:tcW w:type="dxa" w:w="3389"/>
            <w:vAlign w:val="center"/>
            <w:shd w:fill="182A4D"/>
          </w:tcPr>
          <w:p>
            <w:r/>
            <w:r>
              <w:rPr>
                <w:rFonts w:ascii="Aptos" w:hAnsi="Aptos"/>
                <w:b/>
                <w:color w:val="FFFFFF"/>
                <w:sz w:val="19"/>
              </w:rPr>
              <w:t>Price</w:t>
            </w:r>
          </w:p>
        </w:tc>
      </w:tr>
      <w:tr>
        <w:tc>
          <w:tcPr>
            <w:tcW w:type="dxa" w:w="3389"/>
            <w:vAlign w:val="center"/>
          </w:tcPr>
          <w:p>
            <w:r/>
            <w:r>
              <w:rPr>
                <w:rFonts w:ascii="Aptos" w:hAnsi="Aptos"/>
                <w:b w:val="0"/>
                <w:sz w:val="19"/>
              </w:rPr>
              <w:t>Indian</w:t>
            </w:r>
          </w:p>
        </w:tc>
        <w:tc>
          <w:tcPr>
            <w:tcW w:type="dxa" w:w="3389"/>
            <w:vAlign w:val="center"/>
          </w:tcPr>
          <w:p>
            <w:r/>
            <w:r>
              <w:rPr>
                <w:rFonts w:ascii="Aptos" w:hAnsi="Aptos"/>
                <w:b w:val="0"/>
                <w:sz w:val="19"/>
              </w:rPr>
              <w:t>Adult</w:t>
            </w:r>
          </w:p>
        </w:tc>
        <w:tc>
          <w:tcPr>
            <w:tcW w:type="dxa" w:w="3389"/>
            <w:vAlign w:val="center"/>
          </w:tcPr>
          <w:p>
            <w:r/>
            <w:r>
              <w:rPr>
                <w:rFonts w:ascii="Aptos" w:hAnsi="Aptos"/>
                <w:b w:val="0"/>
                <w:sz w:val="19"/>
              </w:rPr>
              <w:t>₹XXXX</w:t>
            </w:r>
          </w:p>
        </w:tc>
      </w:tr>
      <w:tr>
        <w:tc>
          <w:tcPr>
            <w:tcW w:type="dxa" w:w="3389"/>
            <w:vAlign w:val="center"/>
          </w:tcPr>
          <w:p>
            <w:r/>
            <w:r>
              <w:rPr>
                <w:rFonts w:ascii="Aptos" w:hAnsi="Aptos"/>
                <w:b w:val="0"/>
                <w:sz w:val="19"/>
              </w:rPr>
              <w:t>Indian</w:t>
            </w:r>
          </w:p>
        </w:tc>
        <w:tc>
          <w:tcPr>
            <w:tcW w:type="dxa" w:w="3389"/>
            <w:vAlign w:val="center"/>
          </w:tcPr>
          <w:p>
            <w:r/>
            <w:r>
              <w:rPr>
                <w:rFonts w:ascii="Aptos" w:hAnsi="Aptos"/>
                <w:b w:val="0"/>
                <w:sz w:val="19"/>
              </w:rPr>
              <w:t>Child</w:t>
            </w:r>
          </w:p>
        </w:tc>
        <w:tc>
          <w:tcPr>
            <w:tcW w:type="dxa" w:w="3389"/>
            <w:vAlign w:val="center"/>
          </w:tcPr>
          <w:p>
            <w:r/>
            <w:r>
              <w:rPr>
                <w:rFonts w:ascii="Aptos" w:hAnsi="Aptos"/>
                <w:b w:val="0"/>
                <w:sz w:val="19"/>
              </w:rPr>
              <w:t>₹XXXX</w:t>
            </w:r>
          </w:p>
        </w:tc>
      </w:tr>
      <w:tr>
        <w:tc>
          <w:tcPr>
            <w:tcW w:type="dxa" w:w="3389"/>
            <w:vAlign w:val="center"/>
          </w:tcPr>
          <w:p>
            <w:r/>
            <w:r>
              <w:rPr>
                <w:rFonts w:ascii="Aptos" w:hAnsi="Aptos"/>
                <w:b w:val="0"/>
                <w:sz w:val="19"/>
              </w:rPr>
              <w:t>Other nationality</w:t>
            </w:r>
          </w:p>
        </w:tc>
        <w:tc>
          <w:tcPr>
            <w:tcW w:type="dxa" w:w="3389"/>
            <w:vAlign w:val="center"/>
          </w:tcPr>
          <w:p>
            <w:r/>
            <w:r>
              <w:rPr>
                <w:rFonts w:ascii="Aptos" w:hAnsi="Aptos"/>
                <w:b w:val="0"/>
                <w:sz w:val="19"/>
              </w:rPr>
              <w:t>Adult</w:t>
            </w:r>
          </w:p>
        </w:tc>
        <w:tc>
          <w:tcPr>
            <w:tcW w:type="dxa" w:w="3389"/>
            <w:vAlign w:val="center"/>
          </w:tcPr>
          <w:p>
            <w:r/>
            <w:r>
              <w:rPr>
                <w:rFonts w:ascii="Aptos" w:hAnsi="Aptos"/>
                <w:b w:val="0"/>
                <w:sz w:val="19"/>
              </w:rPr>
              <w:t>₹XXXX</w:t>
            </w:r>
          </w:p>
        </w:tc>
      </w:tr>
    </w:tbl>
    <w:p>
      <w:pPr>
        <w:pStyle w:val="Heading1"/>
        <w:pageBreakBefore/>
      </w:pPr>
      <w:r>
        <w:t>11. HOW IT WORKS — Final Reference-Style Copy</w:t>
      </w:r>
    </w:p>
    <w:p>
      <w:pPr>
        <w:spacing w:before="80" w:after="40"/>
      </w:pPr>
      <w:r>
        <w:rPr>
          <w:b/>
          <w:color w:val="3E6FDB"/>
          <w:sz w:val="17"/>
        </w:rPr>
        <w:t>SECTION LABEL</w:t>
      </w:r>
    </w:p>
    <w:p>
      <w:pPr>
        <w:spacing w:after="100"/>
      </w:pPr>
      <w:r>
        <w:t>SIMPLE STEPS</w:t>
      </w:r>
    </w:p>
    <w:p>
      <w:pPr>
        <w:spacing w:before="80" w:after="40"/>
      </w:pPr>
      <w:r>
        <w:rPr>
          <w:b/>
          <w:color w:val="3E6FDB"/>
          <w:sz w:val="17"/>
        </w:rPr>
        <w:t>HEADING</w:t>
      </w:r>
    </w:p>
    <w:p>
      <w:pPr>
        <w:spacing w:after="100"/>
      </w:pPr>
      <w:r>
        <w:t>How it works</w:t>
      </w:r>
    </w:p>
    <w:tbl>
      <w:tblPr>
        <w:tblW w:type="auto" w:w="0"/>
        <w:jc w:val="center"/>
        <w:tblLook w:firstColumn="1" w:firstRow="1" w:lastColumn="0" w:lastRow="0" w:noHBand="0" w:noVBand="1" w:val="04A0"/>
      </w:tblPr>
      <w:tblGrid>
        <w:gridCol w:w="5083"/>
        <w:gridCol w:w="5083"/>
      </w:tblGrid>
      <w:tr>
        <w:tc>
          <w:tcPr>
            <w:tcW w:type="dxa" w:w="5083"/>
            <w:shd w:fill="F8FAFD"/>
          </w:tcPr>
          <w:p>
            <w:r/>
            <w:r>
              <w:rPr>
                <w:b/>
                <w:sz w:val="21"/>
              </w:rPr>
              <w:t>01  Start your application</w:t>
              <w:br/>
            </w:r>
            <w:r>
              <w:rPr>
                <w:sz w:val="17"/>
              </w:rPr>
              <w:t>Choose A2A or Border Exit and enter your traveller details.</w:t>
            </w:r>
          </w:p>
        </w:tc>
        <w:tc>
          <w:tcPr>
            <w:tcW w:type="dxa" w:w="5083"/>
            <w:shd w:fill="F8FAFD"/>
          </w:tcPr>
          <w:p>
            <w:r/>
            <w:r>
              <w:rPr>
                <w:b/>
                <w:sz w:val="21"/>
              </w:rPr>
              <w:t>02  We check availability</w:t>
              <w:br/>
            </w:r>
            <w:r>
              <w:rPr>
                <w:sz w:val="17"/>
              </w:rPr>
              <w:t>Our team checks the available sponsor/vendor arrangements.</w:t>
            </w:r>
          </w:p>
        </w:tc>
      </w:tr>
      <w:tr>
        <w:tc>
          <w:tcPr>
            <w:tcW w:type="dxa" w:w="5083"/>
            <w:shd w:fill="F8FAFD"/>
          </w:tcPr>
          <w:p>
            <w:r/>
            <w:r>
              <w:rPr>
                <w:b/>
                <w:sz w:val="21"/>
              </w:rPr>
              <w:t>03  Choose your confirmed option</w:t>
              <w:br/>
            </w:r>
            <w:r>
              <w:rPr>
                <w:sz w:val="17"/>
              </w:rPr>
              <w:t>Once availability is confirmed, you can select the available date, time and package.</w:t>
            </w:r>
          </w:p>
        </w:tc>
        <w:tc>
          <w:tcPr>
            <w:tcW w:type="dxa" w:w="5083"/>
            <w:shd w:fill="F8FAFD"/>
          </w:tcPr>
          <w:p>
            <w:r/>
            <w:r>
              <w:rPr>
                <w:b/>
                <w:sz w:val="21"/>
              </w:rPr>
              <w:t>04  Complete payment</w:t>
              <w:br/>
            </w:r>
            <w:r>
              <w:rPr>
                <w:sz w:val="17"/>
              </w:rPr>
              <w:t>Review the package, terms and final price, then make payment.</w:t>
            </w:r>
          </w:p>
        </w:tc>
      </w:tr>
      <w:tr>
        <w:tc>
          <w:tcPr>
            <w:tcW w:type="dxa" w:w="5083"/>
            <w:shd w:fill="F8FAFD"/>
          </w:tcPr>
          <w:p>
            <w:r/>
            <w:r>
              <w:rPr>
                <w:b/>
                <w:sz w:val="21"/>
              </w:rPr>
              <w:t>05  Complete your Visa Change</w:t>
              <w:br/>
            </w:r>
            <w:r>
              <w:rPr>
                <w:sz w:val="17"/>
              </w:rPr>
              <w:t>Receive the confirmed travel/exit details and follow the instructions provided.</w:t>
            </w:r>
          </w:p>
        </w:tc>
        <w:tc>
          <w:tcPr>
            <w:tcW w:type="dxa" w:w="5083"/>
            <w:shd w:fill="F8FAFD"/>
          </w:tcPr>
          <w:p>
            <w:r/>
            <w:r>
              <w:rPr>
                <w:b/>
                <w:sz w:val="21"/>
              </w:rPr>
              <w:t>06  Exit completed</w:t>
              <w:br/>
            </w:r>
            <w:r>
              <w:rPr>
                <w:sz w:val="17"/>
              </w:rPr>
              <w:t>Our team records the completed exit and starts the next stage.</w:t>
            </w:r>
          </w:p>
        </w:tc>
      </w:tr>
      <w:tr>
        <w:tc>
          <w:tcPr>
            <w:tcW w:type="dxa" w:w="5083"/>
            <w:shd w:fill="F8FAFD"/>
          </w:tcPr>
          <w:p>
            <w:r/>
            <w:r>
              <w:rPr>
                <w:b/>
                <w:sz w:val="21"/>
              </w:rPr>
              <w:t>07  New Visa Processing</w:t>
              <w:br/>
            </w:r>
            <w:r>
              <w:rPr>
                <w:sz w:val="17"/>
              </w:rPr>
              <w:t>The new visa application proceeds and the visa is delivered once approved.</w:t>
            </w:r>
          </w:p>
        </w:tc>
        <w:tc>
          <w:tcPr>
            <w:tcW w:type="dxa" w:w="5083"/>
            <w:shd w:fill="F8FAFD"/>
          </w:tcPr>
          <w:p>
            <w:r/>
          </w:p>
        </w:tc>
      </w:tr>
    </w:tbl>
    <w:p>
      <w:pPr>
        <w:spacing w:after="100"/>
      </w:pPr>
      <w:r>
        <w:t>Design note: use the reference-style curved journey/path or a clean horizontal step path. Keep each step to one short title + one short sentence. Do not show internal OCR, staff verification, margin or vendor workflow to customers.</w:t>
      </w:r>
    </w:p>
    <w:p>
      <w:pPr>
        <w:pStyle w:val="Heading1"/>
      </w:pPr>
      <w:r>
        <w:t>12. Confirmed Options</w:t>
      </w:r>
    </w:p>
    <w:p>
      <w:pPr>
        <w:spacing w:before="80" w:after="40"/>
      </w:pPr>
      <w:r>
        <w:rPr>
          <w:b/>
          <w:color w:val="3E6FDB"/>
          <w:sz w:val="17"/>
        </w:rPr>
        <w:t>A2A</w:t>
      </w:r>
    </w:p>
    <w:p>
      <w:pPr>
        <w:spacing w:after="100"/>
      </w:pPr>
      <w:r>
        <w:t>After availability is confirmed, show:</w:t>
      </w:r>
    </w:p>
    <w:p>
      <w:pPr>
        <w:ind w:left="259" w:hanging="173"/>
      </w:pPr>
      <w:r>
        <w:rPr>
          <w:color w:val="3E6FDB"/>
        </w:rPr>
        <w:t xml:space="preserve">• </w:t>
      </w:r>
      <w:r>
        <w:t>Entry Airport</w:t>
      </w:r>
    </w:p>
    <w:p>
      <w:pPr>
        <w:ind w:left="259" w:hanging="173"/>
      </w:pPr>
      <w:r>
        <w:rPr>
          <w:color w:val="3E6FDB"/>
        </w:rPr>
        <w:t xml:space="preserve">• </w:t>
      </w:r>
      <w:r>
        <w:t>Exit Airport</w:t>
      </w:r>
    </w:p>
    <w:p>
      <w:pPr>
        <w:ind w:left="259" w:hanging="173"/>
      </w:pPr>
      <w:r>
        <w:rPr>
          <w:color w:val="3E6FDB"/>
        </w:rPr>
        <w:t xml:space="preserve">• </w:t>
      </w:r>
      <w:r>
        <w:t>Airline</w:t>
      </w:r>
    </w:p>
    <w:p>
      <w:pPr>
        <w:ind w:left="259" w:hanging="173"/>
      </w:pPr>
      <w:r>
        <w:rPr>
          <w:color w:val="3E6FDB"/>
        </w:rPr>
        <w:t xml:space="preserve">• </w:t>
      </w:r>
      <w:r>
        <w:t>Flight</w:t>
      </w:r>
    </w:p>
    <w:p>
      <w:pPr>
        <w:ind w:left="259" w:hanging="173"/>
      </w:pPr>
      <w:r>
        <w:rPr>
          <w:color w:val="3E6FDB"/>
        </w:rPr>
        <w:t xml:space="preserve">• </w:t>
      </w:r>
      <w:r>
        <w:t>Date</w:t>
      </w:r>
    </w:p>
    <w:p>
      <w:pPr>
        <w:ind w:left="259" w:hanging="173"/>
      </w:pPr>
      <w:r>
        <w:rPr>
          <w:color w:val="3E6FDB"/>
        </w:rPr>
        <w:t xml:space="preserve">• </w:t>
      </w:r>
      <w:r>
        <w:t>Time</w:t>
      </w:r>
    </w:p>
    <w:p>
      <w:pPr>
        <w:ind w:left="259" w:hanging="173"/>
      </w:pPr>
      <w:r>
        <w:rPr>
          <w:color w:val="3E6FDB"/>
        </w:rPr>
        <w:t xml:space="preserve">• </w:t>
      </w:r>
      <w:r>
        <w:t>Reporting Time</w:t>
      </w:r>
    </w:p>
    <w:p>
      <w:pPr>
        <w:ind w:left="259" w:hanging="173"/>
      </w:pPr>
      <w:r>
        <w:rPr>
          <w:color w:val="3E6FDB"/>
        </w:rPr>
        <w:t xml:space="preserve">• </w:t>
      </w:r>
      <w:r>
        <w:t>Package details</w:t>
      </w:r>
    </w:p>
    <w:p>
      <w:pPr>
        <w:spacing w:before="80" w:after="40"/>
      </w:pPr>
      <w:r>
        <w:rPr>
          <w:b/>
          <w:color w:val="3E6FDB"/>
          <w:sz w:val="17"/>
        </w:rPr>
        <w:t>BORDER EXIT</w:t>
      </w:r>
    </w:p>
    <w:p>
      <w:pPr>
        <w:spacing w:after="100"/>
      </w:pPr>
      <w:r>
        <w:t>After availability is confirmed, show:</w:t>
      </w:r>
    </w:p>
    <w:p>
      <w:pPr>
        <w:ind w:left="259" w:hanging="173"/>
      </w:pPr>
      <w:r>
        <w:rPr>
          <w:color w:val="3E6FDB"/>
        </w:rPr>
        <w:t xml:space="preserve">• </w:t>
      </w:r>
      <w:r>
        <w:t>Border Name</w:t>
      </w:r>
    </w:p>
    <w:p>
      <w:pPr>
        <w:ind w:left="259" w:hanging="173"/>
      </w:pPr>
      <w:r>
        <w:rPr>
          <w:color w:val="3E6FDB"/>
        </w:rPr>
        <w:t xml:space="preserve">• </w:t>
      </w:r>
      <w:r>
        <w:t>Pickup Location</w:t>
      </w:r>
    </w:p>
    <w:p>
      <w:pPr>
        <w:ind w:left="259" w:hanging="173"/>
      </w:pPr>
      <w:r>
        <w:rPr>
          <w:color w:val="3E6FDB"/>
        </w:rPr>
        <w:t xml:space="preserve">• </w:t>
      </w:r>
      <w:r>
        <w:t>Pickup Person</w:t>
      </w:r>
    </w:p>
    <w:p>
      <w:pPr>
        <w:ind w:left="259" w:hanging="173"/>
      </w:pPr>
      <w:r>
        <w:rPr>
          <w:color w:val="3E6FDB"/>
        </w:rPr>
        <w:t xml:space="preserve">• </w:t>
      </w:r>
      <w:r>
        <w:t>Pickup Contact</w:t>
      </w:r>
    </w:p>
    <w:p>
      <w:pPr>
        <w:ind w:left="259" w:hanging="173"/>
      </w:pPr>
      <w:r>
        <w:rPr>
          <w:color w:val="3E6FDB"/>
        </w:rPr>
        <w:t xml:space="preserve">• </w:t>
      </w:r>
      <w:r>
        <w:t>Reporting Time</w:t>
      </w:r>
    </w:p>
    <w:p>
      <w:pPr>
        <w:ind w:left="259" w:hanging="173"/>
      </w:pPr>
      <w:r>
        <w:rPr>
          <w:color w:val="3E6FDB"/>
        </w:rPr>
        <w:t xml:space="preserve">• </w:t>
      </w:r>
      <w:r>
        <w:t>Travel Time</w:t>
      </w:r>
    </w:p>
    <w:p>
      <w:pPr>
        <w:ind w:left="259" w:hanging="173"/>
      </w:pPr>
      <w:r>
        <w:rPr>
          <w:color w:val="3E6FDB"/>
        </w:rPr>
        <w:t xml:space="preserve">• </w:t>
      </w:r>
      <w:r>
        <w:t>Drop / Border Location</w:t>
      </w:r>
    </w:p>
    <w:p>
      <w:pPr>
        <w:ind w:left="259" w:hanging="173"/>
      </w:pPr>
      <w:r>
        <w:rPr>
          <w:color w:val="3E6FDB"/>
        </w:rPr>
        <w:t xml:space="preserve">• </w:t>
      </w:r>
      <w:r>
        <w:t>Package details</w:t>
      </w:r>
    </w:p>
    <w:p>
      <w:pPr>
        <w:spacing w:after="100"/>
      </w:pPr>
      <w:r>
        <w:t>The customer selects one confirmed package. These details are supplied by CRM; the customer does not manually enter them.</w:t>
      </w:r>
    </w:p>
    <w:p>
      <w:pPr>
        <w:pStyle w:val="Heading1"/>
      </w:pPr>
      <w:r>
        <w:t>13. Before Payment / After Payment</w:t>
      </w:r>
    </w:p>
    <w:p>
      <w:pPr>
        <w:spacing w:after="100"/>
      </w:pPr>
      <w:r>
        <w:t>Before payment: customer sees the confirmed package, final rate, terms and summary. Payment is then completed.</w:t>
      </w:r>
    </w:p>
    <w:p>
      <w:pPr>
        <w:spacing w:after="100"/>
      </w:pPr>
      <w:r>
        <w:t>After payment: Booking ID is generated, the customer can upload required documents, and package generation proceeds once operational requirements are complete.</w:t>
      </w:r>
    </w:p>
    <w:p>
      <w:pPr>
        <w:spacing w:after="100"/>
      </w:pPr>
      <w:r>
        <w:t>Example Booking ID: TNX-VC-XXXXXX</w:t>
      </w:r>
    </w:p>
    <w:p>
      <w:pPr>
        <w:pStyle w:val="Heading1"/>
      </w:pPr>
      <w:r>
        <w:t>14. After Exit</w:t>
      </w:r>
    </w:p>
    <w:p>
      <w:pPr>
        <w:spacing w:before="80" w:after="40"/>
      </w:pPr>
      <w:r>
        <w:rPr>
          <w:b/>
          <w:color w:val="3E6FDB"/>
          <w:sz w:val="17"/>
        </w:rPr>
        <w:t>HEADING</w:t>
      </w:r>
    </w:p>
    <w:p>
      <w:pPr>
        <w:spacing w:after="100"/>
      </w:pPr>
      <w:r>
        <w:t>Exit completed. What happens next?</w:t>
      </w:r>
    </w:p>
    <w:p>
      <w:pPr>
        <w:spacing w:after="100"/>
      </w:pPr>
      <w:r>
        <w:t>Once the confirmed exit is completed, TripNexio records the exit and starts New Visa Processing. Additional documents may be requested during the next stage if required.</w:t>
      </w:r>
    </w:p>
    <w:p>
      <w:pPr>
        <w:spacing w:after="100"/>
      </w:pPr>
      <w:r>
        <w:t>Customer rule: do not ask the customer to upload an exit receipt or proof. Exit Completed is updated operationally by staff.</w:t>
      </w:r>
    </w:p>
    <w:p>
      <w:pPr>
        <w:pStyle w:val="Heading1"/>
      </w:pPr>
      <w:r>
        <w:t>15. Visa Change FAQ — Final Customer Copy</w:t>
      </w:r>
    </w:p>
    <w:p>
      <w:pPr>
        <w:spacing w:after="20"/>
      </w:pPr>
      <w:r>
        <w:rPr>
          <w:b/>
          <w:color w:val="182A4D"/>
        </w:rPr>
        <w:t>What is UAE Visa Change?</w:t>
      </w:r>
    </w:p>
    <w:p>
      <w:pPr>
        <w:spacing w:after="100"/>
        <w:ind w:left="173"/>
      </w:pPr>
      <w:r>
        <w:rPr>
          <w:color w:val="60656E"/>
        </w:rPr>
        <w:t>Visa Change is a service for eligible travellers in the UAE who need an available exit-and-new-visa arrangement through Airport-to-Airport or Border Exit.</w:t>
      </w:r>
    </w:p>
    <w:p>
      <w:pPr>
        <w:spacing w:after="20"/>
      </w:pPr>
      <w:r>
        <w:rPr>
          <w:b/>
          <w:color w:val="182A4D"/>
        </w:rPr>
        <w:t>Can I apply for Visa Change from India?</w:t>
      </w:r>
    </w:p>
    <w:p>
      <w:pPr>
        <w:spacing w:after="100"/>
        <w:ind w:left="173"/>
      </w:pPr>
      <w:r>
        <w:rPr>
          <w:color w:val="60656E"/>
        </w:rPr>
        <w:t>No. Visa Change is an in-UAE service. You need to be currently in the UAE to use this service.</w:t>
      </w:r>
    </w:p>
    <w:p>
      <w:pPr>
        <w:spacing w:after="20"/>
      </w:pPr>
      <w:r>
        <w:rPr>
          <w:b/>
          <w:color w:val="182A4D"/>
        </w:rPr>
        <w:t>Can I apply if I am outside the UAE?</w:t>
      </w:r>
    </w:p>
    <w:p>
      <w:pPr>
        <w:spacing w:after="100"/>
        <w:ind w:left="173"/>
      </w:pPr>
      <w:r>
        <w:rPr>
          <w:color w:val="60656E"/>
        </w:rPr>
        <w:t>No. Customers outside the UAE should use the relevant New Visa service.</w:t>
      </w:r>
    </w:p>
    <w:p>
      <w:pPr>
        <w:spacing w:after="20"/>
      </w:pPr>
      <w:r>
        <w:rPr>
          <w:b/>
          <w:color w:val="182A4D"/>
        </w:rPr>
        <w:t>Who can apply for Visa Change?</w:t>
      </w:r>
    </w:p>
    <w:p>
      <w:pPr>
        <w:spacing w:after="100"/>
        <w:ind w:left="173"/>
      </w:pPr>
      <w:r>
        <w:rPr>
          <w:color w:val="60656E"/>
        </w:rPr>
        <w:t>Eligible UAE tourist visa holders and eligible holders of a cancelled UAE residence visa may apply, subject to applicable immigration requirements, availability and the final decision of the relevant authority.</w:t>
      </w:r>
    </w:p>
    <w:p>
      <w:pPr>
        <w:spacing w:after="20"/>
      </w:pPr>
      <w:r>
        <w:rPr>
          <w:b/>
          <w:color w:val="182A4D"/>
        </w:rPr>
        <w:t>What Visa Change options are available?</w:t>
      </w:r>
    </w:p>
    <w:p>
      <w:pPr>
        <w:spacing w:after="100"/>
        <w:ind w:left="173"/>
      </w:pPr>
      <w:r>
        <w:rPr>
          <w:color w:val="60656E"/>
        </w:rPr>
        <w:t>TripNexio supports two methods: Airport-to-Airport (A2A) and Border Exit.</w:t>
      </w:r>
    </w:p>
    <w:p>
      <w:pPr>
        <w:spacing w:after="20"/>
      </w:pPr>
      <w:r>
        <w:rPr>
          <w:b/>
          <w:color w:val="182A4D"/>
        </w:rPr>
        <w:t>What is Airport-to-Airport Visa Change?</w:t>
      </w:r>
    </w:p>
    <w:p>
      <w:pPr>
        <w:spacing w:after="100"/>
        <w:ind w:left="173"/>
      </w:pPr>
      <w:r>
        <w:rPr>
          <w:color w:val="60656E"/>
        </w:rPr>
        <w:t>A2A is an exit-by-air arrangement. TripNexio confirms the available airports, airline, flight, date and time before you select a package.</w:t>
      </w:r>
    </w:p>
    <w:p>
      <w:pPr>
        <w:spacing w:after="20"/>
      </w:pPr>
      <w:r>
        <w:rPr>
          <w:b/>
          <w:color w:val="182A4D"/>
        </w:rPr>
        <w:t>What is Border Exit Visa Change?</w:t>
      </w:r>
    </w:p>
    <w:p>
      <w:pPr>
        <w:spacing w:after="100"/>
        <w:ind w:left="173"/>
      </w:pPr>
      <w:r>
        <w:rPr>
          <w:color w:val="60656E"/>
        </w:rPr>
        <w:t>Border Exit is a land-border arrangement. TripNexio confirms the border, pickup details, reporting time and travel details before you select a package.</w:t>
      </w:r>
    </w:p>
    <w:p>
      <w:pPr>
        <w:spacing w:after="20"/>
      </w:pPr>
      <w:r>
        <w:rPr>
          <w:b/>
          <w:color w:val="182A4D"/>
        </w:rPr>
        <w:t>Can I choose my own airport or border?</w:t>
      </w:r>
    </w:p>
    <w:p>
      <w:pPr>
        <w:spacing w:after="100"/>
        <w:ind w:left="173"/>
      </w:pPr>
      <w:r>
        <w:rPr>
          <w:color w:val="60656E"/>
        </w:rPr>
        <w:t>No. Customers do not manually enter airport names, airport codes or border names. You will see the confirmed options available through TripNexio.</w:t>
      </w:r>
    </w:p>
    <w:p>
      <w:pPr>
        <w:spacing w:after="20"/>
      </w:pPr>
      <w:r>
        <w:rPr>
          <w:b/>
          <w:color w:val="182A4D"/>
        </w:rPr>
        <w:t>Can I choose my pickup location or pickup person?</w:t>
      </w:r>
    </w:p>
    <w:p>
      <w:pPr>
        <w:spacing w:after="100"/>
        <w:ind w:left="173"/>
      </w:pPr>
      <w:r>
        <w:rPr>
          <w:color w:val="60656E"/>
        </w:rPr>
        <w:t>No. For Border Exit, pickup and operational details are confirmed by TripNexio and shown to you after availability is confirmed.</w:t>
      </w:r>
    </w:p>
    <w:p>
      <w:pPr>
        <w:spacing w:after="20"/>
      </w:pPr>
      <w:r>
        <w:rPr>
          <w:b/>
          <w:color w:val="182A4D"/>
        </w:rPr>
        <w:t>What information do I need to start?</w:t>
      </w:r>
    </w:p>
    <w:p>
      <w:pPr>
        <w:spacing w:after="100"/>
        <w:ind w:left="173"/>
      </w:pPr>
      <w:r>
        <w:rPr>
          <w:color w:val="60656E"/>
        </w:rPr>
        <w:t>You will need your full name, mobile number, email address, passport number, visa expiry date and nationality. Additional passenger details can be added where applicable.</w:t>
      </w:r>
    </w:p>
    <w:p>
      <w:pPr>
        <w:spacing w:after="20"/>
      </w:pPr>
      <w:r>
        <w:rPr>
          <w:b/>
          <w:color w:val="182A4D"/>
        </w:rPr>
        <w:t>Does nationality affect the price?</w:t>
      </w:r>
    </w:p>
    <w:p>
      <w:pPr>
        <w:spacing w:after="100"/>
        <w:ind w:left="173"/>
      </w:pPr>
      <w:r>
        <w:rPr>
          <w:color w:val="60656E"/>
        </w:rPr>
        <w:t>Yes. Visa Change rates are configured nationality-wise and can also vary by method, package, passenger type, passenger count and applicable charges.</w:t>
      </w:r>
    </w:p>
    <w:p>
      <w:pPr>
        <w:spacing w:after="20"/>
      </w:pPr>
      <w:r>
        <w:rPr>
          <w:b/>
          <w:color w:val="182A4D"/>
        </w:rPr>
        <w:t>When will I see the final price?</w:t>
      </w:r>
    </w:p>
    <w:p>
      <w:pPr>
        <w:spacing w:after="100"/>
        <w:ind w:left="173"/>
      </w:pPr>
      <w:r>
        <w:rPr>
          <w:color w:val="60656E"/>
        </w:rPr>
        <w:t>The final price is shown after availability is confirmed and you select a confirmed date, time and package.</w:t>
      </w:r>
    </w:p>
    <w:p>
      <w:pPr>
        <w:spacing w:after="20"/>
      </w:pPr>
      <w:r>
        <w:rPr>
          <w:b/>
          <w:color w:val="182A4D"/>
        </w:rPr>
        <w:t>When do I pay?</w:t>
      </w:r>
    </w:p>
    <w:p>
      <w:pPr>
        <w:spacing w:after="100"/>
        <w:ind w:left="173"/>
      </w:pPr>
      <w:r>
        <w:rPr>
          <w:color w:val="60656E"/>
        </w:rPr>
        <w:t>Payment is made after the confirmed package, final price and applicable terms are shown.</w:t>
      </w:r>
    </w:p>
    <w:p>
      <w:pPr>
        <w:spacing w:after="20"/>
      </w:pPr>
      <w:r>
        <w:rPr>
          <w:b/>
          <w:color w:val="182A4D"/>
        </w:rPr>
        <w:t>When will I receive my Booking ID?</w:t>
      </w:r>
    </w:p>
    <w:p>
      <w:pPr>
        <w:spacing w:after="100"/>
        <w:ind w:left="173"/>
      </w:pPr>
      <w:r>
        <w:rPr>
          <w:color w:val="60656E"/>
        </w:rPr>
        <w:t>Your Booking ID is generated after successful payment.</w:t>
      </w:r>
    </w:p>
    <w:p>
      <w:pPr>
        <w:spacing w:after="20"/>
      </w:pPr>
      <w:r>
        <w:rPr>
          <w:b/>
          <w:color w:val="182A4D"/>
        </w:rPr>
        <w:t>When do I upload documents?</w:t>
      </w:r>
    </w:p>
    <w:p>
      <w:pPr>
        <w:spacing w:after="100"/>
        <w:ind w:left="173"/>
      </w:pPr>
      <w:r>
        <w:rPr>
          <w:color w:val="60656E"/>
        </w:rPr>
        <w:t>Actual document upload takes place after successful payment. The document checklist can vary by nationality and application.</w:t>
      </w:r>
    </w:p>
    <w:p>
      <w:pPr>
        <w:spacing w:after="20"/>
      </w:pPr>
      <w:r>
        <w:rPr>
          <w:b/>
          <w:color w:val="182A4D"/>
        </w:rPr>
        <w:t>Can my existing documents be reused?</w:t>
      </w:r>
    </w:p>
    <w:p>
      <w:pPr>
        <w:spacing w:after="100"/>
        <w:ind w:left="173"/>
      </w:pPr>
      <w:r>
        <w:rPr>
          <w:color w:val="60656E"/>
        </w:rPr>
        <w:t>Eligible valid documents already stored in your TripNexio customer record may be reused where applicable; the system can still request new documents when required.</w:t>
      </w:r>
    </w:p>
    <w:p>
      <w:pPr>
        <w:spacing w:after="20"/>
      </w:pPr>
      <w:r>
        <w:rPr>
          <w:b/>
          <w:color w:val="182A4D"/>
        </w:rPr>
        <w:t>Do I need to upload my exit proof?</w:t>
      </w:r>
    </w:p>
    <w:p>
      <w:pPr>
        <w:spacing w:after="100"/>
        <w:ind w:left="173"/>
      </w:pPr>
      <w:r>
        <w:rPr>
          <w:color w:val="60656E"/>
        </w:rPr>
        <w:t>No. Customers do not upload exit proof. TripNexio staff records Exit Completed in the booking.</w:t>
      </w:r>
    </w:p>
    <w:p>
      <w:pPr>
        <w:spacing w:after="20"/>
      </w:pPr>
      <w:r>
        <w:rPr>
          <w:b/>
          <w:color w:val="182A4D"/>
        </w:rPr>
        <w:t>What happens after Exit Completed?</w:t>
      </w:r>
    </w:p>
    <w:p>
      <w:pPr>
        <w:spacing w:after="100"/>
        <w:ind w:left="173"/>
      </w:pPr>
      <w:r>
        <w:rPr>
          <w:color w:val="60656E"/>
        </w:rPr>
        <w:t>New Visa Processing starts. The customer/passenger information already collected can be reused, and additional documents may be requested if required.</w:t>
      </w:r>
    </w:p>
    <w:p>
      <w:pPr>
        <w:spacing w:after="20"/>
      </w:pPr>
      <w:r>
        <w:rPr>
          <w:b/>
          <w:color w:val="182A4D"/>
        </w:rPr>
        <w:t>How will I receive my confirmed A2A or Border details?</w:t>
      </w:r>
    </w:p>
    <w:p>
      <w:pPr>
        <w:spacing w:after="100"/>
        <w:ind w:left="173"/>
      </w:pPr>
      <w:r>
        <w:rPr>
          <w:color w:val="60656E"/>
        </w:rPr>
        <w:t>The confirmed package shows the operational details relevant to your selected method, including the applicable airport/flight or border/pickup information.</w:t>
      </w:r>
    </w:p>
    <w:p>
      <w:pPr>
        <w:spacing w:after="20"/>
      </w:pPr>
      <w:r>
        <w:rPr>
          <w:b/>
          <w:color w:val="182A4D"/>
        </w:rPr>
        <w:t>Does Visa Change guarantee the new visa?</w:t>
      </w:r>
    </w:p>
    <w:p>
      <w:pPr>
        <w:spacing w:after="100"/>
        <w:ind w:left="173"/>
      </w:pPr>
      <w:r>
        <w:rPr>
          <w:color w:val="60656E"/>
        </w:rPr>
        <w:t>No. Visa approval is subject to the relevant authority, and TripNexio does not guarantee approval.</w:t>
      </w:r>
    </w:p>
    <w:p>
      <w:pPr>
        <w:spacing w:after="20"/>
      </w:pPr>
      <w:r>
        <w:rPr>
          <w:b/>
          <w:color w:val="182A4D"/>
        </w:rPr>
        <w:t>Can a tourist visa holder apply for Visa Change?</w:t>
      </w:r>
    </w:p>
    <w:p>
      <w:pPr>
        <w:spacing w:after="100"/>
        <w:ind w:left="173"/>
      </w:pPr>
      <w:r>
        <w:rPr>
          <w:color w:val="60656E"/>
        </w:rPr>
        <w:t>Eligible tourist visa holders who are currently in the UAE may apply, subject to applicable immigration requirements and confirmed availability.</w:t>
      </w:r>
    </w:p>
    <w:p>
      <w:pPr>
        <w:spacing w:after="20"/>
      </w:pPr>
      <w:r>
        <w:rPr>
          <w:b/>
          <w:color w:val="182A4D"/>
        </w:rPr>
        <w:t>Can a cancelled residence visa holder apply for Visa Change?</w:t>
      </w:r>
    </w:p>
    <w:p>
      <w:pPr>
        <w:spacing w:after="100"/>
        <w:ind w:left="173"/>
      </w:pPr>
      <w:r>
        <w:rPr>
          <w:color w:val="60656E"/>
        </w:rPr>
        <w:t>Eligible holders of a cancelled UAE residence visa who are currently in the UAE may apply, subject to applicable immigration requirements and confirmed availability.</w:t>
      </w:r>
    </w:p>
    <w:p>
      <w:pPr>
        <w:spacing w:after="20"/>
      </w:pPr>
      <w:r>
        <w:rPr>
          <w:b/>
          <w:color w:val="182A4D"/>
        </w:rPr>
        <w:t>Can I add another passenger?</w:t>
      </w:r>
    </w:p>
    <w:p>
      <w:pPr>
        <w:spacing w:after="100"/>
        <w:ind w:left="173"/>
      </w:pPr>
      <w:r>
        <w:rPr>
          <w:color w:val="60656E"/>
        </w:rPr>
        <w:t>Yes. The Visa Change journey supports multiple passengers, with passenger-specific details including nationality and Adult/Child classification.</w:t>
      </w:r>
    </w:p>
    <w:p>
      <w:pPr>
        <w:spacing w:after="20"/>
      </w:pPr>
      <w:r>
        <w:rPr>
          <w:b/>
          <w:color w:val="182A4D"/>
        </w:rPr>
        <w:t>What happens if additional documents are requested?</w:t>
      </w:r>
    </w:p>
    <w:p>
      <w:pPr>
        <w:spacing w:after="100"/>
        <w:ind w:left="173"/>
      </w:pPr>
      <w:r>
        <w:rPr>
          <w:color w:val="60656E"/>
        </w:rPr>
        <w:t>You will be notified and can upload the requested documents through the available secure document-upload process.</w:t>
      </w:r>
    </w:p>
    <w:p>
      <w:pPr>
        <w:spacing w:after="20"/>
      </w:pPr>
      <w:r>
        <w:rPr>
          <w:b/>
          <w:color w:val="182A4D"/>
        </w:rPr>
        <w:t>How long does Visa Change take?</w:t>
      </w:r>
    </w:p>
    <w:p>
      <w:pPr>
        <w:spacing w:after="100"/>
        <w:ind w:left="173"/>
      </w:pPr>
      <w:r>
        <w:rPr>
          <w:color w:val="60656E"/>
        </w:rPr>
        <w:t>Timing depends on availability, the selected package, operational arrangements and subsequent visa processing. TripNexio should display only the timeframe configured and confirmed for the selected service/package.</w:t>
      </w:r>
    </w:p>
    <w:p>
      <w:pPr>
        <w:pStyle w:val="Heading1"/>
      </w:pPr>
      <w:r>
        <w:t>16. UI / UX Rules for Developer</w:t>
      </w:r>
    </w:p>
    <w:p>
      <w:pPr>
        <w:ind w:left="259" w:hanging="173"/>
      </w:pPr>
      <w:r>
        <w:rPr>
          <w:color w:val="3E6FDB"/>
        </w:rPr>
        <w:t xml:space="preserve">• </w:t>
      </w:r>
      <w:r>
        <w:t>Hero should have one primary CTA: Start Visa Change, plus Track Status.</w:t>
      </w:r>
    </w:p>
    <w:p>
      <w:pPr>
        <w:ind w:left="259" w:hanging="173"/>
      </w:pPr>
      <w:r>
        <w:rPr>
          <w:color w:val="3E6FDB"/>
        </w:rPr>
        <w:t xml:space="preserve">• </w:t>
      </w:r>
      <w:r>
        <w:t>Keep A2A and Border Exit as the two main method cards.</w:t>
      </w:r>
    </w:p>
    <w:p>
      <w:pPr>
        <w:ind w:left="259" w:hanging="173"/>
      </w:pPr>
      <w:r>
        <w:rPr>
          <w:color w:val="3E6FDB"/>
        </w:rPr>
        <w:t xml:space="preserve">• </w:t>
      </w:r>
      <w:r>
        <w:t>Do not ask customers to type airport, border or pickup information.</w:t>
      </w:r>
    </w:p>
    <w:p>
      <w:pPr>
        <w:ind w:left="259" w:hanging="173"/>
      </w:pPr>
      <w:r>
        <w:rPr>
          <w:color w:val="3E6FDB"/>
        </w:rPr>
        <w:t xml:space="preserve">• </w:t>
      </w:r>
      <w:r>
        <w:t>Show only CRM-confirmed operational options.</w:t>
      </w:r>
    </w:p>
    <w:p>
      <w:pPr>
        <w:ind w:left="259" w:hanging="173"/>
      </w:pPr>
      <w:r>
        <w:rPr>
          <w:color w:val="3E6FDB"/>
        </w:rPr>
        <w:t xml:space="preserve">• </w:t>
      </w:r>
      <w:r>
        <w:t>Keep nationality-wise pricing dynamic and hidden until availability confirmation and package selection.</w:t>
      </w:r>
    </w:p>
    <w:p>
      <w:pPr>
        <w:ind w:left="259" w:hanging="173"/>
      </w:pPr>
      <w:r>
        <w:rPr>
          <w:color w:val="3E6FDB"/>
        </w:rPr>
        <w:t xml:space="preserve">• </w:t>
      </w:r>
      <w:r>
        <w:t>Show Adult/Child pricing at passenger level where applicable.</w:t>
      </w:r>
    </w:p>
    <w:p>
      <w:pPr>
        <w:ind w:left="259" w:hanging="173"/>
      </w:pPr>
      <w:r>
        <w:rPr>
          <w:color w:val="3E6FDB"/>
        </w:rPr>
        <w:t xml:space="preserve">• </w:t>
      </w:r>
      <w:r>
        <w:t>Use the short “What you'll need” card with the requested input fields.</w:t>
      </w:r>
    </w:p>
    <w:p>
      <w:pPr>
        <w:ind w:left="259" w:hanging="173"/>
      </w:pPr>
      <w:r>
        <w:rPr>
          <w:color w:val="3E6FDB"/>
        </w:rPr>
        <w:t xml:space="preserve">• </w:t>
      </w:r>
      <w:r>
        <w:t>Keep document requirements visual; do not hard-code one universal checklist.</w:t>
      </w:r>
    </w:p>
    <w:p>
      <w:pPr>
        <w:ind w:left="259" w:hanging="173"/>
      </w:pPr>
      <w:r>
        <w:rPr>
          <w:color w:val="3E6FDB"/>
        </w:rPr>
        <w:t>• Use the 7-step journey, but keep each step short and non-technical.</w:t>
      </w:r>
      <w:r/>
    </w:p>
    <w:p>
      <w:pPr>
        <w:ind w:left="259" w:hanging="173"/>
      </w:pPr>
      <w:r>
        <w:rPr>
          <w:color w:val="3E6FDB"/>
        </w:rPr>
        <w:t xml:space="preserve">• </w:t>
      </w:r>
      <w:r>
        <w:t>Do not show OCR, internal staff validation, vendor margins, cost price or CRM task details on the public page.</w:t>
      </w:r>
    </w:p>
    <w:p>
      <w:pPr>
        <w:ind w:left="259" w:hanging="173"/>
      </w:pPr>
      <w:r>
        <w:rPr>
          <w:color w:val="3E6FDB"/>
        </w:rPr>
        <w:t xml:space="preserve">• </w:t>
      </w:r>
      <w:r>
        <w:t>After payment, route the customer to Booking ID and document upload.</w:t>
      </w:r>
    </w:p>
    <w:p>
      <w:pPr>
        <w:ind w:left="259" w:hanging="173"/>
      </w:pPr>
      <w:r>
        <w:rPr>
          <w:color w:val="3E6FDB"/>
        </w:rPr>
        <w:t xml:space="preserve">• </w:t>
      </w:r>
      <w:r>
        <w:t>Show final package information clearly for both A2A and Border Exit.</w:t>
      </w:r>
    </w:p>
    <w:p>
      <w:pPr>
        <w:ind w:left="259" w:hanging="173"/>
      </w:pPr>
      <w:r>
        <w:rPr>
          <w:color w:val="3E6FDB"/>
        </w:rPr>
        <w:t xml:space="preserve">• </w:t>
      </w:r>
      <w:r>
        <w:t>Keep FAQ as accordion cards near the bottom of the page.</w:t>
      </w:r>
    </w:p>
    <w:p>
      <w:pPr>
        <w:pStyle w:val="Heading1"/>
        <w:keepNext/>
      </w:pPr>
      <w:r>
        <w:t>17. Source Alignment</w:t>
      </w:r>
    </w:p>
    <w:p>
      <w:pPr>
        <w:spacing w:after="100"/>
      </w:pPr>
      <w:r>
        <w:t>Source basis: This page uses the uploaded Visa Change Journey v3.0 for A2A/Border selection, customer inputs, availability, nationality-based documents, lead creation, pricing, payment, post-payment upload, package generation, Exit Completed and New Visa Processing. Latest founder rules: Visa Change is only for customers currently in the UAE; eligible tourist visa holders and eligible cancelled residence visa holders may apply; pricing is nationality-wise.</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91C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A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2A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E6FD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A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065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TripNexio Visa Change — Final Page Content, Design &amp; FAQ</dc:title>
  <dc:subject>Final customer-facing Visa Change page and developer handover</dc:subject>
  <dc:creator>TripNexio</dc:creator>
  <cp:keywords>TripNexio, Visa Change, A2A, Border Exit, FAQ, UI UX</cp:keywords>
  <dc:description>generated by python-docx</dc:description>
  <cp:lastModifiedBy/>
  <cp:revision>1</cp:revision>
  <dcterms:created xsi:type="dcterms:W3CDTF">2013-12-23T23:15:00Z</dcterms:created>
  <dcterms:modified xsi:type="dcterms:W3CDTF">2013-12-23T23:15:00Z</dcterms:modified>
  <cp:category/>
</cp:coreProperties>
</file>