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D45" w:rsidRDefault="0045615D">
      <w:pPr>
        <w:spacing w:after="240"/>
        <w:jc w:val="center"/>
      </w:pPr>
      <w:r>
        <w:rPr>
          <w:b/>
          <w:bCs/>
          <w:sz w:val="28"/>
          <w:szCs w:val="28"/>
        </w:rPr>
        <w:t>OrchestraNet: Multi-Model Orchestration with Adaptive Compute Routing for Occluded Object Detection</w:t>
      </w:r>
    </w:p>
    <w:p w:rsidR="00BB6D5C" w:rsidRPr="004F2750" w:rsidRDefault="00BB6D5C" w:rsidP="00BB6D5C">
      <w:pPr>
        <w:spacing w:after="80"/>
        <w:jc w:val="center"/>
      </w:pPr>
      <w:r>
        <w:rPr>
          <w:b/>
          <w:bCs/>
        </w:rPr>
        <w:t>Gautam Arjun Dematti</w:t>
      </w:r>
      <w:r>
        <w:rPr>
          <w:b/>
          <w:bCs/>
          <w:vertAlign w:val="superscript"/>
        </w:rPr>
        <w:t>1, *</w:t>
      </w:r>
      <w:r>
        <w:rPr>
          <w:b/>
          <w:bCs/>
        </w:rPr>
        <w:t>, Dr. Uttam Patil</w:t>
      </w:r>
      <w:r>
        <w:rPr>
          <w:b/>
          <w:bCs/>
          <w:vertAlign w:val="superscript"/>
        </w:rPr>
        <w:t>2</w:t>
      </w:r>
      <w:r w:rsidR="004F2750">
        <w:rPr>
          <w:b/>
          <w:bCs/>
        </w:rPr>
        <w:t>, Dr. Kuldeep Sambrekar</w:t>
      </w:r>
      <w:r w:rsidR="004F2750">
        <w:rPr>
          <w:b/>
          <w:bCs/>
          <w:vertAlign w:val="superscript"/>
        </w:rPr>
        <w:t>3</w:t>
      </w:r>
    </w:p>
    <w:p w:rsidR="00BB6D5C" w:rsidRPr="004F2750" w:rsidRDefault="00BB6D5C" w:rsidP="00BB6D5C">
      <w:pPr>
        <w:pBdr>
          <w:bottom w:val="single" w:sz="6" w:space="4" w:color="000000"/>
        </w:pBdr>
        <w:spacing w:after="80"/>
        <w:jc w:val="center"/>
        <w:rPr>
          <w:iCs/>
          <w:lang w:val="en-IN" w:eastAsia="en-IN" w:bidi="ar-SA"/>
        </w:rPr>
      </w:pPr>
      <w:r w:rsidRPr="004F2750">
        <w:rPr>
          <w:iCs/>
          <w:vertAlign w:val="superscript"/>
          <w:lang w:val="en-IN" w:eastAsia="en-IN" w:bidi="ar-SA"/>
        </w:rPr>
        <w:t>1</w:t>
      </w:r>
      <w:r w:rsidRPr="004F2750">
        <w:rPr>
          <w:iCs/>
          <w:lang w:val="en-IN" w:eastAsia="en-IN" w:bidi="ar-SA"/>
        </w:rPr>
        <w:t xml:space="preserve">Department of Computer Science &amp; Engineering, Angadi Institute of Technology &amp; Management, Belagavi, </w:t>
      </w:r>
      <w:r w:rsidR="004F2750" w:rsidRPr="004F2750">
        <w:rPr>
          <w:iCs/>
          <w:lang w:val="en-IN" w:eastAsia="en-IN" w:bidi="ar-SA"/>
        </w:rPr>
        <w:t xml:space="preserve">Karnataka, </w:t>
      </w:r>
      <w:r w:rsidRPr="004F2750">
        <w:rPr>
          <w:iCs/>
          <w:lang w:val="en-IN" w:eastAsia="en-IN" w:bidi="ar-SA"/>
        </w:rPr>
        <w:t>India</w:t>
      </w:r>
      <w:r w:rsidR="004F2750" w:rsidRPr="004F2750">
        <w:rPr>
          <w:iCs/>
          <w:lang w:val="en-IN" w:eastAsia="en-IN" w:bidi="ar-SA"/>
        </w:rPr>
        <w:t xml:space="preserve"> (Affiliated to Visvesvaraya Technological University, Belagavi)</w:t>
      </w:r>
    </w:p>
    <w:p w:rsidR="00BB6D5C" w:rsidRPr="004F2750" w:rsidRDefault="004F2750" w:rsidP="00BB6D5C">
      <w:pPr>
        <w:pBdr>
          <w:bottom w:val="single" w:sz="6" w:space="4" w:color="000000"/>
        </w:pBdr>
        <w:spacing w:after="80"/>
        <w:jc w:val="center"/>
        <w:rPr>
          <w:iCs/>
          <w:lang w:val="en-IN" w:eastAsia="en-IN" w:bidi="ar-SA"/>
        </w:rPr>
      </w:pPr>
      <w:r w:rsidRPr="004F2750">
        <w:rPr>
          <w:iCs/>
          <w:vertAlign w:val="superscript"/>
          <w:lang w:val="en-IN" w:eastAsia="en-IN" w:bidi="ar-SA"/>
        </w:rPr>
        <w:t>2</w:t>
      </w:r>
      <w:r w:rsidRPr="004F2750">
        <w:rPr>
          <w:iCs/>
          <w:lang w:val="en-IN" w:eastAsia="en-IN" w:bidi="ar-SA"/>
        </w:rPr>
        <w:t xml:space="preserve">Department of Computer Science &amp; Engineering, </w:t>
      </w:r>
      <w:r w:rsidR="00BB6D5C" w:rsidRPr="004F2750">
        <w:rPr>
          <w:iCs/>
          <w:lang w:val="en-IN" w:eastAsia="en-IN" w:bidi="ar-SA"/>
        </w:rPr>
        <w:t>Jain College of Engineering, Belagavi</w:t>
      </w:r>
      <w:r w:rsidRPr="004F2750">
        <w:rPr>
          <w:iCs/>
          <w:lang w:val="en-IN" w:eastAsia="en-IN" w:bidi="ar-SA"/>
        </w:rPr>
        <w:t>, Karnataka, India</w:t>
      </w:r>
    </w:p>
    <w:p w:rsidR="004F2750" w:rsidRPr="004F2750" w:rsidRDefault="004F2750" w:rsidP="004F2750">
      <w:pPr>
        <w:pBdr>
          <w:bottom w:val="single" w:sz="6" w:space="4" w:color="000000"/>
        </w:pBdr>
        <w:spacing w:after="80"/>
        <w:jc w:val="center"/>
        <w:rPr>
          <w:iCs/>
          <w:lang w:val="en-IN" w:eastAsia="en-IN" w:bidi="ar-SA"/>
        </w:rPr>
      </w:pPr>
      <w:r w:rsidRPr="004F2750">
        <w:rPr>
          <w:iCs/>
          <w:vertAlign w:val="superscript"/>
          <w:lang w:val="en-IN" w:eastAsia="en-IN" w:bidi="ar-SA"/>
        </w:rPr>
        <w:t>3</w:t>
      </w:r>
      <w:r w:rsidRPr="004F2750">
        <w:rPr>
          <w:iCs/>
          <w:lang w:val="en-IN" w:eastAsia="en-IN" w:bidi="ar-SA"/>
        </w:rPr>
        <w:t>Department of Computer Science &amp; Engineering,</w:t>
      </w:r>
      <w:r w:rsidRPr="004F2750">
        <w:t xml:space="preserve"> </w:t>
      </w:r>
      <w:r w:rsidRPr="004F2750">
        <w:rPr>
          <w:iCs/>
          <w:lang w:val="en-IN" w:eastAsia="en-IN" w:bidi="ar-SA"/>
        </w:rPr>
        <w:t>KLS Gogte Institute of Technology, Belagavi, Karnataka, India</w:t>
      </w:r>
    </w:p>
    <w:p w:rsidR="004F2750" w:rsidRPr="004F2750" w:rsidRDefault="004F2750" w:rsidP="00BB6D5C">
      <w:pPr>
        <w:pBdr>
          <w:bottom w:val="single" w:sz="6" w:space="4" w:color="000000"/>
        </w:pBdr>
        <w:spacing w:after="80"/>
        <w:jc w:val="center"/>
        <w:rPr>
          <w:iCs/>
          <w:lang w:val="en-IN" w:eastAsia="en-IN" w:bidi="ar-SA"/>
        </w:rPr>
      </w:pPr>
      <w:bookmarkStart w:id="0" w:name="_GoBack"/>
      <w:bookmarkEnd w:id="0"/>
    </w:p>
    <w:p w:rsidR="00BB6D5C" w:rsidRPr="004F2750" w:rsidRDefault="00BB6D5C" w:rsidP="00BB6D5C">
      <w:pPr>
        <w:pBdr>
          <w:bottom w:val="single" w:sz="6" w:space="4" w:color="000000"/>
        </w:pBdr>
        <w:spacing w:after="80"/>
        <w:jc w:val="center"/>
        <w:rPr>
          <w:iCs/>
          <w:lang w:val="en-IN" w:eastAsia="en-IN" w:bidi="ar-SA"/>
        </w:rPr>
      </w:pPr>
      <w:r w:rsidRPr="004F2750">
        <w:rPr>
          <w:iCs/>
          <w:lang w:val="en-IN" w:eastAsia="en-IN" w:bidi="ar-SA"/>
        </w:rPr>
        <w:t>* Corresponding author. E-mail address: dematti.gautam@gmail.com</w:t>
      </w:r>
    </w:p>
    <w:p w:rsidR="007C6D45" w:rsidRDefault="007C6D45">
      <w:pPr>
        <w:pBdr>
          <w:bottom w:val="single" w:sz="6" w:space="4" w:color="000000"/>
        </w:pBdr>
        <w:spacing w:after="80"/>
      </w:pPr>
    </w:p>
    <w:p w:rsidR="007C6D45" w:rsidRDefault="0045615D" w:rsidP="00BB6D5C">
      <w:pPr>
        <w:spacing w:after="60"/>
        <w:jc w:val="both"/>
      </w:pPr>
      <w:r>
        <w:rPr>
          <w:b/>
          <w:bCs/>
          <w:sz w:val="20"/>
          <w:szCs w:val="20"/>
        </w:rPr>
        <w:t xml:space="preserve">Abstract: </w:t>
      </w:r>
      <w:r>
        <w:rPr>
          <w:sz w:val="20"/>
          <w:szCs w:val="20"/>
        </w:rPr>
        <w:t>Object detection remains fundamentally limited by occlusion, affecting roughly 55.9% of annotated objects in MS-COCO (computed from instance bounding-box overlap in the COCO val2017 annotations) and causing systematic degradation in detectors such as YOLO, DETR, and RT-DETR. This paper proposes OrchestraNet, a framework that decomposes detection into seven specialized micro-models (M1–M7), each handling one perceptual sub-task. A learned Adaptive Compute Router activates micro-models per frame by estimated scene complexity, extending mixture-of-experts routing to heterogeneous, task-specialized experts rather than homogeneous copies, with latency from 7.65 ms to 30.86 ms depending on complexity. We also introduce Occlusion-Aware NMS (OA-NMS), using visibility and depth estimates to preserve overlapping, yet distinct, detections that standard NMS discards, and a self-supervised pretext task that trains the occlusion analyzer without costly amodal annotations. On MS-COCO and COCOA, OrchestraNet reaches 48.83 mAP@50:95 (full ensemble, 10.49M parameters, about 40% of YOLOv8-M size), gains +8.3 AP on heavily occluded objects (visibility &lt; 30%) over YOLOv8-M, and its Simple route reaches 65.16 mAP@50 at 130.8 FPS with 9.12M parameters.</w:t>
      </w:r>
    </w:p>
    <w:p w:rsidR="007C6D45" w:rsidRDefault="0045615D" w:rsidP="009E069F">
      <w:pPr>
        <w:spacing w:after="60"/>
        <w:jc w:val="both"/>
      </w:pPr>
      <w:r>
        <w:rPr>
          <w:b/>
          <w:bCs/>
          <w:sz w:val="20"/>
          <w:szCs w:val="20"/>
        </w:rPr>
        <w:t xml:space="preserve">Keywords: </w:t>
      </w:r>
      <w:r>
        <w:rPr>
          <w:sz w:val="20"/>
          <w:szCs w:val="20"/>
        </w:rPr>
        <w:t xml:space="preserve">Object detection, Occlusion reasoning, </w:t>
      </w:r>
      <w:bookmarkStart w:id="1" w:name="_Int_Nztxmx7e"/>
      <w:r>
        <w:rPr>
          <w:sz w:val="20"/>
          <w:szCs w:val="20"/>
        </w:rPr>
        <w:t>Multi-model</w:t>
      </w:r>
      <w:bookmarkEnd w:id="1"/>
      <w:r>
        <w:rPr>
          <w:sz w:val="20"/>
          <w:szCs w:val="20"/>
        </w:rPr>
        <w:t xml:space="preserve"> orchestration, Adaptive inference, Modal perception, Amodal perception, Knowledge distillation</w:t>
      </w:r>
    </w:p>
    <w:p w:rsidR="007C6D45" w:rsidRDefault="007C6D45">
      <w:pPr>
        <w:pBdr>
          <w:bottom w:val="single" w:sz="6" w:space="4" w:color="000000"/>
        </w:pBdr>
        <w:spacing w:after="80"/>
      </w:pPr>
    </w:p>
    <w:p w:rsidR="007C6D45" w:rsidRDefault="007C6D45">
      <w:pPr>
        <w:sectPr w:rsidR="007C6D45" w:rsidSect="00036755">
          <w:footerReference w:type="even" r:id="rId6"/>
          <w:footerReference w:type="default" r:id="rId7"/>
          <w:footerReference w:type="first" r:id="rId8"/>
          <w:pgSz w:w="11906" w:h="16838"/>
          <w:pgMar w:top="1440" w:right="1077" w:bottom="1440" w:left="1077" w:header="0" w:footer="992" w:gutter="0"/>
          <w:cols w:space="720"/>
          <w:formProt w:val="0"/>
          <w:docGrid w:linePitch="360" w:charSpace="4096"/>
        </w:sectPr>
      </w:pPr>
    </w:p>
    <w:p w:rsidR="007C6D45" w:rsidRDefault="0045615D">
      <w:pPr>
        <w:keepNext/>
        <w:spacing w:before="120" w:after="60"/>
      </w:pPr>
      <w:r>
        <w:rPr>
          <w:b/>
          <w:bCs/>
          <w:sz w:val="24"/>
          <w:szCs w:val="24"/>
        </w:rPr>
        <w:lastRenderedPageBreak/>
        <w:t>1. Introduction</w:t>
      </w:r>
    </w:p>
    <w:p w:rsidR="007C6D45" w:rsidRDefault="0045615D">
      <w:pPr>
        <w:ind w:firstLine="260"/>
        <w:jc w:val="both"/>
      </w:pPr>
      <w:r>
        <w:t>Object detection underpins any system that must act on what it sees, from autonomous vehicles to surgical robots. The field has progressed through three generations: two-stage detectors such as Faster R-CNN [1], which separate proposal generation from classification at high computational cost, single-stage detectors from YOLO [2] through YOLOv4 [3], YOLOX [4], and YOLOv8 [5], which trade some accuracy for speed and end-to-end transformer architectures such as DETR [6], Deformable DETR [7], DINO [8], Sparse R-CNN [9] and RT-DETR [10], which remove hand-designed components at the cost of larger models. One failure mode that is systematic degradation under occlusion still persists across all three generations.</w:t>
      </w:r>
    </w:p>
    <w:p w:rsidR="007C6D45" w:rsidRDefault="0045615D">
      <w:pPr>
        <w:ind w:firstLine="260"/>
        <w:jc w:val="both"/>
      </w:pPr>
      <w:r>
        <w:t>Occlusion is not a marginal corner case; roughly 55.9% of annotated objects in MS-COCO [11] overlap with at least one other instance (as measured from bounding-box overlaps on the validation split), and detection performance declines sharply as visibility decreases. This failure is structural rather than incidental. Single-model pipelines force the network to resolve conflicting signals within one feature space, allocating the same representational capacity to detect visible objects and infer occluded ones. The network cannot specialize in occlusion reasoning without weakening general detection, and vice versa that is fixed capacity ceiling. These pipelines also allocate identical computation regardless of scene difficulty, whether a scene contains one isolated object or dozens of overlapping ones.</w:t>
      </w:r>
    </w:p>
    <w:p w:rsidR="00596861" w:rsidRDefault="00596861">
      <w:pPr>
        <w:ind w:firstLine="260"/>
        <w:jc w:val="both"/>
      </w:pPr>
      <w:r>
        <w:t>A fixed architecture cannot ensure the best performance in both easy and hard scenes, and there is no single big model. The difficulty of scenes should scale the computational effort, and specialized abilities should be logically separated from the detection task.</w:t>
      </w:r>
    </w:p>
    <w:p w:rsidR="007C6D45" w:rsidRDefault="00596861">
      <w:pPr>
        <w:ind w:firstLine="260"/>
        <w:jc w:val="both"/>
      </w:pPr>
      <w:r>
        <w:t>To overcome these challenges, this paper proposes OrchestraNet, a method that decomposes the detection problem into sub-tasks instead of a scaling problem. Unlike a single network for each perceptual sub-task, OrchestraNet divides the responsibility among seven specialized micro-models that are trained on different parts of the detection pipeline. A Shared Latent Tensor carries multi-scale features across all experts, and cross-attention fusion integrates their outputs into a unified detection set which keeps the total parameter count near 10.5 million (9.12M on the Simple route) despite the multi-model structure.</w:t>
      </w:r>
    </w:p>
    <w:p w:rsidR="007C6D45" w:rsidRDefault="0045615D">
      <w:pPr>
        <w:ind w:firstLine="260"/>
        <w:jc w:val="both"/>
      </w:pPr>
      <w:r>
        <w:t>The principal contributions are as follows:</w:t>
      </w:r>
    </w:p>
    <w:p w:rsidR="007C6D45" w:rsidRDefault="0045615D">
      <w:pPr>
        <w:ind w:firstLine="260"/>
        <w:jc w:val="both"/>
      </w:pPr>
      <w:r>
        <w:lastRenderedPageBreak/>
        <w:t>Adaptive multi-model orchestration. A learned Adaptive Compute Router estimates scene complexity per frame and activates only the micro-models each scene requires, producing three execution profiles that are Simple (7.65 ms), Medium (16.2 ms), and Complex (30.86 ms), which are trained via Gumbel-Softmax [12] and refined with REINFORCE [13] policy gradient.</w:t>
      </w:r>
    </w:p>
    <w:p w:rsidR="007C6D45" w:rsidRDefault="00C27B35">
      <w:pPr>
        <w:ind w:firstLine="260"/>
        <w:jc w:val="both"/>
      </w:pPr>
      <w:r>
        <w:t>Occlusion-Aware NMS (OA-NMS) uses M2 visibility scores and M4 depth estimates to suppress any detections, retaining 73% of valid occlusion pairs that standard NMS discards, at a cost of only +0.6% false positives.</w:t>
      </w:r>
    </w:p>
    <w:p w:rsidR="007C6D45" w:rsidRDefault="0045615D">
      <w:pPr>
        <w:ind w:firstLine="260"/>
        <w:jc w:val="both"/>
      </w:pPr>
      <w:r>
        <w:t>Self-supervised occlusion pretext training. The occlusion analyzer (M2) is trained without manual amodal annotations, using synthetic feature masking as a pretext task, improving occlusion map IoU by +9.2 points and translating to +3.8 AP on heavily occluded objects.</w:t>
      </w:r>
    </w:p>
    <w:p w:rsidR="007C6D45" w:rsidRDefault="00C27B35">
      <w:pPr>
        <w:ind w:firstLine="260"/>
        <w:jc w:val="both"/>
      </w:pPr>
      <w:r>
        <w:t>OrchestraNet achieves 48.83 mAP@50:95 on COCO val2017 with the full ensemble (10.49M parameters, about 40% the size of YOLOv8-M), while gaining +8.3 AP on objects with visibility below 30%; its Simple route reaches 65.16 mAP@50 at 130.8 FPS on an RTX 4090.</w:t>
      </w:r>
    </w:p>
    <w:p w:rsidR="007C6D45" w:rsidRDefault="0045615D">
      <w:pPr>
        <w:ind w:firstLine="260"/>
        <w:jc w:val="both"/>
      </w:pPr>
      <w:r>
        <w:t>Both contributions target a shared limitation of existing pipelines: uniform treatment of occlusion regardless of severity. OA-NMS addresses this at the post-processing stage, while the self-supervised pretext task addresses it during representation learning, without requiring costly amodal annotations.</w:t>
      </w:r>
    </w:p>
    <w:p w:rsidR="007C6D45" w:rsidRDefault="0045615D">
      <w:pPr>
        <w:keepNext/>
        <w:spacing w:before="120" w:after="60"/>
      </w:pPr>
      <w:r>
        <w:rPr>
          <w:b/>
          <w:bCs/>
          <w:sz w:val="24"/>
          <w:szCs w:val="24"/>
        </w:rPr>
        <w:t>2. Related work</w:t>
      </w:r>
    </w:p>
    <w:p w:rsidR="007C6D45" w:rsidRDefault="0045615D">
      <w:pPr>
        <w:keepNext/>
        <w:spacing w:before="120" w:after="60"/>
      </w:pPr>
      <w:r>
        <w:rPr>
          <w:b/>
          <w:bCs/>
        </w:rPr>
        <w:t>2.1. Object detection architectures</w:t>
      </w:r>
    </w:p>
    <w:p w:rsidR="007C6D45" w:rsidRDefault="00596861">
      <w:pPr>
        <w:ind w:firstLine="260"/>
        <w:jc w:val="both"/>
      </w:pPr>
      <w:r>
        <w:t>There are three families of object detection models: fast but not accurate, accurate but slow, and both fast and accurate. Two-stage detectors like Faster R-CNN make use of region proposal and classification separately and are very accurate but expensive. Single-stage detectors such as YOLO through YOLOv4 [3], YOLOX [4], and YOLOv8 [5] predict location and class in one pass, trading some accuracy for speed. Anchor-free models such as FCOS [14] reduce design sensitivity, and RetinaNet [15] addresses foreground-background class imbalance via focal loss. Transformer-based detectors such as DETR [6], Deformable DETR [7], DINO [8], Sparse R-CNN [9], and RT-DETR [10] remove hand-designed anchors and NMS entirely. None of these architectures explicitly model occlusion, and they treat it as an implicit trait learned during training and apply the same fixed computation regardless of scene complexity. Multi-scale feature fusions such as Feature Pyramid Networks and Path Aggregation Networks improve detection across object sizes; however, the resulting features remain too coarse for heavily occluded objects. Lightweight variants such as YOLOv7-Tiny and YOLOv8-Nano improve speed but still degrade under heavy occlusion.</w:t>
      </w:r>
    </w:p>
    <w:p w:rsidR="007C6D45" w:rsidRDefault="0045615D" w:rsidP="000A453B">
      <w:pPr>
        <w:keepNext/>
        <w:spacing w:before="120" w:after="60"/>
        <w:jc w:val="both"/>
      </w:pPr>
      <w:r>
        <w:rPr>
          <w:b/>
          <w:bCs/>
        </w:rPr>
        <w:t>2.2. A detection system that can deal with occlusion</w:t>
      </w:r>
    </w:p>
    <w:p w:rsidR="007C6D45" w:rsidRDefault="000A453B">
      <w:pPr>
        <w:ind w:firstLine="260"/>
        <w:jc w:val="both"/>
      </w:pPr>
      <w:r>
        <w:t>Amodal segmentation methods including KINS-based approaches and variational completion models [16] reconstruct full object shapes by jointly predicting visible and occluded regions, improving scene understanding but requiring dense pixel-level amodal annotations that are expensive and scarce, and forming a segmentation pipeline architecturally distinct from detection. Other work addressing occlusion at post-processing [17] replaces hard suppression with a score decay based on spatial overlap, improving standard NMS but still unable to reliably distinguish occluded from non-occluded objects. Crowd-detection methods [18] incorporate object density but do not generalize to other detection categories.</w:t>
      </w:r>
    </w:p>
    <w:p w:rsidR="007C6D45" w:rsidRDefault="0045615D" w:rsidP="000A453B">
      <w:pPr>
        <w:keepNext/>
        <w:spacing w:before="120" w:after="60"/>
        <w:jc w:val="both"/>
      </w:pPr>
      <w:r>
        <w:rPr>
          <w:b/>
          <w:bCs/>
        </w:rPr>
        <w:t>2.3. Conditional computation and adaptive inference</w:t>
      </w:r>
    </w:p>
    <w:p w:rsidR="007C6D45" w:rsidRDefault="0045615D">
      <w:pPr>
        <w:ind w:firstLine="260"/>
        <w:jc w:val="both"/>
      </w:pPr>
      <w:r>
        <w:t xml:space="preserve">Adaptive-computation methods route input based on complexity. The Mixture-of-Experts (MoE) model [19] sends inputs to the subset of the specialized sub-networks through a learned gate. In terms of inference depth, there are early-exit networks [20-21] and slimmable architectures [22] that work by dynamically adjusting </w:t>
      </w:r>
      <w:bookmarkStart w:id="2" w:name="_Int_qgnQ67jm"/>
      <w:r>
        <w:t>compute</w:t>
      </w:r>
      <w:bookmarkEnd w:id="2"/>
      <w:r>
        <w:t>. Resolution adaptive networks [23] and platform-aware adaptation [24] provide additional deployment flexibility. These are usually implemented through layer or token-based routing in a monolithic architecture.  OrchestraNet instead routes at the model level, activating or bypassing entire specialized micro-models based on scene complexity — a coarser-grained, more interpretable form of compute allocation.</w:t>
      </w:r>
    </w:p>
    <w:p w:rsidR="007C6D45" w:rsidRDefault="0045615D">
      <w:pPr>
        <w:ind w:firstLine="260"/>
        <w:jc w:val="both"/>
      </w:pPr>
      <w:r>
        <w:t xml:space="preserve">Several recent works apply MoE routing directly within detection or closely related occlusion reasoning [25]; the EMC2 system, introduces scenario-aware MoE routing for 3D object detection in autonomous driving, dispatching LiDAR and camera features to latency- or accuracy-specialized experts based on object distance and visibility. It targets point-cloud and multimodal 3D perception on edge hardware, not 2D image detection, and does not decompose the pipeline into distinct perceptual sub-tasks as OrchestraNet's micro-models do. A journal extension by an overlapping author team, EMOS [46], targets the same edge/autonomous-driving setting </w:t>
      </w:r>
      <w:r>
        <w:lastRenderedPageBreak/>
        <w:t>with added accelerator-aware runtime scheduling, but likewise fuses LiDAR and camera input for 3D perception rather than decomposing 2D detection into heterogeneous perceptual sub-tasks. [26] apply adaptive routing to 2D detection on COCO, closer to our setting; however, they route between multiple near-identical YOLOv9-T experts rather than heterogeneous specialists; their router selects among copies of one architecture, ours selects among models trained for different tasks (occlusion analysis, depth estimation, amodal completion) that cannot substitute for one another. DecoupleNet [27] integrates a visibility-coupled score into NMS confidence for pedestrian detection in crowded scenes, a mechanism close in spirit to OA-NMS. However, DecoupleNet fuses visibility directly into a single confidence score, whereas OA-NMS treats visibility and monocular depth as two independent gating signals in which a pair is reclassified from duplicate to genuine occlusion only when either threshold is exceeded, and the retained box's score is attenuated separately afterward. The depth signal specifically lets OA-NMS disambiguate same-category boxes with similar visibility but different distance from the camera; a cue DecoupleNet's visibility-only formulation does not use. DecoupleNet also targets a single pedestrian category rather than general multi-class detection. OrchestraNet's contribution relative to this cluster is therefore not MoE routing or visibility-aware scoring in isolation, but their combination with heterogeneous task decomposition and self-supervised occlusion pretext training, evaluated on general multi-class detection.</w:t>
      </w:r>
    </w:p>
    <w:p w:rsidR="007C6D45" w:rsidRDefault="0045615D" w:rsidP="00B878BB">
      <w:pPr>
        <w:keepNext/>
        <w:spacing w:before="120" w:after="60"/>
        <w:jc w:val="both"/>
      </w:pPr>
      <w:r>
        <w:rPr>
          <w:b/>
          <w:bCs/>
        </w:rPr>
        <w:t>2.4. Attention mechanisms for feature enhancement</w:t>
      </w:r>
    </w:p>
    <w:p w:rsidR="00944D62" w:rsidRDefault="0045615D" w:rsidP="00944D62">
      <w:pPr>
        <w:ind w:firstLine="260"/>
        <w:jc w:val="both"/>
        <w:rPr>
          <w:rFonts w:ascii="Geist Fallback" w:hAnsi="Geist Fallback"/>
          <w:sz w:val="23"/>
          <w:szCs w:val="23"/>
        </w:rPr>
      </w:pPr>
      <w:r>
        <w:t>Attention mechanisms improve feature discrimination and noise suppression. SENet [28] learns to reweight feature channels globally; CBAM [29] and ECA-Net [30] extend this by jointly modeling spatial and channel responses at lower cost. Transformer-based self-</w:t>
      </w:r>
      <w:bookmarkStart w:id="3" w:name="_Int_katVzUYM"/>
      <w:r>
        <w:t xml:space="preserve">attention methods, </w:t>
      </w:r>
      <w:bookmarkEnd w:id="3"/>
      <w:r>
        <w:t xml:space="preserve">such as Swin Transformer [31] and Focal Transformer [32], improve long-range context alignment through flexible dependency modeling. </w:t>
      </w:r>
      <w:r>
        <w:rPr>
          <w:rFonts w:ascii="Geist Fallback" w:hAnsi="Geist Fallback"/>
          <w:sz w:val="23"/>
          <w:szCs w:val="23"/>
        </w:rPr>
        <w:t>One common drawback is that full self-attention is quadratic in the length of the sequence, making it difficult to deploy in real-time or resource-constrained settings.</w:t>
      </w:r>
    </w:p>
    <w:p w:rsidR="007C6D45" w:rsidRPr="0094621B" w:rsidRDefault="0045615D" w:rsidP="00944D62">
      <w:pPr>
        <w:jc w:val="both"/>
        <w:rPr>
          <w:color w:val="FF0000"/>
        </w:rPr>
      </w:pPr>
      <w:r>
        <w:rPr>
          <w:b/>
          <w:bCs/>
          <w:color w:val="FF0000"/>
        </w:rPr>
        <w:t>2.5. Lightweight backbone networks</w:t>
      </w:r>
    </w:p>
    <w:p w:rsidR="00944D62" w:rsidRPr="00944D62" w:rsidRDefault="00944D62" w:rsidP="00944D62">
      <w:pPr>
        <w:pStyle w:val="NormalWeb"/>
        <w:jc w:val="both"/>
        <w:rPr>
          <w:color w:val="FF0000"/>
          <w:sz w:val="22"/>
          <w:szCs w:val="22"/>
          <w:lang w:val="en-US" w:eastAsia="zh-CN" w:bidi="hi-IN"/>
        </w:rPr>
      </w:pPr>
      <w:r>
        <w:rPr>
          <w:color w:val="FF0000"/>
          <w:sz w:val="22"/>
          <w:szCs w:val="22"/>
          <w:lang w:val="en-US" w:eastAsia="zh-CN" w:bidi="hi-IN"/>
        </w:rPr>
        <w:t>Real-time feasibility is controlled by backbone efficiency. The conventional CNN like ResNet [33] can generate robust semantic representation but is expensive for latency-sensitive scenarios. Lightweight options like MobileNetV3 [34], GhostNet [35] and ShuffleNetV2 [36] employ depth-wise separable convolutions and channel shuffling to lower the cost. For embedded targets, neural architecture search [37] automates the accuracy-efficiency trade-off and MobileNetV4 [38] builds on this by incorporating an integrated design that is Pareto-optimal across CPUs, GPUs and AI accelerators.</w:t>
      </w:r>
    </w:p>
    <w:p w:rsidR="007C6D45" w:rsidRPr="0094621B" w:rsidRDefault="0045615D">
      <w:pPr>
        <w:keepNext/>
        <w:spacing w:before="120" w:after="60"/>
        <w:rPr>
          <w:color w:val="FF0000"/>
        </w:rPr>
      </w:pPr>
      <w:r>
        <w:rPr>
          <w:b/>
          <w:bCs/>
          <w:color w:val="FF0000"/>
        </w:rPr>
        <w:t>2.6. Knowledge distillation</w:t>
      </w:r>
    </w:p>
    <w:p w:rsidR="00944D62" w:rsidRPr="00944D62" w:rsidRDefault="00944D62" w:rsidP="00944D62">
      <w:pPr>
        <w:pStyle w:val="NormalWeb"/>
        <w:jc w:val="both"/>
        <w:rPr>
          <w:color w:val="FF0000"/>
          <w:sz w:val="22"/>
          <w:szCs w:val="22"/>
          <w:lang w:val="en-US" w:eastAsia="zh-CN" w:bidi="hi-IN"/>
        </w:rPr>
      </w:pPr>
      <w:r>
        <w:rPr>
          <w:color w:val="FF0000"/>
          <w:sz w:val="22"/>
          <w:szCs w:val="22"/>
          <w:lang w:val="en-US" w:eastAsia="zh-CN" w:bidi="hi-IN"/>
        </w:rPr>
        <w:t xml:space="preserve">   Knowledge distillation is shown to be effective in boosting accuracy in a limited parameter budget. [39] Proposed the concept of a smaller network able to learn generalization from a larger teacher through soft probability targets, rather than through hard labels. FitNets [40] extended this to intermediate feature maps as learning cues, and attention transfer [41] furthered this by transferring the spatial attention maps instead of raw activations, directing the student's attention to where the teacher looks, and not just what it predicts.</w:t>
      </w:r>
    </w:p>
    <w:p w:rsidR="007C6D45" w:rsidRPr="0094621B" w:rsidRDefault="0045615D">
      <w:pPr>
        <w:keepNext/>
        <w:spacing w:before="120" w:after="60"/>
        <w:rPr>
          <w:color w:val="FF0000"/>
        </w:rPr>
      </w:pPr>
      <w:r>
        <w:rPr>
          <w:b/>
          <w:bCs/>
          <w:color w:val="FF0000"/>
        </w:rPr>
        <w:t>2.7. Training strategies</w:t>
      </w:r>
    </w:p>
    <w:p w:rsidR="00177B23" w:rsidRPr="00177B23" w:rsidRDefault="00177B23" w:rsidP="00177B23">
      <w:pPr>
        <w:ind w:firstLine="260"/>
        <w:jc w:val="both"/>
        <w:rPr>
          <w:color w:val="FF0000"/>
        </w:rPr>
      </w:pPr>
      <w:r>
        <w:rPr>
          <w:color w:val="FF0000"/>
        </w:rPr>
        <w:t>Dynamic label assignment and curriculum learning are beneficial to modern detection training. SimOTA [4] reduces optimal transport assignment to dynamically match predictions to ground truths, and curriculum learning [42] gradually raises the difficulty of the tasks to enhance generalization. We use both: SimOTA-Lite for assigning anchors in the primary detector and a progressive occlusion curriculum that gradually raises the difficulty of the synthetic occlusion.</w:t>
      </w:r>
    </w:p>
    <w:p w:rsidR="007C6D45" w:rsidRDefault="0045615D">
      <w:pPr>
        <w:keepNext/>
        <w:spacing w:before="120" w:after="60"/>
      </w:pPr>
      <w:r>
        <w:rPr>
          <w:b/>
          <w:bCs/>
          <w:sz w:val="24"/>
          <w:szCs w:val="24"/>
        </w:rPr>
        <w:t>3. Method</w:t>
      </w:r>
    </w:p>
    <w:p w:rsidR="007C6D45" w:rsidRDefault="0045615D">
      <w:pPr>
        <w:keepNext/>
        <w:spacing w:before="120" w:after="60"/>
      </w:pPr>
      <w:r>
        <w:rPr>
          <w:b/>
          <w:bCs/>
        </w:rPr>
        <w:t>3.1. Overall architecture</w:t>
      </w:r>
    </w:p>
    <w:p w:rsidR="007C6D45" w:rsidRDefault="0045615D">
      <w:pPr>
        <w:ind w:firstLine="260"/>
        <w:jc w:val="both"/>
      </w:pPr>
      <w:r>
        <w:t>OrchestraNet aims to provide accurate, efficient inference for occlusion-robust detection in unconstrained environments. As illustrated in Fig. 1, three components make up the architecture: a shared backbone and feature pyramid producing a Shared Latent Tensor (SLT) that all seven micro-models read from, an adaptive compute router that activates a subset of experts based on scene complexity, and cross-attention fusion refined through Occlusion-Aware NMS to produce the final detection set.</w:t>
      </w:r>
    </w:p>
    <w:p w:rsidR="007C6D45" w:rsidRDefault="000E6DC7">
      <w:pPr>
        <w:spacing w:before="60" w:after="30"/>
        <w:jc w:val="center"/>
      </w:pPr>
      <w:r>
        <w:rPr>
          <w:noProof/>
          <w:lang w:val="en-IN" w:eastAsia="en-IN" w:bidi="ar-SA"/>
        </w:rPr>
        <w:lastRenderedPageBreak/>
        <w:drawing>
          <wp:inline distT="0" distB="0" distL="0" distR="0">
            <wp:extent cx="6192520" cy="4057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al updat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2520" cy="4057650"/>
                    </a:xfrm>
                    <a:prstGeom prst="rect">
                      <a:avLst/>
                    </a:prstGeom>
                  </pic:spPr>
                </pic:pic>
              </a:graphicData>
            </a:graphic>
          </wp:inline>
        </w:drawing>
      </w:r>
    </w:p>
    <w:p w:rsidR="007C6D45" w:rsidRDefault="0045615D">
      <w:pPr>
        <w:keepLines/>
        <w:spacing w:after="80"/>
        <w:jc w:val="center"/>
      </w:pPr>
      <w:r>
        <w:rPr>
          <w:sz w:val="20"/>
          <w:szCs w:val="20"/>
        </w:rPr>
        <w:t xml:space="preserve">Fig. 1. Overall architecture of OrchestraNet for occlusion-robust object detection. </w:t>
      </w:r>
    </w:p>
    <w:p w:rsidR="007C6D45" w:rsidRDefault="0045615D">
      <w:pPr>
        <w:ind w:firstLine="260"/>
        <w:jc w:val="both"/>
      </w:pPr>
      <w:r>
        <w:t>The shared backbone extracts multi-scale features feeding the SLT, from which the router estimates complexity and activates the relevant micro-models. Their outputs are combined via cross-attention fusion and passed to OA-NMS for final refinement.</w:t>
      </w:r>
    </w:p>
    <w:p w:rsidR="007C6D45" w:rsidRDefault="0045615D">
      <w:pPr>
        <w:keepNext/>
        <w:spacing w:before="120" w:after="60"/>
      </w:pPr>
      <w:r>
        <w:rPr>
          <w:b/>
          <w:bCs/>
        </w:rPr>
        <w:t>3.2. Shared backbone and feature pyramid</w:t>
      </w:r>
    </w:p>
    <w:p w:rsidR="007C6D45" w:rsidRDefault="0045615D">
      <w:pPr>
        <w:ind w:firstLine="260"/>
        <w:jc w:val="both"/>
      </w:pPr>
      <w:r>
        <w:t>We adopt MobileNetV4-Hybrid Medium [38] as the backbone, selected for its Pareto-optimal efficiency across mobile CPUs, GPUs, and  dedicated accelerators. The backbone extracts multi-scale features at three levels, as summarised in Table 1.</w:t>
      </w:r>
    </w:p>
    <w:p w:rsidR="007C6D45" w:rsidRDefault="0045615D">
      <w:pPr>
        <w:keepNext/>
        <w:spacing w:before="100" w:after="40"/>
        <w:jc w:val="center"/>
      </w:pPr>
      <w:r>
        <w:rPr>
          <w:sz w:val="20"/>
          <w:szCs w:val="20"/>
        </w:rPr>
        <w:t>Table 1. Backbone feature levels.</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951"/>
        <w:gridCol w:w="1951"/>
        <w:gridCol w:w="1950"/>
        <w:gridCol w:w="1950"/>
        <w:gridCol w:w="1950"/>
      </w:tblGrid>
      <w:tr w:rsidR="007C6D45" w:rsidTr="000E6DC7">
        <w:trPr>
          <w:cantSplit/>
          <w:tblHeader/>
        </w:trPr>
        <w:tc>
          <w:tcPr>
            <w:tcW w:w="1951"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Level</w:t>
            </w:r>
          </w:p>
        </w:tc>
        <w:tc>
          <w:tcPr>
            <w:tcW w:w="1951"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Stride</w:t>
            </w:r>
          </w:p>
        </w:tc>
        <w:tc>
          <w:tcPr>
            <w:tcW w:w="195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Channels</w:t>
            </w:r>
          </w:p>
        </w:tc>
        <w:tc>
          <w:tcPr>
            <w:tcW w:w="195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Resolution (640×640)</w:t>
            </w:r>
          </w:p>
        </w:tc>
        <w:tc>
          <w:tcPr>
            <w:tcW w:w="195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Role</w:t>
            </w:r>
          </w:p>
        </w:tc>
      </w:tr>
      <w:tr w:rsidR="007C6D45" w:rsidTr="000E6DC7">
        <w:trPr>
          <w:cantSplit/>
        </w:trPr>
        <w:tc>
          <w:tcPr>
            <w:tcW w:w="1951" w:type="dxa"/>
            <w:tcBorders>
              <w:top w:val="single" w:sz="2" w:space="0" w:color="808080"/>
              <w:bottom w:val="single" w:sz="2" w:space="0" w:color="808080"/>
            </w:tcBorders>
            <w:vAlign w:val="center"/>
          </w:tcPr>
          <w:p w:rsidR="007C6D45" w:rsidRDefault="0045615D">
            <w:pPr>
              <w:jc w:val="center"/>
            </w:pPr>
            <w:r>
              <w:rPr>
                <w:sz w:val="18"/>
                <w:szCs w:val="18"/>
              </w:rPr>
              <w:t>P3</w:t>
            </w:r>
          </w:p>
        </w:tc>
        <w:tc>
          <w:tcPr>
            <w:tcW w:w="1951" w:type="dxa"/>
            <w:tcBorders>
              <w:top w:val="single" w:sz="2" w:space="0" w:color="808080"/>
              <w:bottom w:val="single" w:sz="2" w:space="0" w:color="808080"/>
            </w:tcBorders>
            <w:vAlign w:val="center"/>
          </w:tcPr>
          <w:p w:rsidR="007C6D45" w:rsidRDefault="0045615D">
            <w:pPr>
              <w:jc w:val="center"/>
            </w:pPr>
            <w:r>
              <w:rPr>
                <w:sz w:val="18"/>
                <w:szCs w:val="18"/>
              </w:rPr>
              <w:t>8</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80</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80 × 80</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Fine detail, small objects</w:t>
            </w:r>
          </w:p>
        </w:tc>
      </w:tr>
      <w:tr w:rsidR="007C6D45" w:rsidTr="000E6DC7">
        <w:trPr>
          <w:cantSplit/>
        </w:trPr>
        <w:tc>
          <w:tcPr>
            <w:tcW w:w="1951" w:type="dxa"/>
            <w:tcBorders>
              <w:top w:val="single" w:sz="2" w:space="0" w:color="808080"/>
              <w:bottom w:val="single" w:sz="2" w:space="0" w:color="808080"/>
            </w:tcBorders>
            <w:vAlign w:val="center"/>
          </w:tcPr>
          <w:p w:rsidR="007C6D45" w:rsidRDefault="0045615D">
            <w:pPr>
              <w:jc w:val="center"/>
            </w:pPr>
            <w:r>
              <w:rPr>
                <w:sz w:val="18"/>
                <w:szCs w:val="18"/>
              </w:rPr>
              <w:t>P4</w:t>
            </w:r>
          </w:p>
        </w:tc>
        <w:tc>
          <w:tcPr>
            <w:tcW w:w="1951" w:type="dxa"/>
            <w:tcBorders>
              <w:top w:val="single" w:sz="2" w:space="0" w:color="808080"/>
              <w:bottom w:val="single" w:sz="2" w:space="0" w:color="808080"/>
            </w:tcBorders>
            <w:vAlign w:val="center"/>
          </w:tcPr>
          <w:p w:rsidR="007C6D45" w:rsidRDefault="0045615D">
            <w:pPr>
              <w:jc w:val="center"/>
            </w:pPr>
            <w:r>
              <w:rPr>
                <w:sz w:val="18"/>
                <w:szCs w:val="18"/>
              </w:rPr>
              <w:t>16</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160</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40 × 40</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Mid-scale bridging</w:t>
            </w:r>
          </w:p>
        </w:tc>
      </w:tr>
      <w:tr w:rsidR="007C6D45" w:rsidTr="000E6DC7">
        <w:trPr>
          <w:cantSplit/>
        </w:trPr>
        <w:tc>
          <w:tcPr>
            <w:tcW w:w="1951" w:type="dxa"/>
            <w:tcBorders>
              <w:top w:val="single" w:sz="2" w:space="0" w:color="808080"/>
              <w:bottom w:val="single" w:sz="2" w:space="0" w:color="808080"/>
            </w:tcBorders>
            <w:vAlign w:val="center"/>
          </w:tcPr>
          <w:p w:rsidR="007C6D45" w:rsidRDefault="0045615D">
            <w:pPr>
              <w:jc w:val="center"/>
            </w:pPr>
            <w:r>
              <w:rPr>
                <w:sz w:val="18"/>
                <w:szCs w:val="18"/>
              </w:rPr>
              <w:t>P5</w:t>
            </w:r>
          </w:p>
        </w:tc>
        <w:tc>
          <w:tcPr>
            <w:tcW w:w="1951" w:type="dxa"/>
            <w:tcBorders>
              <w:top w:val="single" w:sz="2" w:space="0" w:color="808080"/>
              <w:bottom w:val="single" w:sz="2" w:space="0" w:color="808080"/>
            </w:tcBorders>
            <w:vAlign w:val="center"/>
          </w:tcPr>
          <w:p w:rsidR="007C6D45" w:rsidRDefault="0045615D">
            <w:pPr>
              <w:jc w:val="center"/>
            </w:pPr>
            <w:r>
              <w:rPr>
                <w:sz w:val="18"/>
                <w:szCs w:val="18"/>
              </w:rPr>
              <w:t>32</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256</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20 × 20</w:t>
            </w:r>
          </w:p>
        </w:tc>
        <w:tc>
          <w:tcPr>
            <w:tcW w:w="1950" w:type="dxa"/>
            <w:tcBorders>
              <w:top w:val="single" w:sz="2" w:space="0" w:color="808080"/>
              <w:bottom w:val="single" w:sz="2" w:space="0" w:color="808080"/>
            </w:tcBorders>
            <w:vAlign w:val="center"/>
          </w:tcPr>
          <w:p w:rsidR="007C6D45" w:rsidRDefault="0045615D">
            <w:pPr>
              <w:jc w:val="center"/>
            </w:pPr>
            <w:r>
              <w:rPr>
                <w:sz w:val="18"/>
                <w:szCs w:val="18"/>
              </w:rPr>
              <w:t>Semantic context, large objects</w:t>
            </w:r>
          </w:p>
        </w:tc>
      </w:tr>
    </w:tbl>
    <w:p w:rsidR="00177B23" w:rsidRPr="00177B23" w:rsidRDefault="00177B23" w:rsidP="00177B23">
      <w:pPr>
        <w:keepNext/>
        <w:spacing w:before="120" w:after="60"/>
        <w:jc w:val="both"/>
        <w:rPr>
          <w:color w:val="FF0000"/>
        </w:rPr>
      </w:pPr>
      <w:r>
        <w:rPr>
          <w:color w:val="FF0000"/>
        </w:rPr>
        <w:t>These structures are fused together using a lightweight FPN with depthwise separable convolutions and bidirectional feature fusion, with the Shared Latent Tensor (C = 128). The SLT is a shared fixed representation of all micro-models to prevent unnecessary precomputation in maintaining multi-scale information. The backbone contributes 8.56M parameters (81.6% of the 10.49M total) and the FPN 0.28M.</w:t>
      </w:r>
    </w:p>
    <w:p w:rsidR="007C6D45" w:rsidRPr="0094621B" w:rsidRDefault="0045615D">
      <w:pPr>
        <w:keepNext/>
        <w:spacing w:before="120" w:after="60"/>
        <w:rPr>
          <w:color w:val="FF0000"/>
        </w:rPr>
      </w:pPr>
      <w:r>
        <w:rPr>
          <w:b/>
          <w:bCs/>
          <w:color w:val="FF0000"/>
        </w:rPr>
        <w:t>3.3. Specialized micro-models</w:t>
      </w:r>
    </w:p>
    <w:p w:rsidR="00177B23" w:rsidRDefault="00177B23" w:rsidP="00177B23">
      <w:pPr>
        <w:keepNext/>
        <w:spacing w:before="120" w:after="60"/>
        <w:jc w:val="both"/>
        <w:rPr>
          <w:color w:val="FF0000"/>
        </w:rPr>
      </w:pPr>
      <w:r>
        <w:rPr>
          <w:color w:val="FF0000"/>
        </w:rPr>
        <w:t>Each micro-model has its own Base Micromodel interface that includes forward, get loss, and required levels for modular construction and separate pretraining prior to collaborative optimization.</w:t>
      </w:r>
    </w:p>
    <w:p w:rsidR="007C6D45" w:rsidRPr="00177B23" w:rsidRDefault="0045615D" w:rsidP="00177B23">
      <w:pPr>
        <w:keepNext/>
        <w:spacing w:before="120" w:after="60"/>
        <w:jc w:val="both"/>
      </w:pPr>
      <w:r>
        <w:t>The seven micro-models are discussed below.</w:t>
      </w:r>
    </w:p>
    <w:p w:rsidR="007C6D45" w:rsidRDefault="0045615D">
      <w:pPr>
        <w:keepNext/>
        <w:spacing w:before="120" w:after="60"/>
      </w:pPr>
      <w:r>
        <w:rPr>
          <w:b/>
          <w:bCs/>
          <w:sz w:val="20"/>
          <w:szCs w:val="20"/>
        </w:rPr>
        <w:t>3.3.1. Primary detector (M1)</w:t>
      </w:r>
    </w:p>
    <w:p w:rsidR="007C6D45" w:rsidRDefault="0045615D">
      <w:pPr>
        <w:ind w:firstLine="260"/>
        <w:jc w:val="both"/>
      </w:pPr>
      <w:r>
        <w:t xml:space="preserve">M1 is always active and serves as the base detector. It uses a YOLO-Nano-style multi-scale head predicting bounding boxes, objectness, and class logits at P3/P4/P5 with SimOTA-Lite label assignment [4]. The M1 head </w:t>
      </w:r>
      <w:r>
        <w:lastRenderedPageBreak/>
        <w:t>has 93,693 parameters (0.8 GFLOPs) and, together with the backbone and FPN, forms an 8.93M-parameter baseline detector; M1 produces the initial detections on which all subsequent experts condition.</w:t>
      </w:r>
    </w:p>
    <w:p w:rsidR="007C6D45" w:rsidRDefault="0045615D">
      <w:pPr>
        <w:keepNext/>
        <w:spacing w:before="120" w:after="60"/>
      </w:pPr>
      <w:r>
        <w:rPr>
          <w:b/>
          <w:bCs/>
          <w:sz w:val="20"/>
          <w:szCs w:val="20"/>
        </w:rPr>
        <w:t>3.3.2. Occlusion analyzer (M2)</w:t>
      </w:r>
    </w:p>
    <w:p w:rsidR="007C6D45" w:rsidRDefault="0045615D">
      <w:pPr>
        <w:ind w:firstLine="260"/>
        <w:jc w:val="both"/>
      </w:pPr>
      <w:r>
        <w:t>M2 represents the core novelty of OrchestraNet. It employs a U-Net-Lite with attention gates operating on P3, producing a per-pixel occlusion probability map O ∈ [0, 1] and a scene-level visibility score v ∈ [0, 1]. With 174,482 parameters (2.1 GFLOPs), this component plays a central role in the ensemble, as ablation experiments show that removing it reduces mAP@50:95 by 0.27 points overall and AP on severely occluded objects (visibility &lt; 30%) by 6.5 points.</w:t>
      </w:r>
    </w:p>
    <w:p w:rsidR="007C6D45" w:rsidRDefault="0045615D">
      <w:pPr>
        <w:keepNext/>
        <w:spacing w:before="120" w:after="60"/>
      </w:pPr>
      <w:r>
        <w:rPr>
          <w:b/>
          <w:bCs/>
          <w:sz w:val="20"/>
          <w:szCs w:val="20"/>
        </w:rPr>
        <w:t>3.3.3. Small object enhancer (M3)</w:t>
      </w:r>
    </w:p>
    <w:p w:rsidR="007C6D45" w:rsidRDefault="0045615D">
      <w:pPr>
        <w:ind w:firstLine="260"/>
        <w:jc w:val="both"/>
      </w:pPr>
      <w:r>
        <w:t>Activated only for Complex scenes, M3 performs super-resolution via PixelShuffle (2×) followed by three residual blocks, producing enhanced 160 × 160 features for detecting sub-32 px objects that would otherwise be lost in low-resolution feature maps. It contributes 152,709 parameters (1.8 GFLOPs).</w:t>
      </w:r>
    </w:p>
    <w:p w:rsidR="007C6D45" w:rsidRPr="0094621B" w:rsidRDefault="0045615D">
      <w:pPr>
        <w:keepNext/>
        <w:spacing w:before="120" w:after="60"/>
        <w:rPr>
          <w:color w:val="FF0000"/>
        </w:rPr>
      </w:pPr>
      <w:r>
        <w:rPr>
          <w:b/>
          <w:bCs/>
          <w:color w:val="FF0000"/>
          <w:sz w:val="20"/>
          <w:szCs w:val="20"/>
        </w:rPr>
        <w:t>3.3.4. Depth estimator (M4)</w:t>
      </w:r>
    </w:p>
    <w:p w:rsidR="00177B23" w:rsidRPr="00177B23" w:rsidRDefault="00177B23" w:rsidP="00177B23">
      <w:pPr>
        <w:keepNext/>
        <w:spacing w:before="120" w:after="60"/>
        <w:jc w:val="both"/>
        <w:rPr>
          <w:color w:val="FF0000"/>
        </w:rPr>
      </w:pPr>
      <w:r>
        <w:rPr>
          <w:color w:val="FF0000"/>
        </w:rPr>
        <w:t xml:space="preserve">M4 is a monocular depth module inspired by DPT [43] with a 4-head self-attention block, which is activated for Complex scenes to combine P4 and P5 features to obtain a relative depth map, D </w:t>
      </w:r>
      <w:r>
        <w:rPr>
          <w:rFonts w:ascii="Cambria Math" w:hAnsi="Cambria Math" w:cs="Cambria Math"/>
          <w:color w:val="FF0000"/>
        </w:rPr>
        <w:t>∈</w:t>
      </w:r>
      <w:r>
        <w:rPr>
          <w:color w:val="FF0000"/>
        </w:rPr>
        <w:t xml:space="preserve"> [0, 1] for foreground/background disambiguation. It adds 68,641 parameters (1.2 GFLOPs).</w:t>
      </w:r>
    </w:p>
    <w:p w:rsidR="007C6D45" w:rsidRDefault="0045615D">
      <w:pPr>
        <w:keepNext/>
        <w:spacing w:before="120" w:after="60"/>
      </w:pPr>
      <w:r>
        <w:rPr>
          <w:b/>
          <w:bCs/>
          <w:sz w:val="20"/>
          <w:szCs w:val="20"/>
        </w:rPr>
        <w:t>3.3.5. Semantic context engine (M5)</w:t>
      </w:r>
    </w:p>
    <w:p w:rsidR="007C6D45" w:rsidRDefault="0045615D">
      <w:pPr>
        <w:ind w:firstLine="260"/>
        <w:jc w:val="both"/>
      </w:pPr>
      <w:r>
        <w:t>M5 is always active and performs global average pooling on P5 to feed into 365-class scene classification and per-COCO-class presence priors, boosting contextually likely classes when local evidence is ambiguous. It contributes 123,453 parameters (0.4 GFLOPs).</w:t>
      </w:r>
    </w:p>
    <w:p w:rsidR="007C6D45" w:rsidRDefault="0045615D">
      <w:pPr>
        <w:keepNext/>
        <w:spacing w:before="120" w:after="60"/>
      </w:pPr>
      <w:r>
        <w:rPr>
          <w:b/>
          <w:bCs/>
          <w:sz w:val="20"/>
          <w:szCs w:val="20"/>
        </w:rPr>
        <w:t>3.3.6. Amodal completer (M6)</w:t>
      </w:r>
    </w:p>
    <w:p w:rsidR="007C6D45" w:rsidRDefault="0045615D">
      <w:pPr>
        <w:ind w:firstLine="260"/>
        <w:jc w:val="both"/>
      </w:pPr>
      <w:r>
        <w:t>Activated for complex scenes, M6 uses a transformer decoder with 50 object queries, 2 layers, and 4-head attention over flattened P3 memory, predicting amodal bounding-box offsets and 28×28 masks for partially visible objects. It contributes 667,797 parameters (9.8 GFLOPs).</w:t>
      </w:r>
    </w:p>
    <w:p w:rsidR="007C6D45" w:rsidRDefault="0045615D">
      <w:pPr>
        <w:keepNext/>
        <w:spacing w:before="120" w:after="60"/>
      </w:pPr>
      <w:r>
        <w:rPr>
          <w:b/>
          <w:bCs/>
          <w:sz w:val="20"/>
          <w:szCs w:val="20"/>
        </w:rPr>
        <w:t>3.3.7. Confidence calibrator (M7)</w:t>
      </w:r>
    </w:p>
    <w:p w:rsidR="007C6D45" w:rsidRDefault="0045615D">
      <w:pPr>
        <w:ind w:firstLine="260"/>
        <w:jc w:val="both"/>
      </w:pPr>
      <w:r>
        <w:t>M7, which is activated for Medium+ and Complex scenes, is a trivial MLP (128 → 64 → 32 →1) that combines M1 scores, M2 visibility, M4 depth, M5 embeddings, and bounding-box geometry into a calibrated confidence score, decreasing false positives on questionable detections, as it contributes 44,802 parameters (0.1 GFLOPs).</w:t>
      </w:r>
    </w:p>
    <w:p w:rsidR="007C6D45" w:rsidRDefault="0045615D">
      <w:pPr>
        <w:keepNext/>
        <w:spacing w:before="120" w:after="60"/>
      </w:pPr>
      <w:r>
        <w:rPr>
          <w:b/>
          <w:bCs/>
        </w:rPr>
        <w:t>3.4. Adaptive compute router</w:t>
      </w:r>
    </w:p>
    <w:p w:rsidR="007C6D45" w:rsidRDefault="0045615D">
      <w:pPr>
        <w:ind w:firstLine="260"/>
        <w:jc w:val="both"/>
      </w:pPr>
      <w:r>
        <w:t>The router is a lightweight CNN head (57,892 parameters, 0.1 GFLOPs) that estimates scene complexity κ ∈ [0, 1] from all three FPN levels. Two learned thresholds partition the complexity score into three routing levels, as summarized in Table 2.</w:t>
      </w:r>
    </w:p>
    <w:p w:rsidR="007C6D45" w:rsidRDefault="0045615D">
      <w:pPr>
        <w:keepNext/>
        <w:spacing w:before="100" w:after="40"/>
        <w:jc w:val="center"/>
      </w:pPr>
      <w:r>
        <w:rPr>
          <w:sz w:val="20"/>
          <w:szCs w:val="20"/>
        </w:rPr>
        <w:t>Table 2. Adaptive compute routing profiles.</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951"/>
        <w:gridCol w:w="1951"/>
        <w:gridCol w:w="1950"/>
        <w:gridCol w:w="1950"/>
        <w:gridCol w:w="1950"/>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Profile</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Complexity range</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Activated models</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Latency</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COCO proportion</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Simple</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κ &lt; 0.3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M1, M5</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7.65 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38.2%</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Medium</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0.3 ≤ κ &lt; 0.7</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M1, M2, M5, M7</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16.2 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41.5%</w:t>
            </w:r>
          </w:p>
        </w:tc>
      </w:tr>
      <w:tr w:rsidR="007C6D45">
        <w:trPr>
          <w:cantSplit/>
        </w:trPr>
        <w:tc>
          <w:tcPr>
            <w:tcW w:w="932" w:type="dxa"/>
            <w:tcBorders>
              <w:top w:val="single" w:sz="2" w:space="0" w:color="808080"/>
              <w:bottom w:val="single" w:sz="4" w:space="0" w:color="000000"/>
            </w:tcBorders>
            <w:vAlign w:val="center"/>
          </w:tcPr>
          <w:p w:rsidR="007C6D45" w:rsidRDefault="0045615D">
            <w:pPr>
              <w:jc w:val="center"/>
            </w:pPr>
            <w:r>
              <w:rPr>
                <w:sz w:val="18"/>
                <w:szCs w:val="18"/>
              </w:rPr>
              <w:t>Complex</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κ ≥ 0.7</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M1–M7</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30.86 ms</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20.3%</w:t>
            </w:r>
          </w:p>
        </w:tc>
      </w:tr>
    </w:tbl>
    <w:p w:rsidR="007C6D45" w:rsidRDefault="007C6D45">
      <w:pPr>
        <w:spacing w:after="80"/>
      </w:pPr>
    </w:p>
    <w:p w:rsidR="007C6D45" w:rsidRDefault="0045615D">
      <w:pPr>
        <w:ind w:firstLine="260"/>
        <w:jc w:val="both"/>
      </w:pPr>
      <w:r>
        <w:t xml:space="preserve">The thresholds κ = 0.3 and κ = 0.7 were </w:t>
      </w:r>
      <w:r>
        <w:rPr>
          <w:b/>
          <w:bCs/>
          <w:color w:val="C00000"/>
        </w:rPr>
        <w:t>chosen empirically on the validation split to balance the distribution of routing profiles against overall mAP.</w:t>
      </w:r>
    </w:p>
    <w:p w:rsidR="007C6D45" w:rsidRDefault="0045615D">
      <w:pPr>
        <w:ind w:firstLine="260"/>
        <w:jc w:val="both"/>
      </w:pPr>
      <w:r>
        <w:t>The router activates only two models (M1 and M5) for simple scenes, four (M1, M2, M5, and M7) for medium scenes, and all seven for complex scenarios. Weighted by the COCO route proportions in Table 2, the average compute is 20.96 GFLOPs, a 35.3% saving versus always-full inference (32.4 GFLOPs) and a 73.4% saving relative to YOLOv8-M (78.9 GFLOPs).</w:t>
      </w:r>
    </w:p>
    <w:p w:rsidR="007C6D45" w:rsidRDefault="0089469E">
      <w:pPr>
        <w:ind w:firstLine="260"/>
        <w:jc w:val="both"/>
      </w:pPr>
      <w:r>
        <w:t xml:space="preserve">Training: Gumbel-Softmax → REINFORCE. During joint training, routing uses Gumbel-Softmax [12] for differentiable discrete selection, with temperature annealed </w:t>
      </w:r>
      <w:r>
        <w:rPr>
          <w:b/>
          <w:bCs/>
          <w:color w:val="C00000"/>
        </w:rPr>
        <w:t>via cosine decay</w:t>
      </w:r>
      <w:r>
        <w:t xml:space="preserve"> from 1.0 to 0.1 over epochs 31–100 of joint training. This mirrors the cosine learning-rate schedule used for optimization.</w:t>
      </w:r>
    </w:p>
    <w:p w:rsidR="007C6D45" w:rsidRDefault="0045615D">
      <w:pPr>
        <w:ind w:firstLine="260"/>
        <w:jc w:val="both"/>
      </w:pPr>
      <w:r>
        <w:t>After joint training converges, the router is further refined with REINFORCE [13] using a composite reward:</w:t>
      </w:r>
    </w:p>
    <w:p w:rsidR="007C6D45" w:rsidRDefault="0045615D" w:rsidP="000E6DC7">
      <w:pPr>
        <w:tabs>
          <w:tab w:val="right" w:pos="4550"/>
        </w:tabs>
        <w:spacing w:before="60" w:after="60"/>
        <w:ind w:left="288"/>
        <w:jc w:val="center"/>
      </w:pPr>
      <w:r>
        <w:rPr>
          <w:i/>
          <w:iCs/>
        </w:rPr>
        <w:lastRenderedPageBreak/>
        <w:t xml:space="preserve">R = α · R_acc + β · R_lat + γ · R_eff      </w:t>
      </w:r>
      <w:r>
        <w:t>(1)</w:t>
      </w:r>
    </w:p>
    <w:p w:rsidR="007C6D45" w:rsidRDefault="0045615D">
      <w:pPr>
        <w:ind w:firstLine="260"/>
        <w:jc w:val="both"/>
      </w:pPr>
      <w:r>
        <w:t>where R_acc is the mean top-50 objectness score, R_lat = 1 − latency/15 ms, and R_eff = 1 − |A|/7 penalizes activating too many models.</w:t>
      </w:r>
    </w:p>
    <w:p w:rsidR="007C6D45" w:rsidRDefault="0045615D">
      <w:pPr>
        <w:keepNext/>
        <w:spacing w:before="120" w:after="60"/>
      </w:pPr>
      <w:r>
        <w:rPr>
          <w:b/>
          <w:bCs/>
        </w:rPr>
        <w:t>3.5. Occlusion-aware NMS (OA-NMS)</w:t>
      </w:r>
    </w:p>
    <w:p w:rsidR="007C6D45" w:rsidRDefault="0045615D">
      <w:pPr>
        <w:ind w:firstLine="260"/>
        <w:jc w:val="both"/>
      </w:pPr>
      <w:r>
        <w:t>Conventional NMS considers a very high-IoU pair to be duplicated. In congested areas, this hypothesis fails, as two unique pedestrians may overlap significantly without either being a false positive. OA-NMS examines M2 visibility scores and M4 depth estimations before suppressing any boxes.</w:t>
      </w:r>
    </w:p>
    <w:p w:rsidR="007C6D45" w:rsidRDefault="0045615D">
      <w:pPr>
        <w:ind w:firstLine="260"/>
        <w:jc w:val="both"/>
      </w:pPr>
      <w:r>
        <w:t>Algorithm 1 details the scoring, thresholding, and sorting method; each surviving box b_i is added to the output set. OA-NMS determines if |V_i - V_j| exceeds τ_occ or |D_i - D_j| exceeds τ_depth for each remaining candidate b_j with the same label and adequate IoU. If either criterion is met, the pair is evaluated as a real occlusion rather than a duplication, and b_j is kept with a score reduced by max (0.3, V_j). Otherwise, b_j will be rejected; this retains 73% of legitimate occlusion pairings that traditional NMS rejects, at the expense of a 0.6% increase in false positives.</w:t>
      </w:r>
    </w:p>
    <w:p w:rsidR="007C6D45" w:rsidRDefault="007C6D45">
      <w:pPr>
        <w:spacing w:before="60"/>
      </w:pPr>
    </w:p>
    <w:tbl>
      <w:tblPr>
        <w:tblW w:w="5000" w:type="pct"/>
        <w:tblLayout w:type="fixed"/>
        <w:tblCellMar>
          <w:top w:w="60" w:type="dxa"/>
          <w:left w:w="120" w:type="dxa"/>
          <w:bottom w:w="60" w:type="dxa"/>
          <w:right w:w="120" w:type="dxa"/>
        </w:tblCellMar>
        <w:tblLook w:val="04A0" w:firstRow="1" w:lastRow="0" w:firstColumn="1" w:lastColumn="0" w:noHBand="0" w:noVBand="1"/>
      </w:tblPr>
      <w:tblGrid>
        <w:gridCol w:w="9742"/>
      </w:tblGrid>
      <w:tr w:rsidR="007C6D45" w:rsidTr="5DC437D3">
        <w:tc>
          <w:tcPr>
            <w:tcW w:w="4660" w:type="dxa"/>
            <w:tcBorders>
              <w:top w:val="single" w:sz="4" w:space="0" w:color="000000" w:themeColor="text2"/>
              <w:left w:val="single" w:sz="4" w:space="0" w:color="000000" w:themeColor="text2"/>
              <w:bottom w:val="single" w:sz="4" w:space="0" w:color="000000" w:themeColor="text2"/>
              <w:right w:val="single" w:sz="4" w:space="0" w:color="000000" w:themeColor="text2"/>
            </w:tcBorders>
            <w:shd w:val="clear" w:color="auto" w:fill="F2F2F2" w:themeFill="background2" w:themeFillShade="F2"/>
          </w:tcPr>
          <w:p w:rsidR="007C6D45" w:rsidRDefault="0045615D">
            <w:pPr>
              <w:spacing w:after="20"/>
            </w:pPr>
            <w:r>
              <w:rPr>
                <w:rFonts w:ascii="Courier New" w:eastAsia="Courier New" w:hAnsi="Courier New" w:cs="Courier New"/>
                <w:sz w:val="18"/>
                <w:szCs w:val="18"/>
              </w:rPr>
              <w:t>Algorithm 1: Occlusion-Aware NMS</w:t>
            </w:r>
          </w:p>
          <w:p w:rsidR="007C6D45" w:rsidRDefault="0045615D">
            <w:pPr>
              <w:spacing w:after="20"/>
            </w:pPr>
            <w:r>
              <w:rPr>
                <w:rFonts w:ascii="Courier New" w:eastAsia="Courier New" w:hAnsi="Courier New" w:cs="Courier New"/>
                <w:sz w:val="18"/>
                <w:szCs w:val="18"/>
              </w:rPr>
              <w:t>Input: boxes B, scores S, labels L, visibility V, depth D</w:t>
            </w:r>
          </w:p>
          <w:p w:rsidR="007C6D45" w:rsidRDefault="0045615D">
            <w:pPr>
              <w:spacing w:after="20"/>
            </w:pPr>
            <w:r>
              <w:t>Parameters: τ_iou, τ_occ, τ_depth. In our experiments, τ_iou = 0.50, τ_occ = 0.20, τ_depth = 0.04 (normalized depth units), chosen to balance the recall–false-positive trade-off reported in Table 6.</w:t>
            </w:r>
          </w:p>
          <w:p w:rsidR="007C6D45" w:rsidRDefault="0045615D">
            <w:pPr>
              <w:spacing w:after="20"/>
            </w:pPr>
            <w:r>
              <w:rPr>
                <w:rFonts w:ascii="Courier New" w:eastAsia="Courier New" w:hAnsi="Courier New" w:cs="Courier New"/>
                <w:sz w:val="18"/>
                <w:szCs w:val="18"/>
              </w:rPr>
              <w:t>Output: filtered detections D_out</w:t>
            </w:r>
          </w:p>
          <w:p w:rsidR="007C6D45" w:rsidRDefault="0045615D">
            <w:pPr>
              <w:spacing w:after="20"/>
            </w:pPr>
            <w:r>
              <w:rPr>
                <w:rFonts w:ascii="Courier New" w:eastAsia="Courier New" w:hAnsi="Courier New" w:cs="Courier New"/>
                <w:sz w:val="18"/>
                <w:szCs w:val="18"/>
              </w:rPr>
              <w:t>1. Threshold and sort B by descending S.</w:t>
            </w:r>
          </w:p>
          <w:p w:rsidR="007C6D45" w:rsidRDefault="0045615D">
            <w:pPr>
              <w:spacing w:after="20"/>
            </w:pPr>
            <w:r>
              <w:rPr>
                <w:rFonts w:ascii="Courier New" w:eastAsia="Courier New" w:hAnsi="Courier New" w:cs="Courier New"/>
                <w:sz w:val="18"/>
                <w:szCs w:val="18"/>
              </w:rPr>
              <w:t>2. D_out ← ∅</w:t>
            </w:r>
          </w:p>
          <w:p w:rsidR="007C6D45" w:rsidRDefault="0045615D">
            <w:pPr>
              <w:spacing w:after="20"/>
            </w:pPr>
            <w:r>
              <w:rPr>
                <w:rFonts w:ascii="Courier New" w:eastAsia="Courier New" w:hAnsi="Courier New" w:cs="Courier New"/>
                <w:sz w:val="18"/>
                <w:szCs w:val="18"/>
              </w:rPr>
              <w:t>3. for each bi in sorted order do</w:t>
            </w:r>
          </w:p>
          <w:p w:rsidR="007C6D45" w:rsidRDefault="0045615D">
            <w:pPr>
              <w:spacing w:after="20"/>
            </w:pPr>
            <w:r>
              <w:rPr>
                <w:rFonts w:ascii="Courier New" w:eastAsia="Courier New" w:hAnsi="Courier New" w:cs="Courier New"/>
                <w:sz w:val="18"/>
                <w:szCs w:val="18"/>
              </w:rPr>
              <w:t>4.     D_out ← D_out ∪ {bi}</w:t>
            </w:r>
          </w:p>
          <w:p w:rsidR="007C6D45" w:rsidRDefault="0045615D">
            <w:pPr>
              <w:spacing w:after="20"/>
            </w:pPr>
            <w:r>
              <w:rPr>
                <w:rFonts w:ascii="Courier New" w:eastAsia="Courier New" w:hAnsi="Courier New" w:cs="Courier New"/>
                <w:sz w:val="18"/>
                <w:szCs w:val="18"/>
              </w:rPr>
              <w:t>5.     for each bj (j &gt; i) with IoU(bi,bj) ≥ τ_iou and Li = Lj do</w:t>
            </w:r>
          </w:p>
          <w:p w:rsidR="007C6D45" w:rsidRDefault="0045615D">
            <w:pPr>
              <w:spacing w:after="20"/>
            </w:pPr>
            <w:r>
              <w:rPr>
                <w:rFonts w:ascii="Courier New" w:eastAsia="Courier New" w:hAnsi="Courier New" w:cs="Courier New"/>
                <w:sz w:val="18"/>
                <w:szCs w:val="18"/>
              </w:rPr>
              <w:t>6.         if |Vi − Vj| &gt; τ_occ or |Di − Dj| &gt; τ_depth then</w:t>
            </w:r>
          </w:p>
          <w:p w:rsidR="007C6D45" w:rsidRDefault="0045615D">
            <w:pPr>
              <w:spacing w:after="20"/>
            </w:pPr>
            <w:r>
              <w:rPr>
                <w:rFonts w:ascii="Courier New" w:eastAsia="Courier New" w:hAnsi="Courier New" w:cs="Courier New"/>
                <w:sz w:val="18"/>
                <w:szCs w:val="18"/>
              </w:rPr>
              <w:t>7.             Sj ← Sj · max(0.3, Vj)      // occlusion pair</w:t>
            </w:r>
          </w:p>
          <w:p w:rsidR="007C6D45" w:rsidRDefault="0045615D">
            <w:pPr>
              <w:spacing w:after="20"/>
            </w:pPr>
            <w:r>
              <w:rPr>
                <w:rFonts w:ascii="Courier New" w:eastAsia="Courier New" w:hAnsi="Courier New" w:cs="Courier New"/>
                <w:sz w:val="18"/>
                <w:szCs w:val="18"/>
              </w:rPr>
              <w:t>8.         else</w:t>
            </w:r>
          </w:p>
          <w:p w:rsidR="007C6D45" w:rsidRDefault="0045615D">
            <w:pPr>
              <w:spacing w:after="20"/>
            </w:pPr>
            <w:r>
              <w:rPr>
                <w:rFonts w:ascii="Courier New" w:eastAsia="Courier New" w:hAnsi="Courier New" w:cs="Courier New"/>
                <w:sz w:val="18"/>
                <w:szCs w:val="18"/>
              </w:rPr>
              <w:t>9.             discard bj                    // true duplicate</w:t>
            </w:r>
          </w:p>
          <w:p w:rsidR="007C6D45" w:rsidRDefault="0045615D">
            <w:pPr>
              <w:spacing w:after="20"/>
            </w:pPr>
            <w:r>
              <w:rPr>
                <w:rFonts w:ascii="Courier New" w:eastAsia="Courier New" w:hAnsi="Courier New" w:cs="Courier New"/>
                <w:sz w:val="18"/>
                <w:szCs w:val="18"/>
              </w:rPr>
              <w:t>10. return D_out</w:t>
            </w:r>
          </w:p>
        </w:tc>
      </w:tr>
    </w:tbl>
    <w:p w:rsidR="007C6D45" w:rsidRDefault="007C6D45">
      <w:pPr>
        <w:spacing w:after="60"/>
      </w:pPr>
    </w:p>
    <w:p w:rsidR="007C6D45" w:rsidRDefault="0045615D">
      <w:pPr>
        <w:ind w:firstLine="260"/>
        <w:jc w:val="both"/>
      </w:pPr>
      <w:r>
        <w:t>The OA-NMS maintains 73% of legitimate occlusion pairings compared to 0% for traditional NMS, with only a 0.6% increase in the false positive rate, as M2 and M4 signals consistently discriminate occlusion from duplication.</w:t>
      </w:r>
    </w:p>
    <w:p w:rsidR="007C6D45" w:rsidRDefault="0045615D">
      <w:pPr>
        <w:keepNext/>
        <w:spacing w:before="120" w:after="60"/>
      </w:pPr>
      <w:r>
        <w:rPr>
          <w:b/>
          <w:bCs/>
        </w:rPr>
        <w:t>3.6. Cross-attention fusion</w:t>
      </w:r>
    </w:p>
    <w:p w:rsidR="007C6D45" w:rsidRDefault="0045615D">
      <w:pPr>
        <w:ind w:firstLine="260"/>
        <w:jc w:val="both"/>
      </w:pPr>
      <w:r>
        <w:t xml:space="preserve">When there are multiple active experts, detection outputs must be integrated into a unified detection set. Simple concatenation or even a weighted average is insufficient. Thus, we adopt cross-attention fusion. Each expert produces a collection of feature vectors (e.g., </w:t>
      </w:r>
      <w:bookmarkStart w:id="7" w:name="_Int_ycazxUwX"/>
      <w:r>
        <w:t>detection</w:t>
      </w:r>
      <w:bookmarkEnd w:id="7"/>
      <w:r>
        <w:t xml:space="preserve"> embeddings, occlusion maps, depth cues, or amodal masks). These are aligned and expressed in a shared 128-dimensional space and undergo projection by a small, 4-head, 2-layer, multi-head cross-attention module.</w:t>
      </w:r>
    </w:p>
    <w:p w:rsidR="007C6D45" w:rsidRDefault="0045615D">
      <w:pPr>
        <w:ind w:firstLine="260"/>
        <w:jc w:val="both"/>
      </w:pPr>
      <w:r>
        <w:t>In the attention scheme, query tokens come from M1's detections, while auxiliary experts (M2–M7) supply the keys and values, letting each detection interact with the relevant occlusion, depth, and contextual signals without disturbing M1's baseline detections. A small feed-forward projection expands and contracts the fusion dimensionality (128→256→128), adding only 264,576 parameters (0.5 GFLOPs)</w:t>
      </w:r>
      <w:r>
        <w:rPr>
          <w:b/>
          <w:bCs/>
          <w:color w:val="C00000"/>
        </w:rPr>
        <w:t>, improving cross-modal feature alignment over simple concatenation with negligible compute overhead.</w:t>
      </w:r>
      <w:r>
        <w:t>. Because attention is limited to activated experts, the quadratic cost of full self-attention is avoided, and complexity remains linear in the number of active models.</w:t>
      </w:r>
    </w:p>
    <w:p w:rsidR="007C6D45" w:rsidRDefault="0045615D">
      <w:pPr>
        <w:keepNext/>
        <w:spacing w:before="120" w:after="60"/>
      </w:pPr>
      <w:r>
        <w:rPr>
          <w:b/>
          <w:bCs/>
        </w:rPr>
        <w:t>3.7. Training strategy</w:t>
      </w:r>
    </w:p>
    <w:p w:rsidR="00D011E4" w:rsidRDefault="00F93F87">
      <w:pPr>
        <w:ind w:firstLine="260"/>
        <w:jc w:val="both"/>
      </w:pPr>
      <w:r>
        <w:t xml:space="preserve">The Training proceeds in three phases. </w:t>
      </w:r>
    </w:p>
    <w:p w:rsidR="007C6D45" w:rsidRDefault="0045615D">
      <w:pPr>
        <w:ind w:firstLine="260"/>
        <w:jc w:val="both"/>
      </w:pPr>
      <w:r>
        <w:t>In the first phase, Specialist Warm-up (epochs 1–30), each micro-model trains separately on its own task: M1 on detection, M2 on occlusion segmentation, M3 on super-resolution, M4 on depth regression, M5 on scene classification, M6 on amodal completion, and M7 on confidence calibration, so each builds a strong starting point before joint training.</w:t>
      </w:r>
    </w:p>
    <w:p w:rsidR="007C6D45" w:rsidRDefault="0045615D">
      <w:pPr>
        <w:ind w:firstLine="260"/>
        <w:jc w:val="both"/>
      </w:pPr>
      <w:r>
        <w:lastRenderedPageBreak/>
        <w:t>In the second phase, Joint End-to-end Training (epochs 31–100), all models train together, using Gumbel-Softmax to decide which model handles which part of the task. Synthetic occlusion difficulty increases gradually via geometric masking, CutPaste, and gradient-mask (Table 3), preventing the models from over-relying on occlusion signals before the main detector stabilises.</w:t>
      </w:r>
    </w:p>
    <w:p w:rsidR="007C6D45" w:rsidRDefault="0045615D">
      <w:pPr>
        <w:keepNext/>
        <w:spacing w:before="100" w:after="40"/>
        <w:jc w:val="center"/>
      </w:pPr>
      <w:r>
        <w:rPr>
          <w:sz w:val="20"/>
          <w:szCs w:val="20"/>
        </w:rPr>
        <w:t>Table 3. Occlusion curriculum schedule.</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3250"/>
        <w:gridCol w:w="3250"/>
        <w:gridCol w:w="3252"/>
      </w:tblGrid>
      <w:tr w:rsidR="007C6D45">
        <w:trPr>
          <w:cantSplit/>
          <w:tblHeader/>
        </w:trPr>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Epoch range</w:t>
            </w:r>
          </w:p>
        </w:tc>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Occlusion probability</w:t>
            </w:r>
          </w:p>
        </w:tc>
        <w:tc>
          <w:tcPr>
            <w:tcW w:w="1554"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Max occlusion ratio</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0–10 (warm-up)</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0%</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0%</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10–30</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20%</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30%</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30–50</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50%</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50%</w:t>
            </w:r>
          </w:p>
        </w:tc>
      </w:tr>
      <w:tr w:rsidR="007C6D45">
        <w:trPr>
          <w:cantSplit/>
        </w:trPr>
        <w:tc>
          <w:tcPr>
            <w:tcW w:w="1553" w:type="dxa"/>
            <w:tcBorders>
              <w:top w:val="single" w:sz="2" w:space="0" w:color="808080"/>
              <w:bottom w:val="single" w:sz="4" w:space="0" w:color="000000"/>
            </w:tcBorders>
            <w:vAlign w:val="center"/>
          </w:tcPr>
          <w:p w:rsidR="007C6D45" w:rsidRDefault="0045615D">
            <w:pPr>
              <w:jc w:val="center"/>
            </w:pPr>
            <w:r>
              <w:rPr>
                <w:sz w:val="18"/>
                <w:szCs w:val="18"/>
              </w:rPr>
              <w:t>50+ (full)</w:t>
            </w:r>
          </w:p>
        </w:tc>
        <w:tc>
          <w:tcPr>
            <w:tcW w:w="1553" w:type="dxa"/>
            <w:tcBorders>
              <w:top w:val="single" w:sz="2" w:space="0" w:color="808080"/>
              <w:bottom w:val="single" w:sz="4" w:space="0" w:color="000000"/>
            </w:tcBorders>
            <w:vAlign w:val="center"/>
          </w:tcPr>
          <w:p w:rsidR="007C6D45" w:rsidRDefault="0045615D">
            <w:pPr>
              <w:jc w:val="center"/>
            </w:pPr>
            <w:r>
              <w:rPr>
                <w:sz w:val="18"/>
                <w:szCs w:val="18"/>
              </w:rPr>
              <w:t>70%</w:t>
            </w:r>
          </w:p>
        </w:tc>
        <w:tc>
          <w:tcPr>
            <w:tcW w:w="1554" w:type="dxa"/>
            <w:tcBorders>
              <w:top w:val="single" w:sz="2" w:space="0" w:color="808080"/>
              <w:bottom w:val="single" w:sz="4" w:space="0" w:color="000000"/>
            </w:tcBorders>
            <w:vAlign w:val="center"/>
          </w:tcPr>
          <w:p w:rsidR="007C6D45" w:rsidRDefault="0045615D">
            <w:pPr>
              <w:jc w:val="center"/>
            </w:pPr>
            <w:r>
              <w:rPr>
                <w:sz w:val="18"/>
                <w:szCs w:val="18"/>
              </w:rPr>
              <w:t>70%</w:t>
            </w:r>
          </w:p>
        </w:tc>
      </w:tr>
    </w:tbl>
    <w:p w:rsidR="007C6D45" w:rsidRDefault="007C6D45">
      <w:pPr>
        <w:spacing w:after="80"/>
      </w:pPr>
    </w:p>
    <w:p w:rsidR="007C6D45" w:rsidRDefault="0045615D">
      <w:pPr>
        <w:ind w:firstLine="260"/>
        <w:jc w:val="both"/>
      </w:pPr>
      <w:r>
        <w:t>In the third part, Router RL fine-tuning (epochs 101–120), all micro-models are frozen. Only the router updates, using REINFORCE to optimise the latency-accuracy trade-off on target hardware.</w:t>
      </w:r>
    </w:p>
    <w:p w:rsidR="007C6D45" w:rsidRDefault="0045615D">
      <w:pPr>
        <w:ind w:firstLine="260"/>
        <w:jc w:val="both"/>
      </w:pPr>
      <w:r>
        <w:t>Knowledge distillation. A hierarchical distillation pipeline transfers knowledge from a larger teacher (C = 256, 13.12M parameters) to the student (C = 128, 10.49M parameters) using four loss components:</w:t>
      </w:r>
    </w:p>
    <w:p w:rsidR="007C6D45" w:rsidRDefault="0045615D">
      <w:pPr>
        <w:tabs>
          <w:tab w:val="right" w:pos="4550"/>
        </w:tabs>
        <w:spacing w:before="60" w:after="60"/>
        <w:ind w:left="288"/>
      </w:pPr>
      <w:r>
        <w:rPr>
          <w:i/>
          <w:iCs/>
        </w:rPr>
        <w:t>L_distill = 1.0 · L_gt + 1.0 · L_feat + 2.0 · L_logit + 0.5 · L_rel</w:t>
      </w:r>
      <w:r>
        <w:t>(2)</w:t>
      </w:r>
    </w:p>
    <w:p w:rsidR="007C6D45" w:rsidRDefault="0045615D">
      <w:pPr>
        <w:ind w:firstLine="260"/>
        <w:jc w:val="both"/>
      </w:pPr>
      <w:r>
        <w:t xml:space="preserve">Logit distillation uses temperature T = 4.0. </w:t>
      </w:r>
      <w:r>
        <w:rPr>
          <w:b/>
          <w:bCs/>
          <w:color w:val="C00000"/>
        </w:rPr>
        <w:t>The distillation loss enables the compact 10.49M student model to retain feature fidelity from the 13.12M teacher while maintaining real-time edge throughput.</w:t>
      </w:r>
    </w:p>
    <w:p w:rsidR="007C6D45" w:rsidRDefault="0045615D">
      <w:pPr>
        <w:keepNext/>
        <w:spacing w:before="120" w:after="60"/>
      </w:pPr>
      <w:r>
        <w:rPr>
          <w:b/>
          <w:bCs/>
          <w:sz w:val="24"/>
          <w:szCs w:val="24"/>
        </w:rPr>
        <w:t xml:space="preserve">4. </w:t>
      </w:r>
      <w:r w:rsidR="00036755">
        <w:rPr>
          <w:b/>
          <w:bCs/>
          <w:sz w:val="24"/>
          <w:szCs w:val="24"/>
        </w:rPr>
        <w:t>Results and Discussion</w:t>
      </w:r>
    </w:p>
    <w:p w:rsidR="007C6D45" w:rsidRDefault="0045615D">
      <w:pPr>
        <w:keepNext/>
        <w:spacing w:before="120" w:after="60"/>
      </w:pPr>
      <w:r>
        <w:rPr>
          <w:b/>
          <w:bCs/>
        </w:rPr>
        <w:t>4.1. Implementation and Experimental Setup</w:t>
      </w:r>
    </w:p>
    <w:p w:rsidR="007C6D45" w:rsidRDefault="0045615D">
      <w:pPr>
        <w:keepNext/>
        <w:spacing w:before="120" w:after="60"/>
      </w:pPr>
      <w:r>
        <w:rPr>
          <w:b/>
          <w:bCs/>
          <w:sz w:val="20"/>
          <w:szCs w:val="20"/>
        </w:rPr>
        <w:t>4.1.1. Computing Environment</w:t>
      </w:r>
    </w:p>
    <w:p w:rsidR="007C6D45" w:rsidRDefault="0045615D">
      <w:pPr>
        <w:ind w:firstLine="260"/>
        <w:jc w:val="both"/>
      </w:pPr>
      <w:r>
        <w:t>All experiments ran on an NVIDIA DGX Station with eight A100 GPUs (40 GB HBM2e each), an AMD EPYC 7742 processor (64 cores, 128 threads), and 1 TB DDR4 memory. Gradients were synchronized across GPUs via NVLINK and All-Reduce, with a local batch of 8 images per GPU. Training used FP16 mixed precision, Distributed Data Parallel, and ran for 120 epochs over four days with a fixed random seed of 3407 for exact reproducibility. Docker containers locked software versions: PyTorch 2.1.0, CUDA 12.2, and cuDNN 8.9.0.</w:t>
      </w:r>
    </w:p>
    <w:p w:rsidR="007C6D45" w:rsidRDefault="0045615D">
      <w:pPr>
        <w:keepNext/>
        <w:spacing w:before="120" w:after="60"/>
      </w:pPr>
      <w:r>
        <w:rPr>
          <w:b/>
          <w:bCs/>
          <w:sz w:val="20"/>
          <w:szCs w:val="20"/>
        </w:rPr>
        <w:t>4.1.2. Datasets</w:t>
      </w:r>
    </w:p>
    <w:p w:rsidR="00177B23" w:rsidRPr="00177B23" w:rsidRDefault="0045615D" w:rsidP="00177B23">
      <w:pPr>
        <w:pStyle w:val="NormalWeb"/>
        <w:jc w:val="both"/>
        <w:rPr>
          <w:color w:val="FF0000"/>
          <w:sz w:val="22"/>
          <w:szCs w:val="22"/>
          <w:lang w:val="en-US" w:eastAsia="zh-CN" w:bidi="hi-IN"/>
        </w:rPr>
      </w:pPr>
      <w:r>
        <w:rPr>
          <w:color w:val="FF0000"/>
          <w:sz w:val="22"/>
          <w:szCs w:val="22"/>
          <w:lang w:val="en-US" w:eastAsia="zh-CN" w:bidi="hi-IN"/>
        </w:rPr>
        <w:t>Training and evaluation used the MS-COCO dataset [11] (118,000 training images, 5,000 validation images, 80 object categories). Partial-occlusion performance was evaluated on the COCOA [47] subset of COCO val2017 with annotations of visibility, and amodal-completion quality was evaluated on the KINS dataset [44]. Images were resized to 640×640 and normalized before training, and augmented by random scaling, horizontal flipping, Mosaic, and MixUp.</w:t>
      </w:r>
    </w:p>
    <w:p w:rsidR="007C6D45" w:rsidRPr="0094621B" w:rsidRDefault="00D011E4">
      <w:pPr>
        <w:keepNext/>
        <w:spacing w:before="120" w:after="60"/>
        <w:rPr>
          <w:color w:val="FF0000"/>
        </w:rPr>
      </w:pPr>
      <w:r>
        <w:rPr>
          <w:b/>
          <w:bCs/>
          <w:color w:val="FF0000"/>
          <w:sz w:val="20"/>
          <w:szCs w:val="20"/>
        </w:rPr>
        <w:t>4.1.3. Training and Inference Configuration</w:t>
      </w:r>
    </w:p>
    <w:p w:rsidR="007C6D45" w:rsidRDefault="00177B23" w:rsidP="00177B23">
      <w:pPr>
        <w:pStyle w:val="NormalWeb"/>
        <w:jc w:val="both"/>
      </w:pPr>
      <w:r>
        <w:rPr>
          <w:color w:val="FF0000"/>
          <w:sz w:val="22"/>
          <w:szCs w:val="22"/>
          <w:lang w:val="en-US" w:eastAsia="zh-CN" w:bidi="hi-IN"/>
        </w:rPr>
        <w:t xml:space="preserve">AdamW (1×10−3) and cosine annealing with weight decay (5×10−4) were used to train the model using automatic mixed precision. </w:t>
      </w:r>
      <w:r>
        <w:rPr>
          <w:sz w:val="22"/>
          <w:szCs w:val="22"/>
          <w:lang w:val="en-US" w:eastAsia="zh-CN" w:bidi="hi-IN"/>
        </w:rPr>
        <w:t>Inference used FP16 half-precision on both RTX 4090 and Jetson AGX Orin, with batch size 1. Unless otherwise stated, reported latency and FPS are measured on the RTX 4090 at 640×640 resolution and batch size 1, after 50 warm-up iterations and averaged over 500 timed forward passes with GPU synchronization (CUDA 12.7, PyTorch 2.5).</w:t>
      </w:r>
    </w:p>
    <w:p w:rsidR="007C6D45" w:rsidRDefault="00D011E4">
      <w:pPr>
        <w:keepNext/>
        <w:spacing w:before="120" w:after="60"/>
      </w:pPr>
      <w:r>
        <w:rPr>
          <w:b/>
          <w:bCs/>
          <w:sz w:val="20"/>
          <w:szCs w:val="20"/>
        </w:rPr>
        <w:t>4.1.4. Evaluation Metrics</w:t>
      </w:r>
    </w:p>
    <w:p w:rsidR="007C6D45" w:rsidRDefault="00D011E4">
      <w:pPr>
        <w:ind w:firstLine="260"/>
        <w:jc w:val="both"/>
      </w:pPr>
      <w:r>
        <w:t>For a thorough evaluation of the model performance across accuracy, efficiency, and deployment suitability, multiple evaluation metrics are adopted:</w:t>
      </w:r>
    </w:p>
    <w:p w:rsidR="007C6D45" w:rsidRDefault="0045615D">
      <w:pPr>
        <w:ind w:firstLine="260"/>
        <w:jc w:val="both"/>
      </w:pPr>
      <w:r>
        <w:t>mAP@50:95: mean Average Precision across IoU thresholds from 0.5 to 0.95; the primary detection accuracy metric.</w:t>
      </w:r>
    </w:p>
    <w:p w:rsidR="007C6D45" w:rsidRDefault="0045615D">
      <w:pPr>
        <w:ind w:firstLine="260"/>
        <w:jc w:val="both"/>
      </w:pPr>
      <w:r>
        <w:t>mAP@50: mean Average Precision at IoU 0.5; measures localisation precision.</w:t>
      </w:r>
    </w:p>
    <w:p w:rsidR="007C6D45" w:rsidRDefault="0045615D">
      <w:pPr>
        <w:ind w:firstLine="260"/>
        <w:jc w:val="both"/>
      </w:pPr>
      <w:r>
        <w:t>AP_occ: Average Precision for objects that are only partially visible (less than 30% visible); shows how well the model works when objects are blocked or hidden.</w:t>
      </w:r>
    </w:p>
    <w:p w:rsidR="007C6D45" w:rsidRDefault="0045615D">
      <w:pPr>
        <w:ind w:firstLine="260"/>
        <w:jc w:val="both"/>
      </w:pPr>
      <w:r>
        <w:lastRenderedPageBreak/>
        <w:t>Parameters (M): total number of parameters the model can learn; shows how small or large the model is.</w:t>
      </w:r>
    </w:p>
    <w:p w:rsidR="007C6D45" w:rsidRPr="0094621B" w:rsidRDefault="0045615D">
      <w:pPr>
        <w:ind w:firstLine="260"/>
        <w:jc w:val="both"/>
        <w:rPr>
          <w:color w:val="FF0000"/>
        </w:rPr>
      </w:pPr>
      <w:r>
        <w:rPr>
          <w:color w:val="FF0000"/>
        </w:rPr>
        <w:t>FPS: number of images the model can process per second on the target device; shows if the model can work in real time.</w:t>
      </w:r>
    </w:p>
    <w:p w:rsidR="007C6D45" w:rsidRPr="0094621B" w:rsidRDefault="0045615D">
      <w:pPr>
        <w:keepNext/>
        <w:spacing w:before="120" w:after="60"/>
        <w:rPr>
          <w:color w:val="FF0000"/>
        </w:rPr>
      </w:pPr>
      <w:r>
        <w:rPr>
          <w:b/>
          <w:bCs/>
          <w:color w:val="FF0000"/>
          <w:sz w:val="20"/>
          <w:szCs w:val="20"/>
        </w:rPr>
        <w:t>4.1.5. Reproducibility.</w:t>
      </w:r>
    </w:p>
    <w:p w:rsidR="007C6D45" w:rsidRDefault="0045615D">
      <w:pPr>
        <w:ind w:firstLine="260"/>
        <w:jc w:val="both"/>
      </w:pPr>
      <w:r>
        <w:rPr>
          <w:color w:val="FF0000"/>
        </w:rPr>
        <w:t xml:space="preserve">To support independent verification, we release code, the exact hyperparameter configuration underlying all reported results, and the pretrained checkpoint corresponding to Tables 4–9 at </w:t>
      </w:r>
      <w:r>
        <w:rPr>
          <w:b/>
          <w:bCs/>
          <w:color w:val="FF0000"/>
        </w:rPr>
        <w:t>https://anonymous.4open.science/r/OrchestraNet-Review (anonymized for review; code and checkpoints will be made publicly available upon acceptance)</w:t>
      </w:r>
      <w:r>
        <w:rPr>
          <w:color w:val="FF0000"/>
        </w:rPr>
        <w:t xml:space="preserve">. Table 4 lists every hyperparameter referenced in §3.4–3.7 alongside its value. </w:t>
      </w:r>
      <w:r>
        <w:t xml:space="preserve">Because the full training schedule (120 epochs, 8×A100, Table 3) is not accessible to all researchers, we additionally provide a reduced-scale configuration — single GPU, batch size </w:t>
      </w:r>
      <w:r>
        <w:rPr>
          <w:b/>
          <w:bCs/>
          <w:color w:val="C00000"/>
        </w:rPr>
        <w:t>16</w:t>
      </w:r>
      <w:r>
        <w:t xml:space="preserve">, </w:t>
      </w:r>
      <w:r>
        <w:rPr>
          <w:b/>
          <w:bCs/>
          <w:color w:val="C00000"/>
        </w:rPr>
        <w:t>20</w:t>
      </w:r>
      <w:r>
        <w:t xml:space="preserve"> epochs on a </w:t>
      </w:r>
      <w:r>
        <w:rPr>
          <w:b/>
          <w:bCs/>
          <w:color w:val="C00000"/>
        </w:rPr>
        <w:t>10</w:t>
      </w:r>
      <w:r>
        <w:t xml:space="preserve">% stratified subset of COCO train2017 (≈11.8k images) — that reproduces the ranking of Table 5's ablation within </w:t>
      </w:r>
      <w:r>
        <w:rPr>
          <w:b/>
          <w:bCs/>
          <w:color w:val="C00000"/>
        </w:rPr>
        <w:t>0.5</w:t>
      </w:r>
      <w:r>
        <w:t xml:space="preserve"> mAP of the full-scale results in approximately </w:t>
      </w:r>
      <w:r>
        <w:rPr>
          <w:b/>
          <w:bCs/>
          <w:color w:val="C00000"/>
        </w:rPr>
        <w:t>4.5</w:t>
      </w:r>
      <w:r>
        <w:t xml:space="preserve"> hours, intended to validate the pipeline rather than match the paper's headline numbers.</w:t>
      </w:r>
    </w:p>
    <w:p w:rsidR="007C6D45" w:rsidRDefault="0045615D">
      <w:pPr>
        <w:keepNext/>
        <w:spacing w:before="100" w:after="40"/>
        <w:jc w:val="center"/>
      </w:pPr>
      <w:r>
        <w:rPr>
          <w:sz w:val="20"/>
          <w:szCs w:val="20"/>
        </w:rPr>
        <w:t>Table 4. Hyperparameter values referenced in §3.4–3.7.</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3250"/>
        <w:gridCol w:w="3250"/>
        <w:gridCol w:w="3252"/>
      </w:tblGrid>
      <w:tr w:rsidR="007C6D45">
        <w:trPr>
          <w:cantSplit/>
          <w:tblHeader/>
        </w:trPr>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Symbol</w:t>
            </w:r>
          </w:p>
        </w:tc>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Description</w:t>
            </w:r>
          </w:p>
        </w:tc>
        <w:tc>
          <w:tcPr>
            <w:tcW w:w="1554"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Value</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κ thresholds</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Router complexity cutoffs</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0.3, 0.7</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τ_iou, τ_occ, τ_depth</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OA-NMS thresholds</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0.50, 0.20, 0.04</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Gumbel-Softmax temperature</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Anneal schedule</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1.0 → 0.1, via cosine decay over epochs 31–100</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α, β, γ</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REINFORCE reward weights</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1.0, 0.3, 0.1</w:t>
            </w:r>
          </w:p>
        </w:tc>
      </w:tr>
      <w:tr w:rsidR="007C6D45">
        <w:trPr>
          <w:cantSplit/>
        </w:trPr>
        <w:tc>
          <w:tcPr>
            <w:tcW w:w="1553" w:type="dxa"/>
            <w:tcBorders>
              <w:top w:val="single" w:sz="2" w:space="0" w:color="808080"/>
              <w:bottom w:val="single" w:sz="4" w:space="0" w:color="000000"/>
            </w:tcBorders>
            <w:vAlign w:val="center"/>
          </w:tcPr>
          <w:p w:rsidR="007C6D45" w:rsidRDefault="0045615D">
            <w:pPr>
              <w:jc w:val="center"/>
            </w:pPr>
            <w:r>
              <w:rPr>
                <w:sz w:val="18"/>
                <w:szCs w:val="18"/>
              </w:rPr>
              <w:t>Seed</w:t>
            </w:r>
          </w:p>
        </w:tc>
        <w:tc>
          <w:tcPr>
            <w:tcW w:w="1553" w:type="dxa"/>
            <w:tcBorders>
              <w:top w:val="single" w:sz="2" w:space="0" w:color="808080"/>
              <w:bottom w:val="single" w:sz="4" w:space="0" w:color="000000"/>
            </w:tcBorders>
            <w:vAlign w:val="center"/>
          </w:tcPr>
          <w:p w:rsidR="007C6D45" w:rsidRDefault="0045615D">
            <w:pPr>
              <w:jc w:val="center"/>
            </w:pPr>
            <w:r>
              <w:rPr>
                <w:sz w:val="18"/>
                <w:szCs w:val="18"/>
              </w:rPr>
              <w:t>—</w:t>
            </w:r>
          </w:p>
        </w:tc>
        <w:tc>
          <w:tcPr>
            <w:tcW w:w="1554" w:type="dxa"/>
            <w:tcBorders>
              <w:top w:val="single" w:sz="2" w:space="0" w:color="808080"/>
              <w:bottom w:val="single" w:sz="4" w:space="0" w:color="000000"/>
            </w:tcBorders>
            <w:vAlign w:val="center"/>
          </w:tcPr>
          <w:p w:rsidR="007C6D45" w:rsidRDefault="0045615D">
            <w:pPr>
              <w:jc w:val="center"/>
            </w:pPr>
            <w:r>
              <w:rPr>
                <w:sz w:val="18"/>
                <w:szCs w:val="18"/>
              </w:rPr>
              <w:t>3407</w:t>
            </w:r>
          </w:p>
        </w:tc>
      </w:tr>
    </w:tbl>
    <w:p w:rsidR="007C6D45" w:rsidRDefault="007C6D45">
      <w:pPr>
        <w:spacing w:after="80"/>
      </w:pPr>
    </w:p>
    <w:p w:rsidR="007C6D45" w:rsidRDefault="0045615D">
      <w:pPr>
        <w:keepNext/>
        <w:spacing w:before="120" w:after="60"/>
      </w:pPr>
      <w:r>
        <w:rPr>
          <w:b/>
          <w:bCs/>
        </w:rPr>
        <w:t>4.2. Ablation study</w:t>
      </w:r>
    </w:p>
    <w:p w:rsidR="007C6D45" w:rsidRDefault="0045615D">
      <w:pPr>
        <w:ind w:firstLine="260"/>
        <w:jc w:val="both"/>
      </w:pPr>
      <w:r>
        <w:t>Each small model was tested independently on the MS-COCO val2017 dataset under the same training and testing conditions.</w:t>
      </w:r>
    </w:p>
    <w:p w:rsidR="007C6D45" w:rsidRDefault="0045615D">
      <w:pPr>
        <w:keepNext/>
        <w:spacing w:before="120" w:after="60"/>
      </w:pPr>
      <w:r>
        <w:rPr>
          <w:b/>
          <w:bCs/>
          <w:sz w:val="20"/>
          <w:szCs w:val="20"/>
        </w:rPr>
        <w:t>4.2.1. Component contributions</w:t>
      </w:r>
    </w:p>
    <w:p w:rsidR="007C6D45" w:rsidRDefault="0045615D">
      <w:pPr>
        <w:ind w:firstLine="260"/>
        <w:jc w:val="both"/>
      </w:pPr>
      <w:r>
        <w:t>Table 5 evaluates the contribution of each small model by testing it without the other models in the full group.</w:t>
      </w:r>
    </w:p>
    <w:p w:rsidR="007C6D45" w:rsidRDefault="0045615D">
      <w:pPr>
        <w:keepNext/>
        <w:spacing w:before="100" w:after="40"/>
        <w:jc w:val="center"/>
      </w:pPr>
      <w:r>
        <w:rPr>
          <w:sz w:val="20"/>
          <w:szCs w:val="20"/>
        </w:rPr>
        <w:t xml:space="preserve">Table 5. Testing each small model </w:t>
      </w:r>
      <w:r>
        <w:t>independently</w:t>
      </w:r>
      <w:r>
        <w:rPr>
          <w:sz w:val="20"/>
          <w:szCs w:val="20"/>
        </w:rPr>
        <w:t xml:space="preserve"> on MS-COCO val2017 (Full OrchestraNet = all seven micro-models active).</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625"/>
        <w:gridCol w:w="1627"/>
        <w:gridCol w:w="1624"/>
        <w:gridCol w:w="1626"/>
        <w:gridCol w:w="1626"/>
        <w:gridCol w:w="1624"/>
      </w:tblGrid>
      <w:tr w:rsidR="007C6D45">
        <w:trPr>
          <w:cantSplit/>
          <w:tblHeader/>
        </w:trPr>
        <w:tc>
          <w:tcPr>
            <w:tcW w:w="776"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Configuration</w:t>
            </w:r>
          </w:p>
        </w:tc>
        <w:tc>
          <w:tcPr>
            <w:tcW w:w="777"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mAP@50:95</w:t>
            </w:r>
          </w:p>
        </w:tc>
        <w:tc>
          <w:tcPr>
            <w:tcW w:w="776"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w:t>
            </w:r>
          </w:p>
        </w:tc>
        <w:tc>
          <w:tcPr>
            <w:tcW w:w="777"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AP_occ</w:t>
            </w:r>
          </w:p>
        </w:tc>
        <w:tc>
          <w:tcPr>
            <w:tcW w:w="777"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FPS</w:t>
            </w:r>
          </w:p>
        </w:tc>
        <w:tc>
          <w:tcPr>
            <w:tcW w:w="776"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Δ mAP</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rPr>
                <w:sz w:val="18"/>
                <w:szCs w:val="18"/>
              </w:rPr>
              <w:t>Full OrchestraNet</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48.83</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65.00</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30.6</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32.4</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rPr>
                <w:sz w:val="18"/>
                <w:szCs w:val="18"/>
              </w:rPr>
              <w:t>−M2 (Occlusion Analyzer)</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48.56</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64.74</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24.1</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35.8</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−0.27</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rPr>
                <w:sz w:val="18"/>
                <w:szCs w:val="18"/>
              </w:rPr>
              <w:t>−M6 (Amodal Completer)</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48.64</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64.83</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25.8</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44.7</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−0.19</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rPr>
                <w:sz w:val="18"/>
                <w:szCs w:val="18"/>
              </w:rPr>
              <w:t>−M4 (Depth Estimator)</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48.71</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64.91</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26.4</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34.2</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−0.12</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rPr>
                <w:sz w:val="18"/>
                <w:szCs w:val="18"/>
              </w:rPr>
              <w:t>−M3 (Small Enhancer)</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48.73</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64.89</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29.8</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35.1</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−0.10</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rPr>
                <w:sz w:val="18"/>
                <w:szCs w:val="18"/>
              </w:rPr>
              <w:t>−M7 (Calibrator)</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48.76</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64.94</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28.9</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32.6</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−0.07</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rPr>
                <w:sz w:val="18"/>
                <w:szCs w:val="18"/>
              </w:rPr>
              <w:t>−M5 (Scene Context)</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48.79</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64.96</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29.5</w:t>
            </w:r>
          </w:p>
        </w:tc>
        <w:tc>
          <w:tcPr>
            <w:tcW w:w="777" w:type="dxa"/>
            <w:tcBorders>
              <w:top w:val="single" w:sz="2" w:space="0" w:color="808080"/>
              <w:bottom w:val="single" w:sz="2" w:space="0" w:color="808080"/>
            </w:tcBorders>
            <w:vAlign w:val="center"/>
          </w:tcPr>
          <w:p w:rsidR="007C6D45" w:rsidRDefault="0045615D">
            <w:pPr>
              <w:jc w:val="center"/>
            </w:pPr>
            <w:r>
              <w:rPr>
                <w:sz w:val="18"/>
                <w:szCs w:val="18"/>
              </w:rPr>
              <w:t>33.0</w:t>
            </w:r>
          </w:p>
        </w:tc>
        <w:tc>
          <w:tcPr>
            <w:tcW w:w="776" w:type="dxa"/>
            <w:tcBorders>
              <w:top w:val="single" w:sz="2" w:space="0" w:color="808080"/>
              <w:bottom w:val="single" w:sz="2" w:space="0" w:color="808080"/>
            </w:tcBorders>
            <w:vAlign w:val="center"/>
          </w:tcPr>
          <w:p w:rsidR="007C6D45" w:rsidRDefault="0045615D">
            <w:pPr>
              <w:jc w:val="center"/>
            </w:pPr>
            <w:r>
              <w:rPr>
                <w:sz w:val="18"/>
                <w:szCs w:val="18"/>
              </w:rPr>
              <w:t>−0.05</w:t>
            </w:r>
          </w:p>
        </w:tc>
      </w:tr>
      <w:tr w:rsidR="007C6D45">
        <w:trPr>
          <w:cantSplit/>
        </w:trPr>
        <w:tc>
          <w:tcPr>
            <w:tcW w:w="776" w:type="dxa"/>
            <w:tcBorders>
              <w:top w:val="single" w:sz="2" w:space="0" w:color="808080"/>
              <w:bottom w:val="single" w:sz="4" w:space="0" w:color="000000"/>
            </w:tcBorders>
            <w:vAlign w:val="center"/>
          </w:tcPr>
          <w:p w:rsidR="007C6D45" w:rsidRDefault="0045615D">
            <w:pPr>
              <w:jc w:val="center"/>
            </w:pPr>
            <w:r>
              <w:rPr>
                <w:sz w:val="18"/>
                <w:szCs w:val="18"/>
              </w:rPr>
              <w:t>M1 only (Baseline)</w:t>
            </w:r>
          </w:p>
        </w:tc>
        <w:tc>
          <w:tcPr>
            <w:tcW w:w="777" w:type="dxa"/>
            <w:tcBorders>
              <w:top w:val="single" w:sz="2" w:space="0" w:color="808080"/>
              <w:bottom w:val="single" w:sz="4" w:space="0" w:color="000000"/>
            </w:tcBorders>
            <w:vAlign w:val="center"/>
          </w:tcPr>
          <w:p w:rsidR="007C6D45" w:rsidRDefault="0045615D">
            <w:pPr>
              <w:jc w:val="center"/>
            </w:pPr>
            <w:r>
              <w:rPr>
                <w:sz w:val="18"/>
                <w:szCs w:val="18"/>
              </w:rPr>
              <w:t>48.42</w:t>
            </w:r>
          </w:p>
        </w:tc>
        <w:tc>
          <w:tcPr>
            <w:tcW w:w="776" w:type="dxa"/>
            <w:tcBorders>
              <w:top w:val="single" w:sz="2" w:space="0" w:color="808080"/>
              <w:bottom w:val="single" w:sz="4" w:space="0" w:color="000000"/>
            </w:tcBorders>
            <w:vAlign w:val="center"/>
          </w:tcPr>
          <w:p w:rsidR="007C6D45" w:rsidRDefault="0045615D">
            <w:pPr>
              <w:jc w:val="center"/>
            </w:pPr>
            <w:r>
              <w:rPr>
                <w:sz w:val="18"/>
                <w:szCs w:val="18"/>
              </w:rPr>
              <w:t>65.08</w:t>
            </w:r>
          </w:p>
        </w:tc>
        <w:tc>
          <w:tcPr>
            <w:tcW w:w="777" w:type="dxa"/>
            <w:tcBorders>
              <w:top w:val="single" w:sz="2" w:space="0" w:color="808080"/>
              <w:bottom w:val="single" w:sz="4" w:space="0" w:color="000000"/>
            </w:tcBorders>
            <w:vAlign w:val="center"/>
          </w:tcPr>
          <w:p w:rsidR="007C6D45" w:rsidRDefault="0045615D">
            <w:pPr>
              <w:jc w:val="center"/>
            </w:pPr>
            <w:r>
              <w:rPr>
                <w:sz w:val="18"/>
                <w:szCs w:val="18"/>
              </w:rPr>
              <w:t>22.3</w:t>
            </w:r>
          </w:p>
        </w:tc>
        <w:tc>
          <w:tcPr>
            <w:tcW w:w="777" w:type="dxa"/>
            <w:tcBorders>
              <w:top w:val="single" w:sz="2" w:space="0" w:color="808080"/>
              <w:bottom w:val="single" w:sz="4" w:space="0" w:color="000000"/>
            </w:tcBorders>
            <w:vAlign w:val="center"/>
          </w:tcPr>
          <w:p w:rsidR="007C6D45" w:rsidRDefault="0045615D">
            <w:pPr>
              <w:jc w:val="center"/>
            </w:pPr>
            <w:r>
              <w:rPr>
                <w:sz w:val="18"/>
                <w:szCs w:val="18"/>
              </w:rPr>
              <w:t>138.5</w:t>
            </w:r>
          </w:p>
        </w:tc>
        <w:tc>
          <w:tcPr>
            <w:tcW w:w="776" w:type="dxa"/>
            <w:tcBorders>
              <w:top w:val="single" w:sz="2" w:space="0" w:color="808080"/>
              <w:bottom w:val="single" w:sz="4" w:space="0" w:color="000000"/>
            </w:tcBorders>
            <w:vAlign w:val="center"/>
          </w:tcPr>
          <w:p w:rsidR="007C6D45" w:rsidRDefault="0045615D">
            <w:pPr>
              <w:jc w:val="center"/>
            </w:pPr>
            <w:r>
              <w:rPr>
                <w:sz w:val="18"/>
                <w:szCs w:val="18"/>
              </w:rPr>
              <w:t>−0.41</w:t>
            </w:r>
          </w:p>
        </w:tc>
      </w:tr>
    </w:tbl>
    <w:p w:rsidR="007C6D45" w:rsidRDefault="007C6D45">
      <w:pPr>
        <w:spacing w:after="80"/>
      </w:pPr>
    </w:p>
    <w:p w:rsidR="007C6D45" w:rsidRDefault="0045615D">
      <w:pPr>
        <w:ind w:firstLine="260"/>
        <w:jc w:val="both"/>
      </w:pPr>
      <w:r>
        <w:t>The considered methodology depends most heavily on M2 (−0.27 mAP@50:95 and −6.5 AP on severely occluded objects when removed), which emphasises explicit occlusion analysis as the major driver of robustness. M6 is ranked second (−0.19 mAP@50:95, −4.8 AP on severely occluded objects), with amodal shape completion, followed by M4 (−0.12 mAP@50:95, −4.2 AP). Compared with the M1-only baseline (a standard single-head detector on the same backbone), the full system gains +0.41 mAP@50:95 overall but +8.3 AP on severely occluded objects (30.6 vs. 22.3), at the cost of throughput (32.4 vs. 138.5 FPS); overall mAP@50:95 differs little across configurations because the specialists mainly act on occluded and crowded scenes, which are a minority of COCO.</w:t>
      </w:r>
      <w:bookmarkStart w:id="8" w:name="_Int_Jifd0iCn"/>
      <w:bookmarkEnd w:id="8"/>
    </w:p>
    <w:p w:rsidR="007C6D45" w:rsidRDefault="0045615D">
      <w:pPr>
        <w:keepNext/>
        <w:spacing w:before="120" w:after="60"/>
      </w:pPr>
      <w:r>
        <w:rPr>
          <w:b/>
          <w:bCs/>
          <w:sz w:val="20"/>
          <w:szCs w:val="20"/>
        </w:rPr>
        <w:t>4.2.2. NMS variant comparison</w:t>
      </w:r>
    </w:p>
    <w:p w:rsidR="007C6D45" w:rsidRDefault="0045615D">
      <w:pPr>
        <w:ind w:firstLine="260"/>
        <w:jc w:val="both"/>
      </w:pPr>
      <w:r>
        <w:t xml:space="preserve">Table 6 compares post-processing strategies </w:t>
      </w:r>
      <w:bookmarkStart w:id="9" w:name="_Int_YHs5dGQK"/>
      <w:r>
        <w:t>on</w:t>
      </w:r>
      <w:bookmarkEnd w:id="9"/>
      <w:r>
        <w:t xml:space="preserve"> the COCOA dataset.</w:t>
      </w:r>
    </w:p>
    <w:p w:rsidR="007C6D45" w:rsidRDefault="0045615D">
      <w:pPr>
        <w:keepNext/>
        <w:spacing w:before="100" w:after="40"/>
        <w:jc w:val="center"/>
      </w:pPr>
      <w:r>
        <w:rPr>
          <w:sz w:val="20"/>
          <w:szCs w:val="20"/>
        </w:rPr>
        <w:lastRenderedPageBreak/>
        <w:t>Table 6. NMS variant comparison on COCOA.</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951"/>
        <w:gridCol w:w="1951"/>
        <w:gridCol w:w="1950"/>
        <w:gridCol w:w="1950"/>
        <w:gridCol w:w="1950"/>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NMS method</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(All)</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&lt; 50%)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Preserved pairs</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 rate</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Standard NMS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39.1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24.2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3.2%</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Soft-NMS (Bodla et al.)</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40.3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26.8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4.1%</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DIoU-NMS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40.1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25.9</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3.5%</w:t>
            </w:r>
          </w:p>
        </w:tc>
      </w:tr>
      <w:tr w:rsidR="007C6D45">
        <w:trPr>
          <w:cantSplit/>
        </w:trPr>
        <w:tc>
          <w:tcPr>
            <w:tcW w:w="932" w:type="dxa"/>
            <w:tcBorders>
              <w:top w:val="single" w:sz="2" w:space="0" w:color="808080"/>
              <w:bottom w:val="single" w:sz="4" w:space="0" w:color="000000"/>
            </w:tcBorders>
            <w:vAlign w:val="center"/>
          </w:tcPr>
          <w:p w:rsidR="007C6D45" w:rsidRDefault="0045615D">
            <w:pPr>
              <w:jc w:val="center"/>
            </w:pPr>
            <w:r>
              <w:rPr>
                <w:sz w:val="18"/>
                <w:szCs w:val="18"/>
              </w:rPr>
              <w:t>OA-NMS (Ours)</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41.8</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34.8</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73%</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3.8%</w:t>
            </w:r>
          </w:p>
        </w:tc>
      </w:tr>
    </w:tbl>
    <w:p w:rsidR="007C6D45" w:rsidRDefault="007C6D45">
      <w:pPr>
        <w:spacing w:after="80"/>
      </w:pPr>
    </w:p>
    <w:p w:rsidR="007C6D45" w:rsidRDefault="0045615D">
      <w:pPr>
        <w:ind w:firstLine="260"/>
        <w:jc w:val="both"/>
      </w:pPr>
      <w:r>
        <w:t>NMS substantially outperforms all baselines on occluded objects while maintaining a comparable false positive rate to Soft-NMS. CrowdDet [45] addresses a related problem — suppressing duplicate detections in dense crowds — via EMD loss and Set-NMS, but is developed and evaluated on CrowdHuman, a pedestrian-only crowd benchmark, rather than general multi-class detection; we therefore discuss it here rather than as a direct Table 8 baseline.</w:t>
      </w:r>
    </w:p>
    <w:p w:rsidR="007C6D45" w:rsidRDefault="0045615D">
      <w:pPr>
        <w:keepNext/>
        <w:spacing w:before="120" w:after="60"/>
      </w:pPr>
      <w:r>
        <w:rPr>
          <w:b/>
          <w:bCs/>
          <w:sz w:val="20"/>
          <w:szCs w:val="20"/>
        </w:rPr>
        <w:t>4.2.3. Self-supervised pretext impact</w:t>
      </w:r>
    </w:p>
    <w:p w:rsidR="007C6D45" w:rsidRDefault="0045615D">
      <w:pPr>
        <w:ind w:firstLine="260"/>
        <w:jc w:val="both"/>
      </w:pPr>
      <w:r>
        <w:t>Table 7 isolates the effect of the occlusion pretext training regime on M2 quality.</w:t>
      </w:r>
    </w:p>
    <w:p w:rsidR="007C6D45" w:rsidRDefault="0045615D">
      <w:pPr>
        <w:keepNext/>
        <w:spacing w:before="100" w:after="40"/>
        <w:jc w:val="center"/>
      </w:pPr>
      <w:r>
        <w:rPr>
          <w:sz w:val="20"/>
          <w:szCs w:val="20"/>
        </w:rPr>
        <w:t>Table 7. Impact of self-supervised occlusion pretext training.</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2435"/>
        <w:gridCol w:w="2439"/>
        <w:gridCol w:w="2439"/>
        <w:gridCol w:w="2439"/>
      </w:tblGrid>
      <w:tr w:rsidR="007C6D45">
        <w:trPr>
          <w:cantSplit/>
          <w:tblHeader/>
        </w:trPr>
        <w:tc>
          <w:tcPr>
            <w:tcW w:w="1164"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Training regime</w:t>
            </w:r>
          </w:p>
        </w:tc>
        <w:tc>
          <w:tcPr>
            <w:tcW w:w="1165"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(All)</w:t>
            </w:r>
          </w:p>
        </w:tc>
        <w:tc>
          <w:tcPr>
            <w:tcW w:w="1165"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&lt; 30%)</w:t>
            </w:r>
          </w:p>
        </w:tc>
        <w:tc>
          <w:tcPr>
            <w:tcW w:w="1165"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M2 Occ. IoU</w:t>
            </w:r>
          </w:p>
        </w:tc>
      </w:tr>
      <w:tr w:rsidR="007C6D45">
        <w:trPr>
          <w:cantSplit/>
        </w:trPr>
        <w:tc>
          <w:tcPr>
            <w:tcW w:w="1164" w:type="dxa"/>
            <w:tcBorders>
              <w:top w:val="single" w:sz="2" w:space="0" w:color="808080"/>
              <w:bottom w:val="single" w:sz="2" w:space="0" w:color="808080"/>
            </w:tcBorders>
            <w:vAlign w:val="center"/>
          </w:tcPr>
          <w:p w:rsidR="007C6D45" w:rsidRDefault="0045615D">
            <w:pPr>
              <w:jc w:val="center"/>
            </w:pPr>
            <w:r>
              <w:rPr>
                <w:sz w:val="18"/>
                <w:szCs w:val="18"/>
              </w:rPr>
              <w:t>No pretext (supervised only)</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41.1</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26.8</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58.2</w:t>
            </w:r>
          </w:p>
        </w:tc>
      </w:tr>
      <w:tr w:rsidR="007C6D45">
        <w:trPr>
          <w:cantSplit/>
        </w:trPr>
        <w:tc>
          <w:tcPr>
            <w:tcW w:w="1164" w:type="dxa"/>
            <w:tcBorders>
              <w:top w:val="single" w:sz="2" w:space="0" w:color="808080"/>
              <w:bottom w:val="single" w:sz="2" w:space="0" w:color="808080"/>
            </w:tcBorders>
            <w:vAlign w:val="center"/>
          </w:tcPr>
          <w:p w:rsidR="007C6D45" w:rsidRDefault="0045615D">
            <w:pPr>
              <w:jc w:val="center"/>
            </w:pPr>
            <w:r>
              <w:rPr>
                <w:sz w:val="18"/>
                <w:szCs w:val="18"/>
              </w:rPr>
              <w:t>Pretext (feature masking)</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41.8</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30.6</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67.4</w:t>
            </w:r>
          </w:p>
        </w:tc>
      </w:tr>
      <w:tr w:rsidR="007C6D45">
        <w:trPr>
          <w:cantSplit/>
        </w:trPr>
        <w:tc>
          <w:tcPr>
            <w:tcW w:w="1164" w:type="dxa"/>
            <w:tcBorders>
              <w:top w:val="single" w:sz="2" w:space="0" w:color="808080"/>
              <w:bottom w:val="single" w:sz="4" w:space="0" w:color="000000"/>
            </w:tcBorders>
            <w:vAlign w:val="center"/>
          </w:tcPr>
          <w:p w:rsidR="007C6D45" w:rsidRDefault="0045615D">
            <w:pPr>
              <w:jc w:val="center"/>
            </w:pPr>
            <w:r>
              <w:rPr>
                <w:sz w:val="18"/>
                <w:szCs w:val="18"/>
              </w:rPr>
              <w:t>Pretext + supervised</w:t>
            </w:r>
          </w:p>
        </w:tc>
        <w:tc>
          <w:tcPr>
            <w:tcW w:w="1165" w:type="dxa"/>
            <w:tcBorders>
              <w:top w:val="single" w:sz="2" w:space="0" w:color="808080"/>
              <w:bottom w:val="single" w:sz="4" w:space="0" w:color="000000"/>
            </w:tcBorders>
            <w:vAlign w:val="center"/>
          </w:tcPr>
          <w:p w:rsidR="007C6D45" w:rsidRDefault="0045615D">
            <w:pPr>
              <w:jc w:val="center"/>
            </w:pPr>
            <w:r>
              <w:rPr>
                <w:sz w:val="18"/>
                <w:szCs w:val="18"/>
              </w:rPr>
              <w:t>42.5</w:t>
            </w:r>
          </w:p>
        </w:tc>
        <w:tc>
          <w:tcPr>
            <w:tcW w:w="1165" w:type="dxa"/>
            <w:tcBorders>
              <w:top w:val="single" w:sz="2" w:space="0" w:color="808080"/>
              <w:bottom w:val="single" w:sz="4" w:space="0" w:color="000000"/>
            </w:tcBorders>
            <w:vAlign w:val="center"/>
          </w:tcPr>
          <w:p w:rsidR="007C6D45" w:rsidRDefault="0045615D">
            <w:pPr>
              <w:jc w:val="center"/>
            </w:pPr>
            <w:r>
              <w:rPr>
                <w:sz w:val="18"/>
                <w:szCs w:val="18"/>
              </w:rPr>
              <w:t>30.2</w:t>
            </w:r>
          </w:p>
        </w:tc>
        <w:tc>
          <w:tcPr>
            <w:tcW w:w="1165" w:type="dxa"/>
            <w:tcBorders>
              <w:top w:val="single" w:sz="2" w:space="0" w:color="808080"/>
              <w:bottom w:val="single" w:sz="4" w:space="0" w:color="000000"/>
            </w:tcBorders>
            <w:vAlign w:val="center"/>
          </w:tcPr>
          <w:p w:rsidR="007C6D45" w:rsidRDefault="0045615D">
            <w:pPr>
              <w:jc w:val="center"/>
            </w:pPr>
            <w:r>
              <w:rPr>
                <w:sz w:val="18"/>
                <w:szCs w:val="18"/>
              </w:rPr>
              <w:t>66.8</w:t>
            </w:r>
          </w:p>
        </w:tc>
      </w:tr>
    </w:tbl>
    <w:p w:rsidR="007C6D45" w:rsidRDefault="007C6D45">
      <w:pPr>
        <w:spacing w:after="80"/>
      </w:pPr>
    </w:p>
    <w:p w:rsidR="007C6D45" w:rsidRDefault="0045615D">
      <w:pPr>
        <w:ind w:firstLine="260"/>
        <w:jc w:val="both"/>
      </w:pPr>
      <w:r>
        <w:t>The self-supervised pretext task improves M2's occlusion map IoU by +9.2 points and translates to +3.8 AP on heavily occluded objects—all without any manual amodal annotations.</w:t>
      </w:r>
    </w:p>
    <w:p w:rsidR="007C6D45" w:rsidRDefault="0045615D">
      <w:pPr>
        <w:keepNext/>
        <w:spacing w:before="120" w:after="60"/>
      </w:pPr>
      <w:r>
        <w:rPr>
          <w:b/>
          <w:bCs/>
        </w:rPr>
        <w:t>4.3. Comparison with state-of-the-art methods</w:t>
      </w:r>
    </w:p>
    <w:p w:rsidR="007C6D45" w:rsidRDefault="0045615D">
      <w:pPr>
        <w:keepNext/>
        <w:spacing w:before="120" w:after="60"/>
      </w:pPr>
      <w:r>
        <w:rPr>
          <w:b/>
          <w:bCs/>
          <w:sz w:val="20"/>
          <w:szCs w:val="20"/>
        </w:rPr>
        <w:t>4.3.1. Overall performance comparison</w:t>
      </w:r>
    </w:p>
    <w:p w:rsidR="007C6D45" w:rsidRDefault="0045615D">
      <w:pPr>
        <w:keepNext/>
        <w:spacing w:before="100" w:after="40"/>
        <w:jc w:val="center"/>
      </w:pPr>
      <w:r>
        <w:rPr>
          <w:sz w:val="20"/>
          <w:szCs w:val="20"/>
        </w:rPr>
        <w:t>Table 8. Comparison of OrchestraNet against published detectors on COCO val2017, spanning two-stage, single-stage, anchor-free, and transformer-based architectures.</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2408"/>
        <w:gridCol w:w="1590"/>
        <w:gridCol w:w="1950"/>
        <w:gridCol w:w="1950"/>
        <w:gridCol w:w="1854"/>
      </w:tblGrid>
      <w:tr w:rsidR="007C6D45">
        <w:trPr>
          <w:cantSplit/>
          <w:tblHeader/>
        </w:trPr>
        <w:tc>
          <w:tcPr>
            <w:tcW w:w="115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Model</w:t>
            </w:r>
          </w:p>
        </w:tc>
        <w:tc>
          <w:tcPr>
            <w:tcW w:w="76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Params (M)</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mAP@50:95</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w:t>
            </w:r>
          </w:p>
        </w:tc>
        <w:tc>
          <w:tcPr>
            <w:tcW w:w="886"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FPS</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YOLOv8-S</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11.2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44.90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61.80</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172.4</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YOLOv8-M</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25.9</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50.20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65.70</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117.6</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Faster R-CNN</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41.8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40.20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58.40</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54.9</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Cascade R-CNN</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69.2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44.30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62.10</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35.2</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RetinaNet†</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~36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39.1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~18</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FCOS†</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~32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38.3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~51</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DETR</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41.0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42.00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62.50</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60.6</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Deformable DETR†</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~40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46.2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~33</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RT-DETR-R18</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20.0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46.50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62.80</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135.1</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RT-DETR-R50</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42.0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53.10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65.10</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79.4</w:t>
            </w:r>
          </w:p>
        </w:tc>
      </w:tr>
      <w:tr w:rsidR="007C6D45">
        <w:trPr>
          <w:cantSplit/>
        </w:trPr>
        <w:tc>
          <w:tcPr>
            <w:tcW w:w="1150" w:type="dxa"/>
            <w:tcBorders>
              <w:top w:val="single" w:sz="2" w:space="0" w:color="808080"/>
              <w:bottom w:val="single" w:sz="2" w:space="0" w:color="808080"/>
            </w:tcBorders>
            <w:vAlign w:val="center"/>
          </w:tcPr>
          <w:p w:rsidR="007C6D45" w:rsidRDefault="0045615D">
            <w:pPr>
              <w:jc w:val="center"/>
            </w:pPr>
            <w:r>
              <w:rPr>
                <w:sz w:val="18"/>
                <w:szCs w:val="18"/>
              </w:rPr>
              <w:t>OrchestraNet Simple route (Ours)</w:t>
            </w:r>
          </w:p>
        </w:tc>
        <w:tc>
          <w:tcPr>
            <w:tcW w:w="760" w:type="dxa"/>
            <w:tcBorders>
              <w:top w:val="single" w:sz="2" w:space="0" w:color="808080"/>
              <w:bottom w:val="single" w:sz="2" w:space="0" w:color="808080"/>
            </w:tcBorders>
            <w:vAlign w:val="center"/>
          </w:tcPr>
          <w:p w:rsidR="007C6D45" w:rsidRDefault="0045615D">
            <w:pPr>
              <w:jc w:val="center"/>
            </w:pPr>
            <w:r>
              <w:rPr>
                <w:sz w:val="18"/>
                <w:szCs w:val="18"/>
              </w:rPr>
              <w:t>9.12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48.48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65.16</w:t>
            </w:r>
          </w:p>
        </w:tc>
        <w:tc>
          <w:tcPr>
            <w:tcW w:w="886" w:type="dxa"/>
            <w:tcBorders>
              <w:top w:val="single" w:sz="2" w:space="0" w:color="808080"/>
              <w:bottom w:val="single" w:sz="2" w:space="0" w:color="808080"/>
            </w:tcBorders>
            <w:vAlign w:val="center"/>
          </w:tcPr>
          <w:p w:rsidR="007C6D45" w:rsidRDefault="0045615D">
            <w:pPr>
              <w:jc w:val="center"/>
            </w:pPr>
            <w:r>
              <w:rPr>
                <w:sz w:val="18"/>
                <w:szCs w:val="18"/>
              </w:rPr>
              <w:t>130.8</w:t>
            </w:r>
          </w:p>
        </w:tc>
      </w:tr>
      <w:tr w:rsidR="007C6D45">
        <w:trPr>
          <w:cantSplit/>
        </w:trPr>
        <w:tc>
          <w:tcPr>
            <w:tcW w:w="1150" w:type="dxa"/>
            <w:tcBorders>
              <w:top w:val="single" w:sz="2" w:space="0" w:color="808080"/>
              <w:bottom w:val="single" w:sz="4" w:space="0" w:color="000000"/>
            </w:tcBorders>
            <w:vAlign w:val="center"/>
          </w:tcPr>
          <w:p w:rsidR="007C6D45" w:rsidRDefault="0045615D">
            <w:pPr>
              <w:jc w:val="center"/>
            </w:pPr>
            <w:r>
              <w:rPr>
                <w:sz w:val="18"/>
                <w:szCs w:val="18"/>
              </w:rPr>
              <w:t>OrchestraNet Full ensemble (Ours)</w:t>
            </w:r>
          </w:p>
        </w:tc>
        <w:tc>
          <w:tcPr>
            <w:tcW w:w="760" w:type="dxa"/>
            <w:tcBorders>
              <w:top w:val="single" w:sz="2" w:space="0" w:color="808080"/>
              <w:bottom w:val="single" w:sz="4" w:space="0" w:color="000000"/>
            </w:tcBorders>
            <w:vAlign w:val="center"/>
          </w:tcPr>
          <w:p w:rsidR="007C6D45" w:rsidRDefault="0045615D">
            <w:pPr>
              <w:jc w:val="center"/>
            </w:pPr>
            <w:r>
              <w:rPr>
                <w:sz w:val="18"/>
                <w:szCs w:val="18"/>
              </w:rPr>
              <w:t>10.49</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48.83</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65.00</w:t>
            </w:r>
          </w:p>
        </w:tc>
        <w:tc>
          <w:tcPr>
            <w:tcW w:w="886" w:type="dxa"/>
            <w:tcBorders>
              <w:top w:val="single" w:sz="2" w:space="0" w:color="808080"/>
              <w:bottom w:val="single" w:sz="4" w:space="0" w:color="000000"/>
            </w:tcBorders>
            <w:vAlign w:val="center"/>
          </w:tcPr>
          <w:p w:rsidR="007C6D45" w:rsidRDefault="0045615D">
            <w:pPr>
              <w:jc w:val="center"/>
            </w:pPr>
            <w:r>
              <w:rPr>
                <w:sz w:val="18"/>
                <w:szCs w:val="18"/>
              </w:rPr>
              <w:t>32.4</w:t>
            </w:r>
          </w:p>
        </w:tc>
      </w:tr>
    </w:tbl>
    <w:p w:rsidR="00F51C29" w:rsidRDefault="004F2750">
      <w:pPr>
        <w:spacing w:before="40" w:after="60"/>
        <w:jc w:val="both"/>
      </w:pPr>
      <w:r>
        <w:rPr>
          <w:sz w:val="16"/>
          <w:szCs w:val="16"/>
        </w:rPr>
        <w:t>† Values reported in the literature, not re-measured under the RTX 4090 protocol used for the other rows (640×640, batch size 1).</w:t>
      </w:r>
    </w:p>
    <w:p w:rsidR="007C6D45" w:rsidRDefault="007C6D45">
      <w:pPr>
        <w:spacing w:after="80"/>
      </w:pPr>
    </w:p>
    <w:p w:rsidR="007C6D45" w:rsidRDefault="0045615D">
      <w:pPr>
        <w:ind w:firstLine="260"/>
        <w:jc w:val="both"/>
      </w:pPr>
      <w:r>
        <w:t>The full OrchestraNet ensemble trails RT-DETR-R50 by 4.3 points on mAP@50:95 (48.83 vs. 53.10) at roughly one-quarter of the parameters, and trails YOLOv8-M by 1.4 points at about 40% of the parameters. On mAP@50, the Simple route matches RT-DETR-R50 (65.16 vs. 65.10) and trails YOLOv8-M by 0.5 points (65.70) while running faster than both (130.8 vs. 79.4 and 117.6 FPS); the full ensemble runs at 32.4 FPS, trading throughput for accuracy on occluded scenes. We do not claim parity with these detectors on standard COCO. As Table 9 shows, this deficit reverses on heavily occluded objects, where OrchestraNet leads YOLOv8-M by 8.3 AP — the scenario the paper is designed for.</w:t>
      </w:r>
    </w:p>
    <w:p w:rsidR="007C6D45" w:rsidRDefault="0045615D">
      <w:pPr>
        <w:ind w:firstLine="260"/>
        <w:jc w:val="both"/>
      </w:pPr>
      <w:r>
        <w:lastRenderedPageBreak/>
        <w:t>While OrchestraNet's overall mAP@50:95 is modest compared to large transformer detectors, this performance is achieved with about 40% of the parameters of YOLOv8-M and about one-quarter of the parameters of DETR. The critical advantage emerges when examining occlusion-specific performance.</w:t>
      </w:r>
    </w:p>
    <w:p w:rsidR="007C6D45" w:rsidRDefault="0045615D">
      <w:pPr>
        <w:keepNext/>
        <w:spacing w:before="120" w:after="60"/>
      </w:pPr>
      <w:r>
        <w:rPr>
          <w:b/>
          <w:bCs/>
          <w:sz w:val="20"/>
          <w:szCs w:val="20"/>
        </w:rPr>
        <w:t>4.3.2. Occlusion-specific performance</w:t>
      </w:r>
    </w:p>
    <w:p w:rsidR="007C6D45" w:rsidRDefault="0045615D">
      <w:pPr>
        <w:ind w:firstLine="260"/>
        <w:jc w:val="both"/>
      </w:pPr>
      <w:r>
        <w:t>Table 9 stratifies AP by visibility level on the COCOA dataset. AP (All) is measured on COCOA against amodal ground truth and is therefore lower than the COCO val2017 mAP@50:95 in Table 8 (e.g., 37.4 vs. 50.2 for YOLOv8-M).</w:t>
      </w:r>
    </w:p>
    <w:p w:rsidR="007C6D45" w:rsidRDefault="0045615D">
      <w:pPr>
        <w:keepNext/>
        <w:spacing w:before="100" w:after="40"/>
        <w:jc w:val="center"/>
      </w:pPr>
      <w:r>
        <w:rPr>
          <w:sz w:val="20"/>
          <w:szCs w:val="20"/>
        </w:rPr>
        <w:t>Table 9. Performance stratified by occlusion severity on COCOA.</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951"/>
        <w:gridCol w:w="1951"/>
        <w:gridCol w:w="1950"/>
        <w:gridCol w:w="1950"/>
        <w:gridCol w:w="1950"/>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Method</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(All)</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&gt; 70%)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&lt; 30%)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Δ Occluded</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YOLOv8-M</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37.4</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54.2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22.3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Faster R-CNN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34.1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48.2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20.8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−1.5</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Cascade R-CNN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36.8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52.1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23.1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+0.8</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Amodal Expansion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38.5</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49.2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27.1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+4.8</w:t>
            </w:r>
          </w:p>
        </w:tc>
      </w:tr>
      <w:tr w:rsidR="007C6D45">
        <w:trPr>
          <w:cantSplit/>
        </w:trPr>
        <w:tc>
          <w:tcPr>
            <w:tcW w:w="932" w:type="dxa"/>
            <w:tcBorders>
              <w:top w:val="single" w:sz="2" w:space="0" w:color="808080"/>
              <w:bottom w:val="single" w:sz="4" w:space="0" w:color="000000"/>
            </w:tcBorders>
            <w:vAlign w:val="center"/>
          </w:tcPr>
          <w:p w:rsidR="007C6D45" w:rsidRDefault="0045615D">
            <w:pPr>
              <w:jc w:val="center"/>
            </w:pPr>
            <w:r>
              <w:rPr>
                <w:sz w:val="18"/>
                <w:szCs w:val="18"/>
              </w:rPr>
              <w:t>OrchestraNet</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41.8</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55.6</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30.6</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+8.3</w:t>
            </w:r>
          </w:p>
        </w:tc>
      </w:tr>
    </w:tbl>
    <w:p w:rsidR="007C6D45" w:rsidRDefault="007C6D45">
      <w:pPr>
        <w:spacing w:after="80"/>
      </w:pPr>
    </w:p>
    <w:p w:rsidR="007C6D45" w:rsidRPr="0094621B" w:rsidRDefault="0045615D">
      <w:pPr>
        <w:ind w:firstLine="260"/>
        <w:jc w:val="both"/>
        <w:rPr>
          <w:color w:val="FF0000"/>
        </w:rPr>
      </w:pPr>
      <w:r>
        <w:rPr>
          <w:color w:val="FF0000"/>
        </w:rPr>
        <w:t>OrchestraNet achieves a +8.3 AP improvement on heavily occluded objects (visibility &lt; 30%) over YOLOv8-M, a gap that widens as visibility decreases — the condition where monolithic detectors degrade most sharply.</w:t>
      </w:r>
    </w:p>
    <w:p w:rsidR="007C6D45" w:rsidRDefault="0045615D">
      <w:pPr>
        <w:keepNext/>
        <w:spacing w:before="120" w:after="60"/>
      </w:pPr>
      <w:r>
        <w:rPr>
          <w:b/>
          <w:bCs/>
        </w:rPr>
        <w:t>4.4. Speed analysis</w:t>
      </w:r>
    </w:p>
    <w:p w:rsidR="007C6D45" w:rsidRDefault="0045615D">
      <w:pPr>
        <w:ind w:firstLine="260"/>
        <w:jc w:val="both"/>
      </w:pPr>
      <w:r>
        <w:t>Table 10 reports inference latency across deployment targets.</w:t>
      </w:r>
    </w:p>
    <w:p w:rsidR="007C6D45" w:rsidRDefault="0045615D">
      <w:pPr>
        <w:keepNext/>
        <w:spacing w:before="100" w:after="40"/>
        <w:jc w:val="center"/>
      </w:pPr>
      <w:r>
        <w:rPr>
          <w:sz w:val="20"/>
          <w:szCs w:val="20"/>
        </w:rPr>
        <w:t>Table 10. Inference latency and throughput across hardware targets (Simple / Complex route).</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2051"/>
        <w:gridCol w:w="1842"/>
        <w:gridCol w:w="1339"/>
        <w:gridCol w:w="2260"/>
        <w:gridCol w:w="2260"/>
      </w:tblGrid>
      <w:tr w:rsidR="007C6D45">
        <w:trPr>
          <w:cantSplit/>
          <w:tblHeader/>
        </w:trPr>
        <w:tc>
          <w:tcPr>
            <w:tcW w:w="98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Hardware</w:t>
            </w:r>
          </w:p>
        </w:tc>
        <w:tc>
          <w:tcPr>
            <w:tcW w:w="88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Precision</w:t>
            </w:r>
          </w:p>
        </w:tc>
        <w:tc>
          <w:tcPr>
            <w:tcW w:w="64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Batch</w:t>
            </w:r>
          </w:p>
        </w:tc>
        <w:tc>
          <w:tcPr>
            <w:tcW w:w="108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Mean (ms) Simple / Complex</w:t>
            </w:r>
          </w:p>
        </w:tc>
        <w:tc>
          <w:tcPr>
            <w:tcW w:w="1080"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FPS Simple / Complex</w:t>
            </w:r>
          </w:p>
        </w:tc>
      </w:tr>
      <w:tr w:rsidR="007C6D45">
        <w:trPr>
          <w:cantSplit/>
        </w:trPr>
        <w:tc>
          <w:tcPr>
            <w:tcW w:w="980" w:type="dxa"/>
            <w:tcBorders>
              <w:top w:val="single" w:sz="2" w:space="0" w:color="808080"/>
              <w:bottom w:val="single" w:sz="2" w:space="0" w:color="808080"/>
            </w:tcBorders>
            <w:vAlign w:val="center"/>
          </w:tcPr>
          <w:p w:rsidR="007C6D45" w:rsidRDefault="0045615D">
            <w:pPr>
              <w:jc w:val="center"/>
            </w:pPr>
            <w:r>
              <w:rPr>
                <w:sz w:val="18"/>
                <w:szCs w:val="18"/>
              </w:rPr>
              <w:t>RTX 4090</w:t>
            </w:r>
          </w:p>
        </w:tc>
        <w:tc>
          <w:tcPr>
            <w:tcW w:w="880" w:type="dxa"/>
            <w:tcBorders>
              <w:top w:val="single" w:sz="2" w:space="0" w:color="808080"/>
              <w:bottom w:val="single" w:sz="2" w:space="0" w:color="808080"/>
            </w:tcBorders>
            <w:vAlign w:val="center"/>
          </w:tcPr>
          <w:p w:rsidR="007C6D45" w:rsidRDefault="0045615D">
            <w:pPr>
              <w:jc w:val="center"/>
            </w:pPr>
            <w:r>
              <w:rPr>
                <w:sz w:val="18"/>
                <w:szCs w:val="18"/>
              </w:rPr>
              <w:t>FP32</w:t>
            </w:r>
          </w:p>
        </w:tc>
        <w:tc>
          <w:tcPr>
            <w:tcW w:w="640" w:type="dxa"/>
            <w:tcBorders>
              <w:top w:val="single" w:sz="2" w:space="0" w:color="808080"/>
              <w:bottom w:val="single" w:sz="2" w:space="0" w:color="808080"/>
            </w:tcBorders>
            <w:vAlign w:val="center"/>
          </w:tcPr>
          <w:p w:rsidR="007C6D45" w:rsidRDefault="0045615D">
            <w:pPr>
              <w:jc w:val="center"/>
            </w:pPr>
            <w:r>
              <w:rPr>
                <w:sz w:val="18"/>
                <w:szCs w:val="18"/>
              </w:rPr>
              <w:t>1</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12.0 / 38.2</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83.3 / 26.2</w:t>
            </w:r>
          </w:p>
        </w:tc>
      </w:tr>
      <w:tr w:rsidR="007C6D45">
        <w:trPr>
          <w:cantSplit/>
        </w:trPr>
        <w:tc>
          <w:tcPr>
            <w:tcW w:w="980" w:type="dxa"/>
            <w:tcBorders>
              <w:top w:val="single" w:sz="2" w:space="0" w:color="808080"/>
              <w:bottom w:val="single" w:sz="2" w:space="0" w:color="808080"/>
            </w:tcBorders>
            <w:vAlign w:val="center"/>
          </w:tcPr>
          <w:p w:rsidR="007C6D45" w:rsidRDefault="0045615D">
            <w:pPr>
              <w:jc w:val="center"/>
            </w:pPr>
            <w:r>
              <w:rPr>
                <w:sz w:val="18"/>
                <w:szCs w:val="18"/>
              </w:rPr>
              <w:t>RTX 4090</w:t>
            </w:r>
          </w:p>
        </w:tc>
        <w:tc>
          <w:tcPr>
            <w:tcW w:w="880"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640" w:type="dxa"/>
            <w:tcBorders>
              <w:top w:val="single" w:sz="2" w:space="0" w:color="808080"/>
              <w:bottom w:val="single" w:sz="2" w:space="0" w:color="808080"/>
            </w:tcBorders>
            <w:vAlign w:val="center"/>
          </w:tcPr>
          <w:p w:rsidR="007C6D45" w:rsidRDefault="0045615D">
            <w:pPr>
              <w:jc w:val="center"/>
            </w:pPr>
            <w:r>
              <w:rPr>
                <w:sz w:val="18"/>
                <w:szCs w:val="18"/>
              </w:rPr>
              <w:t>1</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7.65 / 30.86</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130.8 / 32.4</w:t>
            </w:r>
          </w:p>
        </w:tc>
      </w:tr>
      <w:tr w:rsidR="007C6D45">
        <w:trPr>
          <w:cantSplit/>
        </w:trPr>
        <w:tc>
          <w:tcPr>
            <w:tcW w:w="980" w:type="dxa"/>
            <w:tcBorders>
              <w:top w:val="single" w:sz="2" w:space="0" w:color="808080"/>
              <w:bottom w:val="single" w:sz="2" w:space="0" w:color="808080"/>
            </w:tcBorders>
            <w:vAlign w:val="center"/>
          </w:tcPr>
          <w:p w:rsidR="007C6D45" w:rsidRDefault="0045615D">
            <w:pPr>
              <w:jc w:val="center"/>
            </w:pPr>
            <w:r>
              <w:rPr>
                <w:sz w:val="18"/>
                <w:szCs w:val="18"/>
              </w:rPr>
              <w:t>RTX 4090</w:t>
            </w:r>
          </w:p>
        </w:tc>
        <w:tc>
          <w:tcPr>
            <w:tcW w:w="880"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640" w:type="dxa"/>
            <w:tcBorders>
              <w:top w:val="single" w:sz="2" w:space="0" w:color="808080"/>
              <w:bottom w:val="single" w:sz="2" w:space="0" w:color="808080"/>
            </w:tcBorders>
            <w:vAlign w:val="center"/>
          </w:tcPr>
          <w:p w:rsidR="007C6D45" w:rsidRDefault="0045615D">
            <w:pPr>
              <w:jc w:val="center"/>
            </w:pPr>
            <w:r>
              <w:rPr>
                <w:sz w:val="18"/>
                <w:szCs w:val="18"/>
              </w:rPr>
              <w:t>8</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4.1 / 18.4</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243.9 / 54.3</w:t>
            </w:r>
          </w:p>
        </w:tc>
      </w:tr>
      <w:tr w:rsidR="007C6D45">
        <w:trPr>
          <w:cantSplit/>
        </w:trPr>
        <w:tc>
          <w:tcPr>
            <w:tcW w:w="980" w:type="dxa"/>
            <w:tcBorders>
              <w:top w:val="single" w:sz="2" w:space="0" w:color="808080"/>
              <w:bottom w:val="single" w:sz="2" w:space="0" w:color="808080"/>
            </w:tcBorders>
            <w:vAlign w:val="center"/>
          </w:tcPr>
          <w:p w:rsidR="007C6D45" w:rsidRDefault="0045615D">
            <w:pPr>
              <w:jc w:val="center"/>
            </w:pPr>
            <w:r>
              <w:rPr>
                <w:sz w:val="18"/>
                <w:szCs w:val="18"/>
              </w:rPr>
              <w:t>RTX 3080</w:t>
            </w:r>
          </w:p>
        </w:tc>
        <w:tc>
          <w:tcPr>
            <w:tcW w:w="880"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640" w:type="dxa"/>
            <w:tcBorders>
              <w:top w:val="single" w:sz="2" w:space="0" w:color="808080"/>
              <w:bottom w:val="single" w:sz="2" w:space="0" w:color="808080"/>
            </w:tcBorders>
            <w:vAlign w:val="center"/>
          </w:tcPr>
          <w:p w:rsidR="007C6D45" w:rsidRDefault="0045615D">
            <w:pPr>
              <w:jc w:val="center"/>
            </w:pPr>
            <w:r>
              <w:rPr>
                <w:sz w:val="18"/>
                <w:szCs w:val="18"/>
              </w:rPr>
              <w:t>1</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10.4 / 41.2</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96.2 / 24.3</w:t>
            </w:r>
          </w:p>
        </w:tc>
      </w:tr>
      <w:tr w:rsidR="007C6D45">
        <w:trPr>
          <w:cantSplit/>
        </w:trPr>
        <w:tc>
          <w:tcPr>
            <w:tcW w:w="980" w:type="dxa"/>
            <w:tcBorders>
              <w:top w:val="single" w:sz="2" w:space="0" w:color="808080"/>
              <w:bottom w:val="single" w:sz="2" w:space="0" w:color="808080"/>
            </w:tcBorders>
            <w:vAlign w:val="center"/>
          </w:tcPr>
          <w:p w:rsidR="007C6D45" w:rsidRDefault="0045615D">
            <w:pPr>
              <w:jc w:val="center"/>
            </w:pPr>
            <w:r>
              <w:rPr>
                <w:sz w:val="18"/>
                <w:szCs w:val="18"/>
              </w:rPr>
              <w:t>Jetson AGX Orin</w:t>
            </w:r>
          </w:p>
        </w:tc>
        <w:tc>
          <w:tcPr>
            <w:tcW w:w="880"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640" w:type="dxa"/>
            <w:tcBorders>
              <w:top w:val="single" w:sz="2" w:space="0" w:color="808080"/>
              <w:bottom w:val="single" w:sz="2" w:space="0" w:color="808080"/>
            </w:tcBorders>
            <w:vAlign w:val="center"/>
          </w:tcPr>
          <w:p w:rsidR="007C6D45" w:rsidRDefault="0045615D">
            <w:pPr>
              <w:jc w:val="center"/>
            </w:pPr>
            <w:r>
              <w:rPr>
                <w:sz w:val="18"/>
                <w:szCs w:val="18"/>
              </w:rPr>
              <w:t>1</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22.1 / 78.4</w:t>
            </w:r>
          </w:p>
        </w:tc>
        <w:tc>
          <w:tcPr>
            <w:tcW w:w="1080" w:type="dxa"/>
            <w:tcBorders>
              <w:top w:val="single" w:sz="2" w:space="0" w:color="808080"/>
              <w:bottom w:val="single" w:sz="2" w:space="0" w:color="808080"/>
            </w:tcBorders>
            <w:vAlign w:val="center"/>
          </w:tcPr>
          <w:p w:rsidR="007C6D45" w:rsidRDefault="0045615D">
            <w:pPr>
              <w:jc w:val="center"/>
            </w:pPr>
            <w:r>
              <w:rPr>
                <w:sz w:val="18"/>
                <w:szCs w:val="18"/>
              </w:rPr>
              <w:t>45.2 / 12.8</w:t>
            </w:r>
          </w:p>
        </w:tc>
      </w:tr>
      <w:tr w:rsidR="007C6D45">
        <w:trPr>
          <w:cantSplit/>
        </w:trPr>
        <w:tc>
          <w:tcPr>
            <w:tcW w:w="980" w:type="dxa"/>
            <w:tcBorders>
              <w:top w:val="single" w:sz="2" w:space="0" w:color="808080"/>
              <w:bottom w:val="single" w:sz="4" w:space="0" w:color="000000"/>
            </w:tcBorders>
            <w:vAlign w:val="center"/>
          </w:tcPr>
          <w:p w:rsidR="007C6D45" w:rsidRDefault="0045615D">
            <w:pPr>
              <w:jc w:val="center"/>
            </w:pPr>
            <w:r>
              <w:rPr>
                <w:sz w:val="18"/>
                <w:szCs w:val="18"/>
              </w:rPr>
              <w:t>Jetson AGX Orin</w:t>
            </w:r>
          </w:p>
        </w:tc>
        <w:tc>
          <w:tcPr>
            <w:tcW w:w="880" w:type="dxa"/>
            <w:tcBorders>
              <w:top w:val="single" w:sz="2" w:space="0" w:color="808080"/>
              <w:bottom w:val="single" w:sz="4" w:space="0" w:color="000000"/>
            </w:tcBorders>
            <w:vAlign w:val="center"/>
          </w:tcPr>
          <w:p w:rsidR="007C6D45" w:rsidRDefault="0045615D">
            <w:pPr>
              <w:jc w:val="center"/>
            </w:pPr>
            <w:r>
              <w:rPr>
                <w:sz w:val="18"/>
                <w:szCs w:val="18"/>
              </w:rPr>
              <w:t>INT8 (TRT)</w:t>
            </w:r>
          </w:p>
        </w:tc>
        <w:tc>
          <w:tcPr>
            <w:tcW w:w="640" w:type="dxa"/>
            <w:tcBorders>
              <w:top w:val="single" w:sz="2" w:space="0" w:color="808080"/>
              <w:bottom w:val="single" w:sz="4" w:space="0" w:color="000000"/>
            </w:tcBorders>
            <w:vAlign w:val="center"/>
          </w:tcPr>
          <w:p w:rsidR="007C6D45" w:rsidRDefault="0045615D">
            <w:pPr>
              <w:jc w:val="center"/>
            </w:pPr>
            <w:r>
              <w:rPr>
                <w:sz w:val="18"/>
                <w:szCs w:val="18"/>
              </w:rPr>
              <w:t>1</w:t>
            </w:r>
          </w:p>
        </w:tc>
        <w:tc>
          <w:tcPr>
            <w:tcW w:w="1080" w:type="dxa"/>
            <w:tcBorders>
              <w:top w:val="single" w:sz="2" w:space="0" w:color="808080"/>
              <w:bottom w:val="single" w:sz="4" w:space="0" w:color="000000"/>
            </w:tcBorders>
            <w:vAlign w:val="center"/>
          </w:tcPr>
          <w:p w:rsidR="007C6D45" w:rsidRDefault="0045615D">
            <w:pPr>
              <w:jc w:val="center"/>
            </w:pPr>
            <w:r>
              <w:rPr>
                <w:sz w:val="18"/>
                <w:szCs w:val="18"/>
              </w:rPr>
              <w:t>14.7 / 48.6</w:t>
            </w:r>
          </w:p>
        </w:tc>
        <w:tc>
          <w:tcPr>
            <w:tcW w:w="1080" w:type="dxa"/>
            <w:tcBorders>
              <w:top w:val="single" w:sz="2" w:space="0" w:color="808080"/>
              <w:bottom w:val="single" w:sz="4" w:space="0" w:color="000000"/>
            </w:tcBorders>
            <w:vAlign w:val="center"/>
          </w:tcPr>
          <w:p w:rsidR="007C6D45" w:rsidRDefault="0045615D">
            <w:pPr>
              <w:jc w:val="center"/>
            </w:pPr>
            <w:r>
              <w:rPr>
                <w:sz w:val="18"/>
                <w:szCs w:val="18"/>
              </w:rPr>
              <w:t>68.0 / 20.6</w:t>
            </w:r>
          </w:p>
        </w:tc>
      </w:tr>
    </w:tbl>
    <w:p w:rsidR="007C6D45" w:rsidRDefault="007C6D45">
      <w:pPr>
        <w:spacing w:after="80"/>
      </w:pPr>
    </w:p>
    <w:p w:rsidR="007C6D45" w:rsidRDefault="0045615D">
      <w:pPr>
        <w:ind w:firstLine="260"/>
        <w:jc w:val="both"/>
      </w:pPr>
      <w:r>
        <w:rPr>
          <w:color w:val="FF0000"/>
        </w:rPr>
        <w:t>The Simple routing profile achieves 130.8 FPS on an RTX 4090 (FP16, batch size 1) and 68.0 FPS on a Jetson AGX Orin with INT8 TensorRT quantization, while the Complex profile runs at 32.4 FPS and 20.6 FPS, respectively, covering both server and edge deployment targets</w:t>
      </w:r>
      <w:r>
        <w:t>.</w:t>
      </w:r>
    </w:p>
    <w:p w:rsidR="007C6D45" w:rsidRPr="0094621B" w:rsidRDefault="0045615D">
      <w:pPr>
        <w:keepNext/>
        <w:spacing w:before="120" w:after="60"/>
        <w:rPr>
          <w:color w:val="FF0000"/>
        </w:rPr>
      </w:pPr>
      <w:r>
        <w:rPr>
          <w:b/>
          <w:bCs/>
          <w:color w:val="FF0000"/>
        </w:rPr>
        <w:t>4.5. Visualization and qualitative analysis</w:t>
      </w:r>
    </w:p>
    <w:p w:rsidR="007C6D45" w:rsidRDefault="0045615D">
      <w:pPr>
        <w:ind w:firstLine="260"/>
        <w:jc w:val="both"/>
      </w:pPr>
      <w:r>
        <w:rPr>
          <w:color w:val="FF0000"/>
        </w:rPr>
        <w:t xml:space="preserve">Qualitative comparisons across severe occlusion, tiny targets, and complex backgrounds show where failure modes concentrate. In packed pedestrian scenes, YOLOv8-M's NMS consistently suppresses genuine detections by misreading overlaps as duplicates; OA-NMS avoids this by checking M2 visibility and M4 depth before discarding boxes. M6's amodal completion recovers partially visible objects that YOLOv8-M misses entirely; M5's scene-level context eliminates false positives in semantically ambiguous regions; and M7 filters low-confidence detections that survive NMS but lack supporting evidence. </w:t>
      </w:r>
      <w:r>
        <w:rPr>
          <w:b/>
          <w:bCs/>
          <w:color w:val="C00000"/>
        </w:rPr>
        <w:t>These qualitative differences manifest</w:t>
      </w:r>
      <w:r>
        <w:t xml:space="preserve"> most clearly below 30% visibility, where the gap over single-model baselines is largest.</w:t>
      </w:r>
    </w:p>
    <w:p w:rsidR="007C6D45" w:rsidRDefault="0045615D">
      <w:pPr>
        <w:keepNext/>
        <w:spacing w:before="120" w:after="60"/>
      </w:pPr>
      <w:r>
        <w:rPr>
          <w:b/>
          <w:bCs/>
        </w:rPr>
        <w:t>4.6. Failure cases and limitations</w:t>
      </w:r>
    </w:p>
    <w:p w:rsidR="007C6D45" w:rsidRDefault="0045615D">
      <w:pPr>
        <w:ind w:firstLine="260"/>
        <w:jc w:val="both"/>
      </w:pPr>
      <w:r>
        <w:t>First, border truncation. When objects are cut at the frame edge, M6's amodal completion sometimes extrapolates unreasonably beyond the frame, since the transformer decoder lacks context to infer missing geometry, and M7 does not reliably penalize these cases because border objects often carry high objectness scores from M1.</w:t>
      </w:r>
    </w:p>
    <w:p w:rsidR="007C6D45" w:rsidRDefault="0045615D">
      <w:pPr>
        <w:ind w:firstLine="260"/>
        <w:jc w:val="both"/>
      </w:pPr>
      <w:r>
        <w:t>Second, texture-dependent misrouting. The router occasionally labels low-texture scenes (e.g. snow) as Simple due to low edge density, missing small occluded objects that need M3 and M4, since the complexity estimator κ relies on edge and overlap statistics that textureless backgrounds suppress.</w:t>
      </w:r>
    </w:p>
    <w:p w:rsidR="007C6D45" w:rsidRDefault="0045615D">
      <w:pPr>
        <w:ind w:firstLine="260"/>
        <w:jc w:val="both"/>
      </w:pPr>
      <w:r>
        <w:lastRenderedPageBreak/>
        <w:t>Third, cross-class occlusion. OA-NMS currently treats only same-category pairs as occlusion candidates, so when objects from different categories overlap (e.g. a cyclist behind a bicycle), M2 may miscalibrate visibility and M7 may misscore confidence accordingly; relative depth across category boundaries remains open. These three modes point toward explicit truncation detection, texture-aware routing signals, and category-agnostic occlusion reasoning.</w:t>
      </w:r>
    </w:p>
    <w:p w:rsidR="007C6D45" w:rsidRDefault="0045615D">
      <w:pPr>
        <w:keepNext/>
        <w:spacing w:before="120" w:after="60"/>
      </w:pPr>
      <w:r>
        <w:rPr>
          <w:b/>
          <w:bCs/>
          <w:sz w:val="24"/>
          <w:szCs w:val="24"/>
        </w:rPr>
        <w:t>5. Conclusion</w:t>
      </w:r>
    </w:p>
    <w:p w:rsidR="007C6D45" w:rsidRDefault="0045615D">
      <w:pPr>
        <w:ind w:firstLine="260"/>
        <w:jc w:val="both"/>
      </w:pPr>
      <w:r>
        <w:t>OrchestraNet decomposes object detection into seven specialized micro-models coordinated by an adaptive compute router, replacing the monolithic single-model paradigm with computation that scales with scene complexity. On objects with visibility below 30%, it achieves an 8.3 AP gain over YOLOv8-M with 10.49M parameters — about 40% of YOLOv8-M's size. Its Simple route reaches 65.16 mAP@50 at 130.8 FPS on an RTX 4090. OA-NMS retains 73% of valid occlusion pairs that standard suppression discards, and, with INT8 TensorRT quantization on a Jetson AGX Orin, the Simple route runs at 68.0 FPS and the full ensemble at 20.6 FPS.</w:t>
      </w:r>
    </w:p>
    <w:p w:rsidR="007C6D45" w:rsidRPr="0094621B" w:rsidRDefault="0045615D">
      <w:pPr>
        <w:ind w:firstLine="260"/>
        <w:jc w:val="both"/>
        <w:rPr>
          <w:color w:val="FF0000"/>
        </w:rPr>
      </w:pPr>
      <w:r>
        <w:rPr>
          <w:color w:val="FF0000"/>
        </w:rPr>
        <w:t>Future work includes finer-grained routing signals for greater efficiency and specialization; a temporal extension of the router across video frames to reduce duplicate expert activation and improve stability; self-supervised monocular depth to remove M4's supervised-labeling requirement; and integration of stereo or LiDAR input to extend the framework toward 3D perception.</w:t>
      </w:r>
    </w:p>
    <w:p w:rsidR="007C6D45" w:rsidRPr="0094621B" w:rsidRDefault="0045615D">
      <w:pPr>
        <w:ind w:firstLine="260"/>
        <w:jc w:val="both"/>
        <w:rPr>
          <w:color w:val="FF0000"/>
        </w:rPr>
      </w:pPr>
      <w:r>
        <w:rPr>
          <w:color w:val="FF0000"/>
        </w:rPr>
        <w:t>The central finding is that structured decomposition outperforms monolithic scaling on occlusion-heavy benchmarks while preserving real-time performance, raising the question of whether this generalizes to other sensor modalities and deployment settings.</w:t>
      </w:r>
    </w:p>
    <w:p w:rsidR="007C6D45" w:rsidRDefault="0045615D">
      <w:pPr>
        <w:keepNext/>
        <w:spacing w:before="120" w:after="60"/>
      </w:pPr>
      <w:r>
        <w:rPr>
          <w:b/>
          <w:bCs/>
        </w:rPr>
        <w:t>6. Conflicts of interest</w:t>
      </w:r>
    </w:p>
    <w:p w:rsidR="007C6D45" w:rsidRDefault="0045615D">
      <w:pPr>
        <w:ind w:firstLine="260"/>
        <w:jc w:val="both"/>
      </w:pPr>
      <w:r>
        <w:rPr>
          <w:b/>
          <w:bCs/>
          <w:color w:val="C00000"/>
        </w:rPr>
        <w:t>The authors declare no conflict of interest.</w:t>
      </w:r>
    </w:p>
    <w:p w:rsidR="007C6D45" w:rsidRDefault="0045615D">
      <w:pPr>
        <w:keepNext/>
        <w:spacing w:before="120" w:after="60"/>
      </w:pPr>
      <w:r>
        <w:rPr>
          <w:b/>
          <w:bCs/>
        </w:rPr>
        <w:t>7. Author contributions</w:t>
      </w:r>
    </w:p>
    <w:p w:rsidR="007C6D45" w:rsidRDefault="0045615D">
      <w:pPr>
        <w:ind w:firstLine="260"/>
        <w:jc w:val="both"/>
      </w:pPr>
      <w:r>
        <w:rPr>
          <w:b/>
          <w:bCs/>
          <w:color w:val="C00000"/>
        </w:rPr>
        <w:t>[AUTHOR TO COMPLETE using CREdiT roles, e.g. "Conceptualization, XXX and YYY; methodology, XXX; software, XXX; validation, XXX, YYY, and ZZZ; formal analysis, XXX; investigation, XXX; resources, XXX; data curation, XXX; writing—original draft preparation, XXX; writing—review and editing, XXX; visualization, XXX; supervision, XXX; project administration, XXX; funding acquisition, YYY."]</w:t>
      </w:r>
    </w:p>
    <w:p w:rsidR="007C6D45" w:rsidRDefault="0045615D">
      <w:pPr>
        <w:keepNext/>
        <w:spacing w:before="120" w:after="60"/>
      </w:pPr>
      <w:r>
        <w:rPr>
          <w:b/>
          <w:bCs/>
        </w:rPr>
        <w:t>8. Acknowledgments</w:t>
      </w:r>
    </w:p>
    <w:p w:rsidR="007C6D45" w:rsidRDefault="0045615D">
      <w:pPr>
        <w:ind w:firstLine="260"/>
        <w:jc w:val="both"/>
      </w:pPr>
      <w:r>
        <w:rPr>
          <w:b/>
          <w:bCs/>
          <w:color w:val="C00000"/>
        </w:rPr>
        <w:t>[AUTHOR TO COMPLETE: name the supporting organization/grant, or delete this section if not applicable.]</w:t>
      </w:r>
    </w:p>
    <w:p w:rsidR="007C6D45" w:rsidRDefault="0045615D">
      <w:pPr>
        <w:spacing w:before="120" w:after="60"/>
      </w:pPr>
      <w:r>
        <w:rPr>
          <w:b/>
          <w:bCs/>
          <w:sz w:val="24"/>
          <w:szCs w:val="24"/>
        </w:rPr>
        <w:t>References</w:t>
      </w:r>
    </w:p>
    <w:p w:rsidR="007C6D45" w:rsidRDefault="0045615D">
      <w:pPr>
        <w:spacing w:after="40"/>
        <w:ind w:left="360" w:hanging="360"/>
        <w:jc w:val="both"/>
      </w:pPr>
      <w:r>
        <w:t>[1] Ren, S., He, K., Girshick, R., Sun, J., 2015. Faster R-CNN: Towards real-time object detection with region proposal networks. In: Advances in Neural Information Processing Systems. NeurIPS, vol. 28.</w:t>
      </w:r>
    </w:p>
    <w:p w:rsidR="007C6D45" w:rsidRDefault="0045615D">
      <w:pPr>
        <w:spacing w:after="40"/>
        <w:ind w:left="360" w:hanging="360"/>
        <w:jc w:val="both"/>
      </w:pPr>
      <w:r>
        <w:t>[2] Redmon, J., Divvala, S., Girshick, R., Farhadi, A., 2016. You only look once: Unified, real-time object detection. In: Proceedings of the IEEE Conference on Computer Vision and Pattern Recognition. CVPR, pp. 779–788.</w:t>
      </w:r>
    </w:p>
    <w:p w:rsidR="007C6D45" w:rsidRDefault="0045615D">
      <w:pPr>
        <w:spacing w:after="40"/>
        <w:ind w:left="360" w:hanging="360"/>
        <w:jc w:val="both"/>
      </w:pPr>
      <w:r>
        <w:t>[3] Bochkovskiy, A., Wang, C.-Y., Liao, H.-Y.M., 2020. YOLOv4: Optimal speed and accuracy of object detection. arXiv preprint arXiv:2004.10934.</w:t>
      </w:r>
    </w:p>
    <w:p w:rsidR="007C6D45" w:rsidRDefault="0045615D">
      <w:pPr>
        <w:spacing w:after="40"/>
        <w:ind w:left="360" w:hanging="360"/>
        <w:jc w:val="both"/>
      </w:pPr>
      <w:r>
        <w:t>[4] Ge, Z., Liu, S., Wang, F., Li, Z., Sun, J., 2021. YOLOX: Exceeding YOLO series in 2021. arXiv preprint arXiv:2107.08430.</w:t>
      </w:r>
    </w:p>
    <w:p w:rsidR="007C6D45" w:rsidRDefault="0045615D">
      <w:pPr>
        <w:spacing w:after="40"/>
        <w:ind w:left="360" w:hanging="360"/>
        <w:jc w:val="both"/>
      </w:pPr>
      <w:r>
        <w:t>[5] Jocher, G., Chaurasia, A., Qiu, J., 2023. Ultralytics YOLOv8. arXiv preprint arXiv:2302.04388.</w:t>
      </w:r>
    </w:p>
    <w:p w:rsidR="007C6D45" w:rsidRDefault="0045615D">
      <w:pPr>
        <w:spacing w:after="40"/>
        <w:ind w:left="360" w:hanging="360"/>
        <w:jc w:val="both"/>
      </w:pPr>
      <w:r>
        <w:t>[6] Carion, N., Massa, F., Synnaeve, G., Usunier, N., Kirillov, A., Zagoruyko, S., 2020. End-to-end object detection with transformers. In: Proceedings of the European Conference on Computer Vision. ECCV, pp. 213–229.</w:t>
      </w:r>
    </w:p>
    <w:p w:rsidR="007C6D45" w:rsidRDefault="0045615D">
      <w:pPr>
        <w:spacing w:after="40"/>
        <w:ind w:left="360" w:hanging="360"/>
        <w:jc w:val="both"/>
      </w:pPr>
      <w:r>
        <w:t>[7] Zhu, X., Su, W., Lu, L., Li, B., Wang, X., Dai, J., 2021. Deformable DETR: Deformable transformers for end-to-end object detection. In: International Conference on Learning Representations. ICLR.</w:t>
      </w:r>
    </w:p>
    <w:p w:rsidR="007C6D45" w:rsidRDefault="0045615D">
      <w:pPr>
        <w:spacing w:after="40"/>
        <w:ind w:left="360" w:hanging="360"/>
        <w:jc w:val="both"/>
      </w:pPr>
      <w:r>
        <w:t>[8] Zhang, H., Li, F., Liu, S., Zhang, L., Su, H., Zhu, J., Ni, L.M., Shum, H.-Y., 2022. DINO: DETR with improved denoising anchor boxes for end-to-end object detection. In: International Conference on Learning Representations. ICLR.</w:t>
      </w:r>
    </w:p>
    <w:p w:rsidR="007C6D45" w:rsidRDefault="0045615D">
      <w:pPr>
        <w:spacing w:after="40"/>
        <w:ind w:left="360" w:hanging="360"/>
        <w:jc w:val="both"/>
      </w:pPr>
      <w:r>
        <w:lastRenderedPageBreak/>
        <w:t>[9] Sun, P., Zhang, R., Jiang, Y., Kong, T., Xu, C., Zhan, W., Tomizuka, M., Li, L., Yuan, Z., Wang, C., Luo, P., 2021. Sparse R-CNN: End-to-end object detection with learnable proposals. In: Proceedings of the IEEE/CVF Conference on Computer Vision and Pattern Recognition. CVPR, pp. 14454–14463.</w:t>
      </w:r>
    </w:p>
    <w:p w:rsidR="007C6D45" w:rsidRDefault="0045615D">
      <w:pPr>
        <w:spacing w:after="40"/>
        <w:ind w:left="360" w:hanging="360"/>
        <w:jc w:val="both"/>
      </w:pPr>
      <w:r>
        <w:t>[10] Zhao, Y., Lv, W., Xu, S., Wei, J., Wang, G., Dang, Q., Liu, Y., Chen, J., 2024. DETRs beat YOLOs on real-time object detection. In: Proceedings of the IEEE/CVF Conference on Computer Vision and Pattern Recognition. CVPR, pp. 16965–16974.</w:t>
      </w:r>
    </w:p>
    <w:p w:rsidR="007C6D45" w:rsidRDefault="0045615D">
      <w:pPr>
        <w:spacing w:after="40"/>
        <w:ind w:left="360" w:hanging="360"/>
        <w:jc w:val="both"/>
      </w:pPr>
      <w:r>
        <w:t>[11] Lin, T.-Y., Maire, M., Belongie, S., Hays, J., Perona, P., Ramanan, D., Dollár, P., Zitnick, C.L., 2014. Microsoft COCO: Common objects in context. In: Proceedings of the European Conference on Computer Vision. ECCV, pp. 740–755.</w:t>
      </w:r>
    </w:p>
    <w:p w:rsidR="007C6D45" w:rsidRDefault="0045615D">
      <w:pPr>
        <w:spacing w:after="40"/>
        <w:ind w:left="360" w:hanging="360"/>
        <w:jc w:val="both"/>
      </w:pPr>
      <w:r>
        <w:t>[12] Jang, E., Gu, S., Poole, B., 2017. Categorical reparameterization with Gumbel-Softmax. In: International Conference on Learning Representations. ICLR.</w:t>
      </w:r>
    </w:p>
    <w:p w:rsidR="007C6D45" w:rsidRDefault="0045615D">
      <w:pPr>
        <w:spacing w:after="40"/>
        <w:ind w:left="360" w:hanging="360"/>
        <w:jc w:val="both"/>
      </w:pPr>
      <w:r>
        <w:t>[13] Williams, R.J., 1992. Simple statistical gradient-following algorithms for connectionist reinforcement learning. Mach. Learn. 8 (3), 229–256.</w:t>
      </w:r>
    </w:p>
    <w:p w:rsidR="007C6D45" w:rsidRDefault="0045615D">
      <w:pPr>
        <w:spacing w:after="40"/>
        <w:ind w:left="360" w:hanging="360"/>
        <w:jc w:val="both"/>
      </w:pPr>
      <w:r>
        <w:t>[14] Tian, Z., Shen, C., Chen, H., He, T., 2019. FCOS: Fully convolutional one-stage object detection. In: Proceedings of the IEEE/CVF International Conference on Computer Vision. ICCV, pp. 9627–9636.</w:t>
      </w:r>
    </w:p>
    <w:p w:rsidR="007C6D45" w:rsidRDefault="0045615D">
      <w:pPr>
        <w:spacing w:after="40"/>
        <w:ind w:left="360" w:hanging="360"/>
        <w:jc w:val="both"/>
      </w:pPr>
      <w:r>
        <w:t>[15] Lin, T.-Y., Goyal, P., Girshick, R., He, K., Dollár, P., 2017. Focal loss for dense object detection. In: Proceedings of the IEEE International Conference on Computer Vision. ICCV, pp. 2980–2988.</w:t>
      </w:r>
    </w:p>
    <w:p w:rsidR="007C6D45" w:rsidRDefault="0045615D">
      <w:pPr>
        <w:spacing w:after="40"/>
        <w:ind w:left="360" w:hanging="360"/>
        <w:jc w:val="both"/>
      </w:pPr>
      <w:r>
        <w:t>[16] Ling, H., Acuna, D., Kreis, K., Kim, S.W., Fidler, S., 2020. Variational amodal object completion. Advances in Neural Information Processing Systems (NeurIPS), 33, 16246–16257.</w:t>
      </w:r>
    </w:p>
    <w:p w:rsidR="007C6D45" w:rsidRDefault="0045615D">
      <w:pPr>
        <w:spacing w:after="40"/>
        <w:ind w:left="360" w:hanging="360"/>
        <w:jc w:val="both"/>
      </w:pPr>
      <w:r>
        <w:t>[17] Bodla, N., Singh, B., Chellappa, R., Davis, L.S., 2017. Soft-NMS—improving object detection with one line of code. In: Proceedings of the IEEE International Conference on Computer Vision. ICCV, pp. 5561–5569.</w:t>
      </w:r>
    </w:p>
    <w:p w:rsidR="007C6D45" w:rsidRDefault="0045615D">
      <w:pPr>
        <w:spacing w:after="40"/>
        <w:ind w:left="360" w:hanging="360"/>
        <w:jc w:val="both"/>
      </w:pPr>
      <w:r>
        <w:t>[18] Liu, L., Ouyang, W., Wang, X., Fieguth, P., Chen, J., Liu, X., Pietikäinen, M., 2020. Deep learning for generic object detection: A survey. Int. J. Comput. Vis. 128 (2), 261–318.</w:t>
      </w:r>
    </w:p>
    <w:p w:rsidR="007C6D45" w:rsidRDefault="0045615D">
      <w:pPr>
        <w:spacing w:after="40"/>
        <w:ind w:left="360" w:hanging="360"/>
        <w:jc w:val="both"/>
      </w:pPr>
      <w:r>
        <w:t>[19] Shazeer, N., Mirhoseini, A., Maziarz, K., Davis, A., Le, Q., Hinton, G., Dean, J., 2017. Outrageously large neural networks: The sparsely-gated mixture-of-experts layer. In: International Conference on Learning Representations. ICLR.</w:t>
      </w:r>
    </w:p>
    <w:p w:rsidR="007C6D45" w:rsidRDefault="0045615D">
      <w:pPr>
        <w:spacing w:after="40"/>
        <w:ind w:left="360" w:hanging="360"/>
        <w:jc w:val="both"/>
      </w:pPr>
      <w:r>
        <w:t>[20] Xin, J., Tang, R., Lee, J., Yu, Y., Lin, J., 2020. DeeBERT: Dynamic early exiting for accelerating BERT inference. In: Proceedings of the 58th Annual Meeting of the Association for Computational Linguistics. ACL, pp. 2246–2251.</w:t>
      </w:r>
    </w:p>
    <w:p w:rsidR="007C6D45" w:rsidRDefault="0045615D">
      <w:pPr>
        <w:spacing w:after="40"/>
        <w:ind w:left="360" w:hanging="360"/>
        <w:jc w:val="both"/>
      </w:pPr>
      <w:r>
        <w:t>[21] Zhou, Y., Moosavi-Dezfooli, S.-M., Cheung, N.-M., Frossard, P., 2020. Adaptive inference for deep neural networks. In: Proceedings of the IEEE/CVF Conference on Computer Vision and Pattern Recognition. CVPR, pp. 8844–8852.</w:t>
      </w:r>
    </w:p>
    <w:p w:rsidR="007C6D45" w:rsidRDefault="0045615D">
      <w:pPr>
        <w:spacing w:after="40"/>
        <w:ind w:left="360" w:hanging="360"/>
        <w:jc w:val="both"/>
      </w:pPr>
      <w:r>
        <w:t>[22] Yu, J., Yang, L., Xu, N., Yang, J., Huang, T., 2019. Slimmable neural networks. In: International Conference on Learning Representations. ICLR.</w:t>
      </w:r>
    </w:p>
    <w:p w:rsidR="007C6D45" w:rsidRDefault="0045615D">
      <w:pPr>
        <w:spacing w:after="40"/>
        <w:ind w:left="360" w:hanging="360"/>
        <w:jc w:val="both"/>
      </w:pPr>
      <w:r>
        <w:t>[23] Yang, Y., Yuan, Y., Rusak, E., Hong, S., Li, Y., Feng, J., 2020. Advancing high fidelity image generation for diverse natural scenes. In: Advances in Neural Information Processing Systems. NeurIPS, vol. 33.</w:t>
      </w:r>
    </w:p>
    <w:p w:rsidR="007C6D45" w:rsidRDefault="0045615D">
      <w:pPr>
        <w:spacing w:after="40"/>
        <w:ind w:left="360" w:hanging="360"/>
        <w:jc w:val="both"/>
      </w:pPr>
      <w:r>
        <w:t>[24] Yang, T., Howard, A., Chen, B., Zhang, X., Go, A., Sandler, M., Sze, V., Adam, H., 2018. NetAdapt: Platform-aware neural network adaptation for mobile applications. In: Proceedings of the European Conference on Computer Vision. ECCV, pp. 285–300.</w:t>
      </w:r>
    </w:p>
    <w:p w:rsidR="007C6D45" w:rsidRDefault="0045615D">
      <w:pPr>
        <w:spacing w:after="40"/>
        <w:ind w:left="360" w:hanging="360"/>
        <w:jc w:val="both"/>
      </w:pPr>
      <w:r>
        <w:t>[25] Liu, L., Su, B., Jiang, J., Wu, G., Guo, C., Xu, C., Yang, H.F., 2025. Towards accurate and efficient 3D object detection for autonomous driving: A mixture of experts computing system on edge. In: Proceedings of the IEEE/CVF International Conference on Computer Vision. ICCV, pp. 25903–25913.</w:t>
      </w:r>
    </w:p>
    <w:p w:rsidR="007C6D45" w:rsidRDefault="0045615D">
      <w:pPr>
        <w:spacing w:after="40"/>
        <w:ind w:left="360" w:hanging="360"/>
        <w:jc w:val="both"/>
      </w:pPr>
      <w:r>
        <w:t>[26] Meiraz, O., Shalev, S., Weizman, A., 2025. YOLO meets mixture-of-experts: Adaptive expert routing for robust object detection. arXiv preprint arXiv:2511.13344.</w:t>
      </w:r>
    </w:p>
    <w:p w:rsidR="00A85091" w:rsidRDefault="0045615D" w:rsidP="00F566BC">
      <w:pPr>
        <w:spacing w:after="40"/>
        <w:ind w:left="360" w:hanging="360"/>
        <w:jc w:val="both"/>
      </w:pPr>
      <w:r>
        <w:t xml:space="preserve">[27] Tang, Z., Huang, Q., Yang, L., Xiang, J., Ye, X., 2026. Adaptive pedestrian detection in resource-constrained dynamic crowds via hierarchical occlusion-aware reasoning. Pattern Recognition, 179(Part D), 113847. </w:t>
      </w:r>
      <w:hyperlink r:id="rId10" w:history="1">
        <w:r>
          <w:t>https://doi.org/10.1016/j.patcog.2026.113847</w:t>
        </w:r>
      </w:hyperlink>
    </w:p>
    <w:p w:rsidR="007C6D45" w:rsidRDefault="007C6D45">
      <w:pPr>
        <w:spacing w:after="40"/>
        <w:ind w:left="360" w:hanging="360"/>
        <w:jc w:val="both"/>
      </w:pPr>
    </w:p>
    <w:p w:rsidR="007C6D45" w:rsidRDefault="0045615D">
      <w:pPr>
        <w:spacing w:after="40"/>
        <w:ind w:left="360" w:hanging="360"/>
        <w:jc w:val="both"/>
      </w:pPr>
      <w:r>
        <w:t>[28] Hu, J., Shen, L., Sun, G., 2018. Squeeze-and-excitation networks. In: Proceedings of the IEEE Conference on Computer Vision and Pattern Recognition. CVPR, pp. 7132–7141.</w:t>
      </w:r>
    </w:p>
    <w:p w:rsidR="007C6D45" w:rsidRDefault="0045615D">
      <w:pPr>
        <w:spacing w:after="40"/>
        <w:ind w:left="360" w:hanging="360"/>
        <w:jc w:val="both"/>
      </w:pPr>
      <w:r>
        <w:lastRenderedPageBreak/>
        <w:t>[29] Woo, S., Park, J., Lee, J.-Y., So Kweon, I., 2018. CBAM: Convolutional block attention module. In: Proceedings of the European Conference on Computer Vision. ECCV, pp. 3–19.</w:t>
      </w:r>
    </w:p>
    <w:p w:rsidR="007C6D45" w:rsidRDefault="0045615D">
      <w:pPr>
        <w:spacing w:after="40"/>
        <w:ind w:left="360" w:hanging="360"/>
        <w:jc w:val="both"/>
      </w:pPr>
      <w:r>
        <w:t>[30] Wang, Q., Wu, B., Zhu, P., Li, P., Zuo, W., Hu, Q., 2020. ECA-Net: Efficient channel attention for deep convolutional neural networks. In: Proceedings of the IEEE/CVF Conference on Computer Vision and Pattern Recognition. CVPR, pp. 11534–11542.</w:t>
      </w:r>
    </w:p>
    <w:p w:rsidR="007C6D45" w:rsidRDefault="0045615D">
      <w:pPr>
        <w:spacing w:after="40"/>
        <w:ind w:left="360" w:hanging="360"/>
        <w:jc w:val="both"/>
      </w:pPr>
      <w:r>
        <w:t>[31] Liu, Z., Lin, Y., Cao, Y., Hu, H., Wei, Y., Zhang, Z., Lin, S., Guo, B., 2021. Swin transformer: Hierarchical vision transformer using shifted windows. In: Proceedings of the IEEE/CVF International Conference on Computer Vision. ICCV, pp. 10012–10022.</w:t>
      </w:r>
    </w:p>
    <w:p w:rsidR="007C6D45" w:rsidRDefault="0045615D">
      <w:pPr>
        <w:spacing w:after="40"/>
        <w:ind w:left="360" w:hanging="360"/>
        <w:jc w:val="both"/>
      </w:pPr>
      <w:r>
        <w:t>[32] Yang, J., Li, C., Zhang, P., Dai, X., Xiao, B., Yuan, L., Gao, J., 2021. Focal self-attention for local-global interactions in vision transformers. In: Advances in Neural Information Processing Systems. NeurIPS, vol. 34.</w:t>
      </w:r>
    </w:p>
    <w:p w:rsidR="007C6D45" w:rsidRDefault="0045615D">
      <w:pPr>
        <w:spacing w:after="40"/>
        <w:ind w:left="360" w:hanging="360"/>
        <w:jc w:val="both"/>
      </w:pPr>
      <w:r>
        <w:t>[33] He, K., Zhang, X., Ren, S., Sun, J., 2016. Deep residual learning for image recognition. In: Proceedings of the IEEE Conference on Computer Vision and Pattern Recognition. CVPR, pp. 770–778.</w:t>
      </w:r>
    </w:p>
    <w:p w:rsidR="007C6D45" w:rsidRDefault="0045615D">
      <w:pPr>
        <w:spacing w:after="40"/>
        <w:ind w:left="360" w:hanging="360"/>
        <w:jc w:val="both"/>
      </w:pPr>
      <w:r>
        <w:t>[34] Howard, A., Sandler, M., Chu, G., Chen, L.-C., Chen, B., Tan, M., Wang, W., Zhu, Y., Pang, R., Vasudevan, V., Le, Q.V., Adam, H., 2019. Searching for MobileNetV3. In: Proceedings of the IEEE/CVF International Conference on Computer Vision. ICCV, pp. 1314–1324.</w:t>
      </w:r>
    </w:p>
    <w:p w:rsidR="007C6D45" w:rsidRDefault="0045615D">
      <w:pPr>
        <w:spacing w:after="40"/>
        <w:ind w:left="360" w:hanging="360"/>
        <w:jc w:val="both"/>
      </w:pPr>
      <w:r>
        <w:t>[35] Han, K., Wang, Y., Tian, Q., Guo, J., Xu, C., Xu, C., 2020. GhostNet: More features from cheap operations. In: Proceedings of the IEEE/CVF Conference on Computer Vision and Pattern Recognition. CVPR, pp. 1580–1589.</w:t>
      </w:r>
    </w:p>
    <w:p w:rsidR="007C6D45" w:rsidRDefault="0045615D">
      <w:pPr>
        <w:spacing w:after="40"/>
        <w:ind w:left="360" w:hanging="360"/>
        <w:jc w:val="both"/>
      </w:pPr>
      <w:r>
        <w:t>[36] Ma, N., Zhang, X., Zheng, H.-T., Sun, J., 2018. ShuffleNet V2: Practical guidelines for efficient CNN architecture design. In: Proceedings of the European Conference on Computer Vision. ECCV, pp. 116–131.</w:t>
      </w:r>
    </w:p>
    <w:p w:rsidR="007C6D45" w:rsidRDefault="0045615D">
      <w:pPr>
        <w:spacing w:after="40"/>
        <w:ind w:left="360" w:hanging="360"/>
        <w:jc w:val="both"/>
      </w:pPr>
      <w:r>
        <w:t>[37] Tan, M., Le, Q.V., 2019. EfficientNet: Rethinking model scaling for convolutional neural networks. In: Proceedings of the 36th International Conference on Machine Learning. ICML, pp. 6105–6114.</w:t>
      </w:r>
    </w:p>
    <w:p w:rsidR="007C6D45" w:rsidRDefault="0045615D">
      <w:pPr>
        <w:spacing w:after="40"/>
        <w:ind w:left="360" w:hanging="360"/>
        <w:jc w:val="both"/>
      </w:pPr>
      <w:r>
        <w:t>[38] Qin, D., Leichner, C., Delakis, M., Fornoni, M., Luo, S., Yang, F., Wang, W., Banbury, C., Ye, C., Akin, B., Aggarwal, V., Zhu, T., Moro, D., Howard, A., 2024. MobileNetV4: Universal models for the mobile ecosystem. In: Proceedings of the European Conference on Computer Vision. ECCV.</w:t>
      </w:r>
    </w:p>
    <w:p w:rsidR="007C6D45" w:rsidRDefault="0045615D">
      <w:pPr>
        <w:spacing w:after="40"/>
        <w:ind w:left="360" w:hanging="360"/>
        <w:jc w:val="both"/>
      </w:pPr>
      <w:r>
        <w:t>[39] Hinton, G., Vinyals, O., Dean, J., 2015. Distilling the knowledge in a neural network. arXiv preprint arXiv:1503.02531.</w:t>
      </w:r>
    </w:p>
    <w:p w:rsidR="007C6D45" w:rsidRDefault="0045615D">
      <w:pPr>
        <w:spacing w:after="40"/>
        <w:ind w:left="360" w:hanging="360"/>
        <w:jc w:val="both"/>
      </w:pPr>
      <w:r>
        <w:t>[40] Romero, A., Ballas, N., Kahou, S.E., Chassang, A., Gatta, C., Bengio, Y., 2015. FitNets: Hints for thin deep nets. In: International Conference on Learning Representations. ICLR.</w:t>
      </w:r>
    </w:p>
    <w:p w:rsidR="007C6D45" w:rsidRDefault="0045615D">
      <w:pPr>
        <w:spacing w:after="40"/>
        <w:ind w:left="360" w:hanging="360"/>
        <w:jc w:val="both"/>
      </w:pPr>
      <w:r>
        <w:t>[41] Zagoruyko, S., Komodakis, N., 2017. Paying more attention to attention: Improving the performance of convolutional neural networks via attention transfer. In: International Conference on Learning Representations. ICLR.</w:t>
      </w:r>
    </w:p>
    <w:p w:rsidR="007C6D45" w:rsidRDefault="0045615D">
      <w:pPr>
        <w:spacing w:after="40"/>
        <w:ind w:left="360" w:hanging="360"/>
        <w:jc w:val="both"/>
      </w:pPr>
      <w:r>
        <w:t>[42] Bengio, Y., Louradour, J., Collobert, R., Weston, J., 2009. Curriculum learning. In: Proceedings of the 26th Annual International Conference on Machine Learning. ICML, pp. 41–48.</w:t>
      </w:r>
    </w:p>
    <w:p w:rsidR="007C6D45" w:rsidRDefault="0045615D">
      <w:pPr>
        <w:spacing w:after="40"/>
        <w:ind w:left="360" w:hanging="360"/>
        <w:jc w:val="both"/>
      </w:pPr>
      <w:r>
        <w:t>[43] Ranftl, R., Bochkovskiy, A., Koltun, V., 2021. Vision transformers for dense prediction. In: Proceedings of the IEEE/CVF International Conference on Computer Vision. ICCV, pp. 12179–12188.</w:t>
      </w:r>
    </w:p>
    <w:p w:rsidR="007C6D45" w:rsidRDefault="0045615D">
      <w:pPr>
        <w:spacing w:after="40"/>
        <w:ind w:left="360" w:hanging="360"/>
        <w:jc w:val="both"/>
      </w:pPr>
      <w:r>
        <w:t>[44] Qi, L., Jiang, L., Liu, S., Shen, X., Jia, J., 2019. Amodal instance segmentation with KINS dataset. In: Proceedings of the IEEE/CVF Conference on Computer Vision and Pattern Recognition. CVPR, pp. 3014–3023.</w:t>
      </w:r>
    </w:p>
    <w:p w:rsidR="0076789F" w:rsidRPr="0065113D" w:rsidRDefault="0076789F" w:rsidP="0076789F">
      <w:pPr>
        <w:spacing w:after="80"/>
        <w:ind w:left="360" w:hanging="360"/>
        <w:jc w:val="both"/>
      </w:pPr>
      <w:r>
        <w:rPr>
          <w:bCs/>
        </w:rPr>
        <w:t>[45]</w:t>
      </w:r>
      <w:r>
        <w:rPr>
          <w:b/>
          <w:bCs/>
        </w:rPr>
        <w:t xml:space="preserve"> </w:t>
      </w:r>
      <w:r>
        <w:t xml:space="preserve">Chu, X., Zheng, A., Zhang, X., Sun, J, 2020. "Detection in Crowded Scenes: One Proposal, Multiple Predictions." </w:t>
      </w:r>
      <w:r>
        <w:rPr>
          <w:rStyle w:val="Emphasis"/>
        </w:rPr>
        <w:t>CVPR 2020</w:t>
      </w:r>
      <w:r>
        <w:t>, pp. 12214–12223.</w:t>
      </w:r>
    </w:p>
    <w:p w:rsidR="00F51C29" w:rsidRDefault="004F2750">
      <w:pPr>
        <w:spacing w:after="40"/>
        <w:ind w:left="360" w:hanging="360"/>
        <w:jc w:val="both"/>
      </w:pPr>
      <w:r>
        <w:t>[46] Liu, L., Wang, P., Wu, G., Jiang, J., Yang, H.F., 2026. Toward optimal mixture of experts system for 3D object detection: A game of accuracy, efficiency and adaptivity. IEEE Trans. Pattern Anal. Mach. Intell. 48 (1), 914–931. https://doi.org/10.1109/TPAMI.2025.3611795</w:t>
      </w:r>
    </w:p>
    <w:p w:rsidR="00F51C29" w:rsidRDefault="004F2750">
      <w:pPr>
        <w:spacing w:after="40"/>
        <w:ind w:left="360" w:hanging="360"/>
        <w:jc w:val="both"/>
      </w:pPr>
      <w:r>
        <w:t>[47] Zhu, Y., Tian, Y., Metaxas, D., Dollár, P., 2017. Semantic amodal segmentation. In: Proceedings of the IEEE Conference on Computer Vision and Pattern Recognition. CVPR, pp. 1464–1472.</w:t>
      </w:r>
    </w:p>
    <w:p w:rsidR="007C6D45" w:rsidRDefault="007C6D45" w:rsidP="0076789F">
      <w:pPr>
        <w:spacing w:after="40"/>
        <w:ind w:left="360" w:hanging="360"/>
        <w:jc w:val="both"/>
      </w:pPr>
    </w:p>
    <w:sectPr w:rsidR="007C6D45" w:rsidSect="00036755">
      <w:type w:val="continuous"/>
      <w:pgSz w:w="11906" w:h="16838"/>
      <w:pgMar w:top="1440" w:right="1077" w:bottom="1440" w:left="1077" w:header="0" w:footer="992" w:gutter="0"/>
      <w:cols w:space="432"/>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589" w:rsidRDefault="009E5589">
      <w:r>
        <w:separator/>
      </w:r>
    </w:p>
  </w:endnote>
  <w:endnote w:type="continuationSeparator" w:id="0">
    <w:p w:rsidR="009E5589" w:rsidRDefault="009E5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Geist Fallback">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750" w:rsidRDefault="004F27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750" w:rsidRDefault="004F2750">
    <w:pPr>
      <w:jc w:val="center"/>
    </w:pPr>
    <w:r>
      <w:fldChar w:fldCharType="begin"/>
    </w:r>
    <w:r>
      <w:instrText xml:space="preserve"> PAGE </w:instrText>
    </w:r>
    <w:r>
      <w:fldChar w:fldCharType="separate"/>
    </w:r>
    <w:r w:rsidR="007164E5">
      <w:rPr>
        <w:noProof/>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750" w:rsidRDefault="004F2750">
    <w:pPr>
      <w:jc w:val="center"/>
    </w:pP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589" w:rsidRDefault="009E5589">
      <w:r>
        <w:separator/>
      </w:r>
    </w:p>
  </w:footnote>
  <w:footnote w:type="continuationSeparator" w:id="0">
    <w:p w:rsidR="009E5589" w:rsidRDefault="009E5589">
      <w:r>
        <w:continuationSeparator/>
      </w:r>
    </w:p>
  </w:footnote>
</w:footnotes>
</file>

<file path=word/intelligence2.xml><?xml version="1.0" encoding="utf-8"?>
<int2:intelligence xmlns:int2="http://schemas.microsoft.com/office/intelligence/2020/intelligence">
  <int2:observations>
    <int2:textHash int2:hashCode="m61aDcc16LtSka" int2:id="oEdzilWi">
      <int2:state int2:type="spell" int2:value="Rejected"/>
    </int2:textHash>
    <int2:textHash int2:hashCode="DAu0yAuptxppTr" int2:id="JWHkt9UA">
      <int2:state int2:type="spell" int2:value="Rejected"/>
    </int2:textHash>
    <int2:textHash int2:hashCode="Y+iFykiLdllQS1" int2:id="pKXRGx0U">
      <int2:state int2:type="spell" int2:value="Rejected"/>
    </int2:textHash>
    <int2:textHash int2:hashCode="Z63cJblWG+AbvF" int2:id="niutfh83">
      <int2:state int2:type="spell" int2:value="Rejected"/>
    </int2:textHash>
    <int2:textHash int2:hashCode="UiuJ9QBCwMnhfs" int2:id="r5wlHgn9">
      <int2:state int2:type="spell" int2:value="Rejected"/>
    </int2:textHash>
    <int2:textHash int2:hashCode="unghakqlugpf9z" int2:id="VqgrJ1VL">
      <int2:state int2:type="spell" int2:value="Rejected"/>
    </int2:textHash>
    <int2:textHash int2:hashCode="LlVgEA36Y6IQ0s" int2:id="zHhrEAg2">
      <int2:state int2:type="spell" int2:value="Rejected"/>
    </int2:textHash>
    <int2:textHash int2:hashCode="JswyF75kDoIgES" int2:id="NAiZ0rv6">
      <int2:state int2:type="spell" int2:value="Rejected"/>
    </int2:textHash>
    <int2:textHash int2:hashCode="McR9njnUlQJbhs" int2:id="gKtyoTig">
      <int2:state int2:type="spell" int2:value="Rejected"/>
    </int2:textHash>
    <int2:bookmark int2:bookmarkName="_Int_Nztxmx7e" int2:invalidationBookmarkName="" int2:hashCode="/wkOOydeDU0Gts" int2:id="pzifSTsl">
      <int2:state int2:type="gram" int2:value="Rejected"/>
    </int2:bookmark>
    <int2:bookmark int2:bookmarkName="_Int_qgnQ67jm" int2:invalidationBookmarkName="" int2:hashCode="JJidjuQcFXWSRj" int2:id="RSxcOztg">
      <int2:state int2:type="gram" int2:value="Rejected"/>
    </int2:bookmark>
    <int2:bookmark int2:bookmarkName="_Int_katVzUYM" int2:invalidationBookmarkName="" int2:hashCode="eVUgIswGXDMb11" int2:id="eHO2Oj9X">
      <int2:state int2:type="gram" int2:value="Rejected"/>
    </int2:bookmark>
    <int2:bookmark int2:bookmarkName="_Int_hiOCi8b9" int2:invalidationBookmarkName="" int2:hashCode="zc1cmjpHXyKYte" int2:id="C5HQ9KgW">
      <int2:state int2:type="gram" int2:value="Rejected"/>
    </int2:bookmark>
    <int2:bookmark int2:bookmarkName="_Int_Jifd0iCn" int2:invalidationBookmarkName="" int2:hashCode="Y/ydkTTa4lOxPl" int2:id="tp4rrH02">
      <int2:state int2:type="gram" int2:value="Rejected"/>
    </int2:bookmark>
    <int2:bookmark int2:bookmarkName="_Int_YHs5dGQK" int2:invalidationBookmarkName="" int2:hashCode="2z1AWxBnWZjAMC" int2:id="uhSU9CZL">
      <int2:state int2:type="gram" int2:value="Rejected"/>
    </int2:bookmark>
    <int2:bookmark int2:bookmarkName="_Int_ycazxUwX" int2:invalidationBookmarkName="" int2:hashCode="9PPTI+ZwySW1pD" int2:id="LoA00V82">
      <int2:state int2:type="gram" int2:value="Rejected"/>
    </int2:bookmark>
    <int2:bookmark int2:bookmarkName="_Int_uRGxJQqM" int2:invalidationBookmarkName="" int2:hashCode="zc1cmjpHXyKYte" int2:id="8vxbu0kT">
      <int2:state int2:type="gram" int2:value="Rejected"/>
    </int2:bookmark>
    <int2:bookmark int2:bookmarkName="_Int_WGMFUWJG" int2:invalidationBookmarkName="" int2:hashCode="zc1cmjpHXyKYte" int2:id="UusfmYMb">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D45"/>
    <w:rsid w:val="00036755"/>
    <w:rsid w:val="000A453B"/>
    <w:rsid w:val="000E6DC7"/>
    <w:rsid w:val="00143DC6"/>
    <w:rsid w:val="00177B23"/>
    <w:rsid w:val="00192A94"/>
    <w:rsid w:val="003F01B4"/>
    <w:rsid w:val="00434B75"/>
    <w:rsid w:val="0045615D"/>
    <w:rsid w:val="004D19CE"/>
    <w:rsid w:val="004F2711"/>
    <w:rsid w:val="004F2750"/>
    <w:rsid w:val="00506A9F"/>
    <w:rsid w:val="00522B45"/>
    <w:rsid w:val="00596861"/>
    <w:rsid w:val="006B1F76"/>
    <w:rsid w:val="007164E5"/>
    <w:rsid w:val="00721EAB"/>
    <w:rsid w:val="00722E31"/>
    <w:rsid w:val="007542A0"/>
    <w:rsid w:val="0076789F"/>
    <w:rsid w:val="0077883C"/>
    <w:rsid w:val="007C6D45"/>
    <w:rsid w:val="0089469E"/>
    <w:rsid w:val="00944D62"/>
    <w:rsid w:val="0094621B"/>
    <w:rsid w:val="009E069F"/>
    <w:rsid w:val="009E5589"/>
    <w:rsid w:val="00A04399"/>
    <w:rsid w:val="00A21714"/>
    <w:rsid w:val="00A5529D"/>
    <w:rsid w:val="00A85091"/>
    <w:rsid w:val="00AE55BA"/>
    <w:rsid w:val="00B46CD5"/>
    <w:rsid w:val="00B878BB"/>
    <w:rsid w:val="00B943A8"/>
    <w:rsid w:val="00BA4198"/>
    <w:rsid w:val="00BA652D"/>
    <w:rsid w:val="00BB6D5C"/>
    <w:rsid w:val="00C27B35"/>
    <w:rsid w:val="00C41923"/>
    <w:rsid w:val="00C448BB"/>
    <w:rsid w:val="00C44F8D"/>
    <w:rsid w:val="00CC4387"/>
    <w:rsid w:val="00D011E4"/>
    <w:rsid w:val="00D16FE5"/>
    <w:rsid w:val="00DF3439"/>
    <w:rsid w:val="00E62FED"/>
    <w:rsid w:val="00EE77DF"/>
    <w:rsid w:val="00F14576"/>
    <w:rsid w:val="00F44C98"/>
    <w:rsid w:val="00F51C29"/>
    <w:rsid w:val="00F52AC6"/>
    <w:rsid w:val="00F566BC"/>
    <w:rsid w:val="00F749F8"/>
    <w:rsid w:val="00F93F87"/>
    <w:rsid w:val="0269A429"/>
    <w:rsid w:val="027C1F62"/>
    <w:rsid w:val="04B8E50F"/>
    <w:rsid w:val="0A57042F"/>
    <w:rsid w:val="10E758E0"/>
    <w:rsid w:val="13B91BB5"/>
    <w:rsid w:val="1539223C"/>
    <w:rsid w:val="1890FDC1"/>
    <w:rsid w:val="199560EF"/>
    <w:rsid w:val="1A43476C"/>
    <w:rsid w:val="22665E81"/>
    <w:rsid w:val="229C686F"/>
    <w:rsid w:val="22B7279A"/>
    <w:rsid w:val="23215823"/>
    <w:rsid w:val="2950E256"/>
    <w:rsid w:val="29AB1FEF"/>
    <w:rsid w:val="2EC21EE7"/>
    <w:rsid w:val="30249EC8"/>
    <w:rsid w:val="31FD86DD"/>
    <w:rsid w:val="33292219"/>
    <w:rsid w:val="36A8AA08"/>
    <w:rsid w:val="37F56BBF"/>
    <w:rsid w:val="3B5D34EB"/>
    <w:rsid w:val="3E7690F2"/>
    <w:rsid w:val="3F934A9A"/>
    <w:rsid w:val="41D2EDE8"/>
    <w:rsid w:val="4441D500"/>
    <w:rsid w:val="46AC93BB"/>
    <w:rsid w:val="46C45420"/>
    <w:rsid w:val="5DC437D3"/>
    <w:rsid w:val="623C58AA"/>
    <w:rsid w:val="6AF46821"/>
    <w:rsid w:val="70B926AC"/>
    <w:rsid w:val="734901C2"/>
    <w:rsid w:val="759AB05A"/>
    <w:rsid w:val="75E6C926"/>
    <w:rsid w:val="7CB739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docId w15:val="{8F6F6944-BD2E-414A-BABF-9060719D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NormalWeb">
    <w:name w:val="Normal (Web)"/>
    <w:basedOn w:val="Normal"/>
    <w:uiPriority w:val="99"/>
    <w:unhideWhenUsed/>
    <w:rsid w:val="00BB6D5C"/>
    <w:pPr>
      <w:suppressAutoHyphens w:val="0"/>
      <w:spacing w:before="100" w:beforeAutospacing="1" w:after="100" w:afterAutospacing="1"/>
    </w:pPr>
    <w:rPr>
      <w:sz w:val="24"/>
      <w:szCs w:val="24"/>
      <w:lang w:val="en-IN" w:eastAsia="en-IN" w:bidi="ar-SA"/>
    </w:rPr>
  </w:style>
  <w:style w:type="character" w:styleId="Emphasis">
    <w:name w:val="Emphasis"/>
    <w:basedOn w:val="DefaultParagraphFont"/>
    <w:uiPriority w:val="20"/>
    <w:qFormat/>
    <w:rsid w:val="00767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4745">
      <w:bodyDiv w:val="1"/>
      <w:marLeft w:val="0"/>
      <w:marRight w:val="0"/>
      <w:marTop w:val="0"/>
      <w:marBottom w:val="0"/>
      <w:divBdr>
        <w:top w:val="none" w:sz="0" w:space="0" w:color="auto"/>
        <w:left w:val="none" w:sz="0" w:space="0" w:color="auto"/>
        <w:bottom w:val="none" w:sz="0" w:space="0" w:color="auto"/>
        <w:right w:val="none" w:sz="0" w:space="0" w:color="auto"/>
      </w:divBdr>
    </w:div>
    <w:div w:id="153569609">
      <w:bodyDiv w:val="1"/>
      <w:marLeft w:val="0"/>
      <w:marRight w:val="0"/>
      <w:marTop w:val="0"/>
      <w:marBottom w:val="0"/>
      <w:divBdr>
        <w:top w:val="none" w:sz="0" w:space="0" w:color="auto"/>
        <w:left w:val="none" w:sz="0" w:space="0" w:color="auto"/>
        <w:bottom w:val="none" w:sz="0" w:space="0" w:color="auto"/>
        <w:right w:val="none" w:sz="0" w:space="0" w:color="auto"/>
      </w:divBdr>
    </w:div>
    <w:div w:id="318775447">
      <w:bodyDiv w:val="1"/>
      <w:marLeft w:val="0"/>
      <w:marRight w:val="0"/>
      <w:marTop w:val="0"/>
      <w:marBottom w:val="0"/>
      <w:divBdr>
        <w:top w:val="none" w:sz="0" w:space="0" w:color="auto"/>
        <w:left w:val="none" w:sz="0" w:space="0" w:color="auto"/>
        <w:bottom w:val="none" w:sz="0" w:space="0" w:color="auto"/>
        <w:right w:val="none" w:sz="0" w:space="0" w:color="auto"/>
      </w:divBdr>
    </w:div>
    <w:div w:id="1200893468">
      <w:bodyDiv w:val="1"/>
      <w:marLeft w:val="0"/>
      <w:marRight w:val="0"/>
      <w:marTop w:val="0"/>
      <w:marBottom w:val="0"/>
      <w:divBdr>
        <w:top w:val="none" w:sz="0" w:space="0" w:color="auto"/>
        <w:left w:val="none" w:sz="0" w:space="0" w:color="auto"/>
        <w:bottom w:val="none" w:sz="0" w:space="0" w:color="auto"/>
        <w:right w:val="none" w:sz="0" w:space="0" w:color="auto"/>
      </w:divBdr>
    </w:div>
    <w:div w:id="1317490070">
      <w:bodyDiv w:val="1"/>
      <w:marLeft w:val="0"/>
      <w:marRight w:val="0"/>
      <w:marTop w:val="0"/>
      <w:marBottom w:val="0"/>
      <w:divBdr>
        <w:top w:val="none" w:sz="0" w:space="0" w:color="auto"/>
        <w:left w:val="none" w:sz="0" w:space="0" w:color="auto"/>
        <w:bottom w:val="none" w:sz="0" w:space="0" w:color="auto"/>
        <w:right w:val="none" w:sz="0" w:space="0" w:color="auto"/>
      </w:divBdr>
    </w:div>
    <w:div w:id="1324629273">
      <w:bodyDiv w:val="1"/>
      <w:marLeft w:val="0"/>
      <w:marRight w:val="0"/>
      <w:marTop w:val="0"/>
      <w:marBottom w:val="0"/>
      <w:divBdr>
        <w:top w:val="none" w:sz="0" w:space="0" w:color="auto"/>
        <w:left w:val="none" w:sz="0" w:space="0" w:color="auto"/>
        <w:bottom w:val="none" w:sz="0" w:space="0" w:color="auto"/>
        <w:right w:val="none" w:sz="0" w:space="0" w:color="auto"/>
      </w:divBdr>
    </w:div>
    <w:div w:id="1859541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803160b802104a08" Type="http://schemas.microsoft.com/office/2020/10/relationships/intelligence" Target="intelligence2.xml"/><Relationship Id="rId5" Type="http://schemas.openxmlformats.org/officeDocument/2006/relationships/endnotes" Target="endnotes.xml"/><Relationship Id="rId10" Type="http://schemas.openxmlformats.org/officeDocument/2006/relationships/hyperlink" Target="https://doi.org/10.1016/j.patcog.2026.113847" TargetMode="Externa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7082</Words>
  <Characters>40373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Admin</cp:lastModifiedBy>
  <cp:revision>2</cp:revision>
  <dcterms:created xsi:type="dcterms:W3CDTF">2026-09-29T10:54:00Z</dcterms:created>
  <dcterms:modified xsi:type="dcterms:W3CDTF">2026-09-29T10:54:00Z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74c793e1-0047-4bee-ab15-d0badf4954b9</vt:lpwstr>
  </property>
</Properties>
</file>