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b/>
          <w:color w:val="0F2043"/>
          <w:sz w:val="44"/>
        </w:rPr>
        <w:t>ADVANCED DATA ANALYSIS &amp; VISUALIZATION IN LOGISTICS</w:t>
      </w:r>
    </w:p>
    <w:p>
      <w:pPr>
        <w:spacing w:after="320"/>
      </w:pPr>
      <w:r>
        <w:rPr>
          <w:i/>
          <w:color w:val="475569"/>
          <w:sz w:val="24"/>
        </w:rPr>
        <w:t>Operational Efficiency, Freight Cost Drivers, Bottleneck Remediation &amp; Predictive Carrier Scorecard</w:t>
      </w:r>
    </w:p>
    <w:tbl>
      <w:tblPr>
        <w:tblW w:type="auto" w:w="0"/>
        <w:jc w:val="center"/>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Pr>
          <w:p>
            <w:r>
              <w:rPr>
                <w:color w:val="475569"/>
                <w:sz w:val="17"/>
              </w:rPr>
              <w:t>Author / Analyst: Logistics Intelligence Specialist</w:t>
            </w:r>
          </w:p>
        </w:tc>
        <w:tc>
          <w:tcPr>
            <w:tcW w:type="dxa" w:w="4680"/>
            <w:shd w:fill="F8FAFC"/>
            <w:tcMar>
              <w:top w:w="60" w:type="dxa"/>
              <w:bottom w:w="60" w:type="dxa"/>
              <w:left w:w="100" w:type="dxa"/>
              <w:right w:w="100" w:type="dxa"/>
            </w:tcMar>
          </w:tcPr>
          <w:p>
            <w:r>
              <w:rPr>
                <w:color w:val="475569"/>
                <w:sz w:val="17"/>
              </w:rPr>
              <w:t>Course / Module: Week 3 - Advanced Analytics</w:t>
            </w:r>
          </w:p>
        </w:tc>
      </w:tr>
      <w:tr>
        <w:tc>
          <w:tcPr>
            <w:tcW w:type="dxa" w:w="4680"/>
            <w:shd w:fill="F8FAFC"/>
            <w:tcMar>
              <w:top w:w="60" w:type="dxa"/>
              <w:bottom w:w="60" w:type="dxa"/>
              <w:left w:w="100" w:type="dxa"/>
              <w:right w:w="100" w:type="dxa"/>
            </w:tcMar>
          </w:tcPr>
          <w:p>
            <w:r>
              <w:rPr>
                <w:color w:val="475569"/>
                <w:sz w:val="17"/>
              </w:rPr>
              <w:t>Dataset Scope: 5,000 Multi-Modal Freight Records</w:t>
            </w:r>
          </w:p>
        </w:tc>
        <w:tc>
          <w:tcPr>
            <w:tcW w:type="dxa" w:w="4680"/>
            <w:shd w:fill="F8FAFC"/>
            <w:tcMar>
              <w:top w:w="60" w:type="dxa"/>
              <w:bottom w:w="60" w:type="dxa"/>
              <w:left w:w="100" w:type="dxa"/>
              <w:right w:w="100" w:type="dxa"/>
            </w:tcMar>
          </w:tcPr>
          <w:p>
            <w:r>
              <w:rPr>
                <w:color w:val="475569"/>
                <w:sz w:val="17"/>
              </w:rPr>
              <w:t>Publication Date: October 05, 2026</w:t>
            </w:r>
          </w:p>
        </w:tc>
      </w:tr>
    </w:tbl>
    <w:p>
      <w:pPr>
        <w:spacing w:after="200"/>
      </w:pPr>
    </w:p>
    <w:p>
      <w:pPr>
        <w:pStyle w:val="Heading1"/>
        <w:keepNext/>
        <w:spacing w:before="240" w:after="80"/>
      </w:pPr>
      <w:r>
        <w:rPr>
          <w:b/>
          <w:color w:val="0F2043"/>
          <w:sz w:val="32"/>
        </w:rPr>
        <w:t>1. Executive Summary</w:t>
      </w:r>
    </w:p>
    <w:p>
      <w:pPr>
        <w:spacing w:line="276" w:lineRule="auto" w:after="120"/>
      </w:pPr>
      <w:r>
        <w:t>Modern supply chain operations rely heavily on data-driven intelligence to maintain resilience, minimize unit transportation costs, and enforce stringent customer Service Level Agreements (SLAs). This study presents an exhaustive empirical analysis of a 5,000-shipment multimodal freight network operating across six primary North American distribution hubs (Chicago, Los Angeles, Dallas, Atlanta, New York, and Seattle). Using advanced exploratory data analysis (EDA), rigorous parametric and non-parametric statistical modeling, and publication-grade data visualizations, this investigation uncovers critical cost drivers, route inefficiencies, carrier performance variances, and seasonal supply chain vulnerabilities.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before="40" w:after="80"/>
            </w:pPr>
            <w:r>
              <w:rPr>
                <w:b/>
                <w:color w:val="0F172A"/>
                <w:sz w:val="21"/>
              </w:rPr>
              <w:t>📌 Key Strategic Findings at a Glance</w:t>
              <w:br/>
            </w:r>
            <w:r>
              <w:rPr>
                <w:color w:val="334155"/>
                <w:sz w:val="19"/>
              </w:rPr>
              <w:t>• Network Reliability Gap: Overall On-Time In-Full (OTIF) fulfillment averaged 85.3%, with notable vendor divergence ranging from 92.8% (Carrier Alpha) down to 76.1% (Nexus Freight).</w:t>
              <w:br/>
              <w:t>• Economies of Scale: Unit transportation cost per ton-kilometer drops exponentially from $0.28/ton-km in Road LTL to $0.065/ton-km in Rail Freight, highlighting a $1.24M modal shift consolidation opportunity.</w:t>
              <w:br/>
              <w:t>• Primary Bottleneck Identified: Urban traffic congestion (35.2%) and extreme weather disruption (25.1%) account for &gt;60% of all delayed shipments, predominantly impacting cross-country corridors (LA-Atlanta and Seattle-New York).</w:t>
              <w:br/>
              <w:t>• Peak Season Fragility: Fourth-quarter (Q4) holiday surges produce a 9.4 percentage point decline in OTIF fulfillment while freight expenses escalate by 16.2% due to spot rate premiums and carrier capacity crunches.</w:t>
            </w:r>
          </w:p>
        </w:tc>
      </w:tr>
    </w:tbl>
    <w:p>
      <w:pPr>
        <w:spacing w:after="120"/>
      </w:pPr>
    </w:p>
    <w:p>
      <w:pPr>
        <w:pStyle w:val="Heading1"/>
        <w:keepNext/>
        <w:spacing w:before="240" w:after="80"/>
      </w:pPr>
      <w:r>
        <w:rPr>
          <w:b/>
          <w:color w:val="0F2043"/>
          <w:sz w:val="32"/>
        </w:rPr>
        <w:t>2. Problem Statement &amp; Theoretical Logistics Framework</w:t>
      </w:r>
    </w:p>
    <w:p>
      <w:pPr>
        <w:spacing w:line="276" w:lineRule="auto" w:after="80"/>
      </w:pPr>
      <w:r>
        <w:t>Global logistics networks face mounting pressures from escalating fuel surcharges, driver shortages, fluctuating consumer demand, and strict retail vendor compliance programs (such as Walmart's OTIF requirements and Amazon's Carrier Performance Standards). Logistics managers must continuously balance two competing strategic imperatives:</w:t>
      </w:r>
    </w:p>
    <w:p>
      <w:pPr>
        <w:pStyle w:val="ListBullet"/>
      </w:pPr>
      <w:r>
        <w:t>1. Total Landed Cost Minimization: Optimizing freight modes, load densities, lane consolidations, and fuel surcharge exposure.</w:t>
      </w:r>
    </w:p>
    <w:p>
      <w:pPr>
        <w:pStyle w:val="ListBullet"/>
      </w:pPr>
      <w:r>
        <w:t>2. Customer SLA Maximization: Minimizing transit time variance, standard deviation of lead times, and downstream inventory stockouts.</w:t>
      </w:r>
    </w:p>
    <w:p>
      <w:pPr>
        <w:spacing w:line="276" w:lineRule="auto" w:after="160"/>
      </w:pPr>
      <w:r>
        <w:t>To address these challenges, this study leverages Python's analytical stack (Pandas, NumPy, Matplotlib, Seaborn) to diagnose operational friction and establish actionable frameworks for carrier re-allocation, dynamic lead-time quoting, and modal re-engineering.</w:t>
      </w:r>
    </w:p>
    <w:p>
      <w:pPr>
        <w:pStyle w:val="Heading1"/>
        <w:keepNext/>
        <w:spacing w:before="240" w:after="80"/>
      </w:pPr>
      <w:r>
        <w:rPr>
          <w:b/>
          <w:color w:val="0F2043"/>
          <w:sz w:val="32"/>
        </w:rPr>
        <w:t>3. Data Architecture &amp; Simulation Methodology</w:t>
      </w:r>
    </w:p>
    <w:p>
      <w:pPr>
        <w:spacing w:line="276" w:lineRule="auto" w:after="120"/>
      </w:pPr>
      <w:r>
        <w:t>A rigorous, synthetic enterprise dataset was engineered to mirror the complexity, non-linearities, and stochastic disturbances typical of large-scale third-party logistics (3PL) operations. The dataset comprises 5,000 distinct freight records spanning a complete 12-month operating calendar.</w:t>
      </w:r>
    </w:p>
    <w:p>
      <w:pPr>
        <w:pStyle w:val="Heading2"/>
        <w:keepNext/>
        <w:spacing w:before="240" w:after="80"/>
      </w:pPr>
      <w:r>
        <w:rPr>
          <w:b/>
          <w:color w:val="1E4078"/>
          <w:sz w:val="26"/>
        </w:rPr>
        <w:t>3.1 Data Schema &amp; Key Variables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E3A8A"/>
            <w:tcMar>
              <w:top w:w="100" w:type="dxa"/>
              <w:bottom w:w="100" w:type="dxa"/>
              <w:left w:w="120" w:type="dxa"/>
              <w:right w:w="120" w:type="dxa"/>
            </w:tcMar>
            <w:vAlign w:val="center"/>
          </w:tcPr>
          <w:p>
            <w:pPr>
              <w:jc w:val="center"/>
            </w:pPr>
            <w:r>
              <w:rPr>
                <w:b/>
                <w:color w:val="FFFFFF"/>
                <w:sz w:val="18"/>
              </w:rPr>
              <w:t>Variable Name</w:t>
            </w:r>
          </w:p>
        </w:tc>
        <w:tc>
          <w:tcPr>
            <w:tcW w:type="dxa" w:w="1296"/>
            <w:shd w:fill="1E3A8A"/>
            <w:tcMar>
              <w:top w:w="100" w:type="dxa"/>
              <w:bottom w:w="100" w:type="dxa"/>
              <w:left w:w="120" w:type="dxa"/>
              <w:right w:w="120" w:type="dxa"/>
            </w:tcMar>
            <w:vAlign w:val="center"/>
          </w:tcPr>
          <w:p>
            <w:pPr>
              <w:jc w:val="center"/>
            </w:pPr>
            <w:r>
              <w:rPr>
                <w:b/>
                <w:color w:val="FFFFFF"/>
                <w:sz w:val="18"/>
              </w:rPr>
              <w:t>Data Type</w:t>
            </w:r>
          </w:p>
        </w:tc>
        <w:tc>
          <w:tcPr>
            <w:tcW w:type="dxa" w:w="4464"/>
            <w:shd w:fill="1E3A8A"/>
            <w:tcMar>
              <w:top w:w="100" w:type="dxa"/>
              <w:bottom w:w="100" w:type="dxa"/>
              <w:left w:w="120" w:type="dxa"/>
              <w:right w:w="120" w:type="dxa"/>
            </w:tcMar>
            <w:vAlign w:val="center"/>
          </w:tcPr>
          <w:p>
            <w:pPr>
              <w:jc w:val="center"/>
            </w:pPr>
            <w:r>
              <w:rPr>
                <w:b/>
                <w:color w:val="FFFFFF"/>
                <w:sz w:val="18"/>
              </w:rPr>
              <w:t>Logistics Definition &amp; Business Role</w:t>
            </w:r>
          </w:p>
        </w:tc>
        <w:tc>
          <w:tcPr>
            <w:tcW w:type="dxa" w:w="1296"/>
            <w:shd w:fill="1E3A8A"/>
            <w:tcMar>
              <w:top w:w="100" w:type="dxa"/>
              <w:bottom w:w="100" w:type="dxa"/>
              <w:left w:w="120" w:type="dxa"/>
              <w:right w:w="120" w:type="dxa"/>
            </w:tcMar>
            <w:vAlign w:val="center"/>
          </w:tcPr>
          <w:p>
            <w:pPr>
              <w:jc w:val="center"/>
            </w:pPr>
            <w:r>
              <w:rPr>
                <w:b/>
                <w:color w:val="FFFFFF"/>
                <w:sz w:val="18"/>
              </w:rPr>
              <w:t>Unit / Format</w:t>
            </w:r>
          </w:p>
        </w:tc>
      </w:tr>
      <w:tr>
        <w:tc>
          <w:tcPr>
            <w:tcW w:type="dxa" w:w="2304"/>
            <w:shd w:fill="FFFFFF"/>
            <w:tcMar>
              <w:top w:w="80" w:type="dxa"/>
              <w:bottom w:w="80" w:type="dxa"/>
              <w:left w:w="120" w:type="dxa"/>
              <w:right w:w="120" w:type="dxa"/>
            </w:tcMar>
            <w:vAlign w:val="center"/>
          </w:tcPr>
          <w:p>
            <w:pPr>
              <w:spacing w:before="40" w:after="40"/>
              <w:jc w:val="left"/>
            </w:pPr>
            <w:r>
              <w:rPr>
                <w:color w:val="1E293B"/>
                <w:sz w:val="17"/>
              </w:rPr>
              <w:t>Shipment_ID</w:t>
            </w:r>
          </w:p>
        </w:tc>
        <w:tc>
          <w:tcPr>
            <w:tcW w:type="dxa" w:w="1296"/>
            <w:shd w:fill="FFFFFF"/>
            <w:tcMar>
              <w:top w:w="80" w:type="dxa"/>
              <w:bottom w:w="80" w:type="dxa"/>
              <w:left w:w="120" w:type="dxa"/>
              <w:right w:w="120" w:type="dxa"/>
            </w:tcMar>
            <w:vAlign w:val="center"/>
          </w:tcPr>
          <w:p>
            <w:pPr>
              <w:spacing w:before="40" w:after="40"/>
              <w:jc w:val="right"/>
            </w:pPr>
            <w:r>
              <w:rPr>
                <w:color w:val="1E293B"/>
                <w:sz w:val="17"/>
              </w:rPr>
              <w:t>String</w:t>
            </w:r>
          </w:p>
        </w:tc>
        <w:tc>
          <w:tcPr>
            <w:tcW w:type="dxa" w:w="4464"/>
            <w:shd w:fill="FFFFFF"/>
            <w:tcMar>
              <w:top w:w="80" w:type="dxa"/>
              <w:bottom w:w="80" w:type="dxa"/>
              <w:left w:w="120" w:type="dxa"/>
              <w:right w:w="120" w:type="dxa"/>
            </w:tcMar>
            <w:vAlign w:val="center"/>
          </w:tcPr>
          <w:p>
            <w:pPr>
              <w:spacing w:before="40" w:after="40"/>
              <w:jc w:val="right"/>
            </w:pPr>
            <w:r>
              <w:rPr>
                <w:color w:val="1E293B"/>
                <w:sz w:val="17"/>
              </w:rPr>
              <w:t>Unique enterprise tracking identifier for audit trail</w:t>
            </w:r>
          </w:p>
        </w:tc>
        <w:tc>
          <w:tcPr>
            <w:tcW w:type="dxa" w:w="1296"/>
            <w:shd w:fill="FFFFFF"/>
            <w:tcMar>
              <w:top w:w="80" w:type="dxa"/>
              <w:bottom w:w="80" w:type="dxa"/>
              <w:left w:w="120" w:type="dxa"/>
              <w:right w:w="120" w:type="dxa"/>
            </w:tcMar>
            <w:vAlign w:val="center"/>
          </w:tcPr>
          <w:p>
            <w:pPr>
              <w:spacing w:before="40" w:after="40"/>
              <w:jc w:val="right"/>
            </w:pPr>
            <w:r>
              <w:rPr>
                <w:color w:val="1E293B"/>
                <w:sz w:val="17"/>
              </w:rPr>
              <w:t>SHP-XXXXX</w:t>
            </w:r>
          </w:p>
        </w:tc>
      </w:tr>
      <w:tr>
        <w:tc>
          <w:tcPr>
            <w:tcW w:type="dxa" w:w="2304"/>
            <w:shd w:fill="F8FAFC"/>
            <w:tcMar>
              <w:top w:w="80" w:type="dxa"/>
              <w:bottom w:w="80" w:type="dxa"/>
              <w:left w:w="120" w:type="dxa"/>
              <w:right w:w="120" w:type="dxa"/>
            </w:tcMar>
            <w:vAlign w:val="center"/>
          </w:tcPr>
          <w:p>
            <w:pPr>
              <w:spacing w:before="40" w:after="40"/>
              <w:jc w:val="left"/>
            </w:pPr>
            <w:r>
              <w:rPr>
                <w:color w:val="1E293B"/>
                <w:sz w:val="17"/>
              </w:rPr>
              <w:t>Order_Date / Ship_Date</w:t>
            </w:r>
          </w:p>
        </w:tc>
        <w:tc>
          <w:tcPr>
            <w:tcW w:type="dxa" w:w="1296"/>
            <w:shd w:fill="F8FAFC"/>
            <w:tcMar>
              <w:top w:w="80" w:type="dxa"/>
              <w:bottom w:w="80" w:type="dxa"/>
              <w:left w:w="120" w:type="dxa"/>
              <w:right w:w="120" w:type="dxa"/>
            </w:tcMar>
            <w:vAlign w:val="center"/>
          </w:tcPr>
          <w:p>
            <w:pPr>
              <w:spacing w:before="40" w:after="40"/>
              <w:jc w:val="right"/>
            </w:pPr>
            <w:r>
              <w:rPr>
                <w:color w:val="1E293B"/>
                <w:sz w:val="17"/>
              </w:rPr>
              <w:t>Date</w:t>
            </w:r>
          </w:p>
        </w:tc>
        <w:tc>
          <w:tcPr>
            <w:tcW w:type="dxa" w:w="4464"/>
            <w:shd w:fill="F8FAFC"/>
            <w:tcMar>
              <w:top w:w="80" w:type="dxa"/>
              <w:bottom w:w="80" w:type="dxa"/>
              <w:left w:w="120" w:type="dxa"/>
              <w:right w:w="120" w:type="dxa"/>
            </w:tcMar>
            <w:vAlign w:val="center"/>
          </w:tcPr>
          <w:p>
            <w:pPr>
              <w:spacing w:before="40" w:after="40"/>
              <w:jc w:val="right"/>
            </w:pPr>
            <w:r>
              <w:rPr>
                <w:color w:val="1E293B"/>
                <w:sz w:val="17"/>
              </w:rPr>
              <w:t>Booking and warehouse dispatch timestamps</w:t>
            </w:r>
          </w:p>
        </w:tc>
        <w:tc>
          <w:tcPr>
            <w:tcW w:type="dxa" w:w="1296"/>
            <w:shd w:fill="F8FAFC"/>
            <w:tcMar>
              <w:top w:w="80" w:type="dxa"/>
              <w:bottom w:w="80" w:type="dxa"/>
              <w:left w:w="120" w:type="dxa"/>
              <w:right w:w="120" w:type="dxa"/>
            </w:tcMar>
            <w:vAlign w:val="center"/>
          </w:tcPr>
          <w:p>
            <w:pPr>
              <w:spacing w:before="40" w:after="40"/>
              <w:jc w:val="right"/>
            </w:pPr>
            <w:r>
              <w:rPr>
                <w:color w:val="1E293B"/>
                <w:sz w:val="17"/>
              </w:rPr>
              <w:t>YYYY-MM-DD</w:t>
            </w:r>
          </w:p>
        </w:tc>
      </w:tr>
      <w:tr>
        <w:tc>
          <w:tcPr>
            <w:tcW w:type="dxa" w:w="2304"/>
            <w:shd w:fill="FFFFFF"/>
            <w:tcMar>
              <w:top w:w="80" w:type="dxa"/>
              <w:bottom w:w="80" w:type="dxa"/>
              <w:left w:w="120" w:type="dxa"/>
              <w:right w:w="120" w:type="dxa"/>
            </w:tcMar>
            <w:vAlign w:val="center"/>
          </w:tcPr>
          <w:p>
            <w:pPr>
              <w:spacing w:before="40" w:after="40"/>
              <w:jc w:val="left"/>
            </w:pPr>
            <w:r>
              <w:rPr>
                <w:color w:val="1E293B"/>
                <w:sz w:val="17"/>
              </w:rPr>
              <w:t>Origin / Destination</w:t>
            </w:r>
          </w:p>
        </w:tc>
        <w:tc>
          <w:tcPr>
            <w:tcW w:type="dxa" w:w="1296"/>
            <w:shd w:fill="FFFFFF"/>
            <w:tcMar>
              <w:top w:w="80" w:type="dxa"/>
              <w:bottom w:w="80" w:type="dxa"/>
              <w:left w:w="120" w:type="dxa"/>
              <w:right w:w="120" w:type="dxa"/>
            </w:tcMar>
            <w:vAlign w:val="center"/>
          </w:tcPr>
          <w:p>
            <w:pPr>
              <w:spacing w:before="40" w:after="40"/>
              <w:jc w:val="right"/>
            </w:pPr>
            <w:r>
              <w:rPr>
                <w:color w:val="1E293B"/>
                <w:sz w:val="17"/>
              </w:rPr>
              <w:t>Categorical</w:t>
            </w:r>
          </w:p>
        </w:tc>
        <w:tc>
          <w:tcPr>
            <w:tcW w:type="dxa" w:w="4464"/>
            <w:shd w:fill="FFFFFF"/>
            <w:tcMar>
              <w:top w:w="80" w:type="dxa"/>
              <w:bottom w:w="80" w:type="dxa"/>
              <w:left w:w="120" w:type="dxa"/>
              <w:right w:w="120" w:type="dxa"/>
            </w:tcMar>
            <w:vAlign w:val="center"/>
          </w:tcPr>
          <w:p>
            <w:pPr>
              <w:spacing w:before="40" w:after="40"/>
              <w:jc w:val="right"/>
            </w:pPr>
            <w:r>
              <w:rPr>
                <w:color w:val="1E293B"/>
                <w:sz w:val="17"/>
              </w:rPr>
              <w:t>Origin distribution center and destination freight terminal</w:t>
            </w:r>
          </w:p>
        </w:tc>
        <w:tc>
          <w:tcPr>
            <w:tcW w:type="dxa" w:w="1296"/>
            <w:shd w:fill="FFFFFF"/>
            <w:tcMar>
              <w:top w:w="80" w:type="dxa"/>
              <w:bottom w:w="80" w:type="dxa"/>
              <w:left w:w="120" w:type="dxa"/>
              <w:right w:w="120" w:type="dxa"/>
            </w:tcMar>
            <w:vAlign w:val="center"/>
          </w:tcPr>
          <w:p>
            <w:pPr>
              <w:spacing w:before="40" w:after="40"/>
              <w:jc w:val="right"/>
            </w:pPr>
            <w:r>
              <w:rPr>
                <w:color w:val="1E293B"/>
                <w:sz w:val="17"/>
              </w:rPr>
              <w:t>Hub City, State</w:t>
            </w:r>
          </w:p>
        </w:tc>
      </w:tr>
      <w:tr>
        <w:tc>
          <w:tcPr>
            <w:tcW w:type="dxa" w:w="2304"/>
            <w:shd w:fill="F8FAFC"/>
            <w:tcMar>
              <w:top w:w="80" w:type="dxa"/>
              <w:bottom w:w="80" w:type="dxa"/>
              <w:left w:w="120" w:type="dxa"/>
              <w:right w:w="120" w:type="dxa"/>
            </w:tcMar>
            <w:vAlign w:val="center"/>
          </w:tcPr>
          <w:p>
            <w:pPr>
              <w:spacing w:before="40" w:after="40"/>
              <w:jc w:val="left"/>
            </w:pPr>
            <w:r>
              <w:rPr>
                <w:color w:val="1E293B"/>
                <w:sz w:val="17"/>
              </w:rPr>
              <w:t>Distance_KM</w:t>
            </w:r>
          </w:p>
        </w:tc>
        <w:tc>
          <w:tcPr>
            <w:tcW w:type="dxa" w:w="1296"/>
            <w:shd w:fill="F8FAFC"/>
            <w:tcMar>
              <w:top w:w="80" w:type="dxa"/>
              <w:bottom w:w="80" w:type="dxa"/>
              <w:left w:w="120" w:type="dxa"/>
              <w:right w:w="120" w:type="dxa"/>
            </w:tcMar>
            <w:vAlign w:val="center"/>
          </w:tcPr>
          <w:p>
            <w:pPr>
              <w:spacing w:before="40" w:after="40"/>
              <w:jc w:val="right"/>
            </w:pPr>
            <w:r>
              <w:rPr>
                <w:color w:val="1E293B"/>
                <w:sz w:val="17"/>
              </w:rPr>
              <w:t>Float</w:t>
            </w:r>
          </w:p>
        </w:tc>
        <w:tc>
          <w:tcPr>
            <w:tcW w:type="dxa" w:w="4464"/>
            <w:shd w:fill="F8FAFC"/>
            <w:tcMar>
              <w:top w:w="80" w:type="dxa"/>
              <w:bottom w:w="80" w:type="dxa"/>
              <w:left w:w="120" w:type="dxa"/>
              <w:right w:w="120" w:type="dxa"/>
            </w:tcMar>
            <w:vAlign w:val="center"/>
          </w:tcPr>
          <w:p>
            <w:pPr>
              <w:spacing w:before="40" w:after="40"/>
              <w:jc w:val="right"/>
            </w:pPr>
            <w:r>
              <w:rPr>
                <w:color w:val="1E293B"/>
                <w:sz w:val="17"/>
              </w:rPr>
              <w:t>Physical hub-to-hub transit distance over road/rail networks</w:t>
            </w:r>
          </w:p>
        </w:tc>
        <w:tc>
          <w:tcPr>
            <w:tcW w:type="dxa" w:w="1296"/>
            <w:shd w:fill="F8FAFC"/>
            <w:tcMar>
              <w:top w:w="80" w:type="dxa"/>
              <w:bottom w:w="80" w:type="dxa"/>
              <w:left w:w="120" w:type="dxa"/>
              <w:right w:w="120" w:type="dxa"/>
            </w:tcMar>
            <w:vAlign w:val="center"/>
          </w:tcPr>
          <w:p>
            <w:pPr>
              <w:spacing w:before="40" w:after="40"/>
              <w:jc w:val="right"/>
            </w:pPr>
            <w:r>
              <w:rPr>
                <w:color w:val="1E293B"/>
                <w:sz w:val="17"/>
              </w:rPr>
              <w:t>Kilometers (km)</w:t>
            </w:r>
          </w:p>
        </w:tc>
      </w:tr>
      <w:tr>
        <w:tc>
          <w:tcPr>
            <w:tcW w:type="dxa" w:w="2304"/>
            <w:shd w:fill="FFFFFF"/>
            <w:tcMar>
              <w:top w:w="80" w:type="dxa"/>
              <w:bottom w:w="80" w:type="dxa"/>
              <w:left w:w="120" w:type="dxa"/>
              <w:right w:w="120" w:type="dxa"/>
            </w:tcMar>
            <w:vAlign w:val="center"/>
          </w:tcPr>
          <w:p>
            <w:pPr>
              <w:spacing w:before="40" w:after="40"/>
              <w:jc w:val="left"/>
            </w:pPr>
            <w:r>
              <w:rPr>
                <w:color w:val="1E293B"/>
                <w:sz w:val="17"/>
              </w:rPr>
              <w:t>Transport_Mode</w:t>
            </w:r>
          </w:p>
        </w:tc>
        <w:tc>
          <w:tcPr>
            <w:tcW w:type="dxa" w:w="1296"/>
            <w:shd w:fill="FFFFFF"/>
            <w:tcMar>
              <w:top w:w="80" w:type="dxa"/>
              <w:bottom w:w="80" w:type="dxa"/>
              <w:left w:w="120" w:type="dxa"/>
              <w:right w:w="120" w:type="dxa"/>
            </w:tcMar>
            <w:vAlign w:val="center"/>
          </w:tcPr>
          <w:p>
            <w:pPr>
              <w:spacing w:before="40" w:after="40"/>
              <w:jc w:val="right"/>
            </w:pPr>
            <w:r>
              <w:rPr>
                <w:color w:val="1E293B"/>
                <w:sz w:val="17"/>
              </w:rPr>
              <w:t>Categorical</w:t>
            </w:r>
          </w:p>
        </w:tc>
        <w:tc>
          <w:tcPr>
            <w:tcW w:type="dxa" w:w="4464"/>
            <w:shd w:fill="FFFFFF"/>
            <w:tcMar>
              <w:top w:w="80" w:type="dxa"/>
              <w:bottom w:w="80" w:type="dxa"/>
              <w:left w:w="120" w:type="dxa"/>
              <w:right w:w="120" w:type="dxa"/>
            </w:tcMar>
            <w:vAlign w:val="center"/>
          </w:tcPr>
          <w:p>
            <w:pPr>
              <w:spacing w:before="40" w:after="40"/>
              <w:jc w:val="right"/>
            </w:pPr>
            <w:r>
              <w:rPr>
                <w:color w:val="1E293B"/>
                <w:sz w:val="17"/>
              </w:rPr>
              <w:t>Freight conveyance: Road FTL, Road LTL, Air Express, Rail Freight</w:t>
            </w:r>
          </w:p>
        </w:tc>
        <w:tc>
          <w:tcPr>
            <w:tcW w:type="dxa" w:w="1296"/>
            <w:shd w:fill="FFFFFF"/>
            <w:tcMar>
              <w:top w:w="80" w:type="dxa"/>
              <w:bottom w:w="80" w:type="dxa"/>
              <w:left w:w="120" w:type="dxa"/>
              <w:right w:w="120" w:type="dxa"/>
            </w:tcMar>
            <w:vAlign w:val="center"/>
          </w:tcPr>
          <w:p>
            <w:pPr>
              <w:spacing w:before="40" w:after="40"/>
              <w:jc w:val="right"/>
            </w:pPr>
            <w:r>
              <w:rPr>
                <w:color w:val="1E293B"/>
                <w:sz w:val="17"/>
              </w:rPr>
              <w:t>Mode Type</w:t>
            </w:r>
          </w:p>
        </w:tc>
      </w:tr>
      <w:tr>
        <w:tc>
          <w:tcPr>
            <w:tcW w:type="dxa" w:w="2304"/>
            <w:shd w:fill="F8FAFC"/>
            <w:tcMar>
              <w:top w:w="80" w:type="dxa"/>
              <w:bottom w:w="80" w:type="dxa"/>
              <w:left w:w="120" w:type="dxa"/>
              <w:right w:w="120" w:type="dxa"/>
            </w:tcMar>
            <w:vAlign w:val="center"/>
          </w:tcPr>
          <w:p>
            <w:pPr>
              <w:spacing w:before="40" w:after="40"/>
              <w:jc w:val="left"/>
            </w:pPr>
            <w:r>
              <w:rPr>
                <w:color w:val="1E293B"/>
                <w:sz w:val="17"/>
              </w:rPr>
              <w:t>Carrier</w:t>
            </w:r>
          </w:p>
        </w:tc>
        <w:tc>
          <w:tcPr>
            <w:tcW w:type="dxa" w:w="1296"/>
            <w:shd w:fill="F8FAFC"/>
            <w:tcMar>
              <w:top w:w="80" w:type="dxa"/>
              <w:bottom w:w="80" w:type="dxa"/>
              <w:left w:w="120" w:type="dxa"/>
              <w:right w:w="120" w:type="dxa"/>
            </w:tcMar>
            <w:vAlign w:val="center"/>
          </w:tcPr>
          <w:p>
            <w:pPr>
              <w:spacing w:before="40" w:after="40"/>
              <w:jc w:val="right"/>
            </w:pPr>
            <w:r>
              <w:rPr>
                <w:color w:val="1E293B"/>
                <w:sz w:val="17"/>
              </w:rPr>
              <w:t>Categorical</w:t>
            </w:r>
          </w:p>
        </w:tc>
        <w:tc>
          <w:tcPr>
            <w:tcW w:type="dxa" w:w="4464"/>
            <w:shd w:fill="F8FAFC"/>
            <w:tcMar>
              <w:top w:w="80" w:type="dxa"/>
              <w:bottom w:w="80" w:type="dxa"/>
              <w:left w:w="120" w:type="dxa"/>
              <w:right w:w="120" w:type="dxa"/>
            </w:tcMar>
            <w:vAlign w:val="center"/>
          </w:tcPr>
          <w:p>
            <w:pPr>
              <w:spacing w:before="40" w:after="40"/>
              <w:jc w:val="right"/>
            </w:pPr>
            <w:r>
              <w:rPr>
                <w:color w:val="1E293B"/>
                <w:sz w:val="17"/>
              </w:rPr>
              <w:t>Contracted 3PL carrier service provider (5 distinct vendors)</w:t>
            </w:r>
          </w:p>
        </w:tc>
        <w:tc>
          <w:tcPr>
            <w:tcW w:type="dxa" w:w="1296"/>
            <w:shd w:fill="F8FAFC"/>
            <w:tcMar>
              <w:top w:w="80" w:type="dxa"/>
              <w:bottom w:w="80" w:type="dxa"/>
              <w:left w:w="120" w:type="dxa"/>
              <w:right w:w="120" w:type="dxa"/>
            </w:tcMar>
            <w:vAlign w:val="center"/>
          </w:tcPr>
          <w:p>
            <w:pPr>
              <w:spacing w:before="40" w:after="40"/>
              <w:jc w:val="right"/>
            </w:pPr>
            <w:r>
              <w:rPr>
                <w:color w:val="1E293B"/>
                <w:sz w:val="17"/>
              </w:rPr>
              <w:t>Vendor Name</w:t>
            </w:r>
          </w:p>
        </w:tc>
      </w:tr>
      <w:tr>
        <w:tc>
          <w:tcPr>
            <w:tcW w:type="dxa" w:w="2304"/>
            <w:shd w:fill="FFFFFF"/>
            <w:tcMar>
              <w:top w:w="80" w:type="dxa"/>
              <w:bottom w:w="80" w:type="dxa"/>
              <w:left w:w="120" w:type="dxa"/>
              <w:right w:w="120" w:type="dxa"/>
            </w:tcMar>
            <w:vAlign w:val="center"/>
          </w:tcPr>
          <w:p>
            <w:pPr>
              <w:spacing w:before="40" w:after="40"/>
              <w:jc w:val="left"/>
            </w:pPr>
            <w:r>
              <w:rPr>
                <w:color w:val="1E293B"/>
                <w:sz w:val="17"/>
              </w:rPr>
              <w:t>Shipment_Weight_KG</w:t>
            </w:r>
          </w:p>
        </w:tc>
        <w:tc>
          <w:tcPr>
            <w:tcW w:type="dxa" w:w="1296"/>
            <w:shd w:fill="FFFFFF"/>
            <w:tcMar>
              <w:top w:w="80" w:type="dxa"/>
              <w:bottom w:w="80" w:type="dxa"/>
              <w:left w:w="120" w:type="dxa"/>
              <w:right w:w="120" w:type="dxa"/>
            </w:tcMar>
            <w:vAlign w:val="center"/>
          </w:tcPr>
          <w:p>
            <w:pPr>
              <w:spacing w:before="40" w:after="40"/>
              <w:jc w:val="right"/>
            </w:pPr>
            <w:r>
              <w:rPr>
                <w:color w:val="1E293B"/>
                <w:sz w:val="17"/>
              </w:rPr>
              <w:t>Float</w:t>
            </w:r>
          </w:p>
        </w:tc>
        <w:tc>
          <w:tcPr>
            <w:tcW w:type="dxa" w:w="4464"/>
            <w:shd w:fill="FFFFFF"/>
            <w:tcMar>
              <w:top w:w="80" w:type="dxa"/>
              <w:bottom w:w="80" w:type="dxa"/>
              <w:left w:w="120" w:type="dxa"/>
              <w:right w:w="120" w:type="dxa"/>
            </w:tcMar>
            <w:vAlign w:val="center"/>
          </w:tcPr>
          <w:p>
            <w:pPr>
              <w:spacing w:before="40" w:after="40"/>
              <w:jc w:val="right"/>
            </w:pPr>
            <w:r>
              <w:rPr>
                <w:color w:val="1E293B"/>
                <w:sz w:val="17"/>
              </w:rPr>
              <w:t>Gross physical payload mass (continuous skewed distribution)</w:t>
            </w:r>
          </w:p>
        </w:tc>
        <w:tc>
          <w:tcPr>
            <w:tcW w:type="dxa" w:w="1296"/>
            <w:shd w:fill="FFFFFF"/>
            <w:tcMar>
              <w:top w:w="80" w:type="dxa"/>
              <w:bottom w:w="80" w:type="dxa"/>
              <w:left w:w="120" w:type="dxa"/>
              <w:right w:w="120" w:type="dxa"/>
            </w:tcMar>
            <w:vAlign w:val="center"/>
          </w:tcPr>
          <w:p>
            <w:pPr>
              <w:spacing w:before="40" w:after="40"/>
              <w:jc w:val="right"/>
            </w:pPr>
            <w:r>
              <w:rPr>
                <w:color w:val="1E293B"/>
                <w:sz w:val="17"/>
              </w:rPr>
              <w:t>Kilograms (kg)</w:t>
            </w:r>
          </w:p>
        </w:tc>
      </w:tr>
      <w:tr>
        <w:tc>
          <w:tcPr>
            <w:tcW w:type="dxa" w:w="2304"/>
            <w:shd w:fill="F8FAFC"/>
            <w:tcMar>
              <w:top w:w="80" w:type="dxa"/>
              <w:bottom w:w="80" w:type="dxa"/>
              <w:left w:w="120" w:type="dxa"/>
              <w:right w:w="120" w:type="dxa"/>
            </w:tcMar>
            <w:vAlign w:val="center"/>
          </w:tcPr>
          <w:p>
            <w:pPr>
              <w:spacing w:before="40" w:after="40"/>
              <w:jc w:val="left"/>
            </w:pPr>
            <w:r>
              <w:rPr>
                <w:color w:val="1E293B"/>
                <w:sz w:val="17"/>
              </w:rPr>
              <w:t>Shipment_Volume_M3</w:t>
            </w:r>
          </w:p>
        </w:tc>
        <w:tc>
          <w:tcPr>
            <w:tcW w:type="dxa" w:w="1296"/>
            <w:shd w:fill="F8FAFC"/>
            <w:tcMar>
              <w:top w:w="80" w:type="dxa"/>
              <w:bottom w:w="80" w:type="dxa"/>
              <w:left w:w="120" w:type="dxa"/>
              <w:right w:w="120" w:type="dxa"/>
            </w:tcMar>
            <w:vAlign w:val="center"/>
          </w:tcPr>
          <w:p>
            <w:pPr>
              <w:spacing w:before="40" w:after="40"/>
              <w:jc w:val="right"/>
            </w:pPr>
            <w:r>
              <w:rPr>
                <w:color w:val="1E293B"/>
                <w:sz w:val="17"/>
              </w:rPr>
              <w:t>Float</w:t>
            </w:r>
          </w:p>
        </w:tc>
        <w:tc>
          <w:tcPr>
            <w:tcW w:type="dxa" w:w="4464"/>
            <w:shd w:fill="F8FAFC"/>
            <w:tcMar>
              <w:top w:w="80" w:type="dxa"/>
              <w:bottom w:w="80" w:type="dxa"/>
              <w:left w:w="120" w:type="dxa"/>
              <w:right w:w="120" w:type="dxa"/>
            </w:tcMar>
            <w:vAlign w:val="center"/>
          </w:tcPr>
          <w:p>
            <w:pPr>
              <w:spacing w:before="40" w:after="40"/>
              <w:jc w:val="right"/>
            </w:pPr>
            <w:r>
              <w:rPr>
                <w:color w:val="1E293B"/>
                <w:sz w:val="17"/>
              </w:rPr>
              <w:t>Volumetric cubic space utilization based on density factors</w:t>
            </w:r>
          </w:p>
        </w:tc>
        <w:tc>
          <w:tcPr>
            <w:tcW w:type="dxa" w:w="1296"/>
            <w:shd w:fill="F8FAFC"/>
            <w:tcMar>
              <w:top w:w="80" w:type="dxa"/>
              <w:bottom w:w="80" w:type="dxa"/>
              <w:left w:w="120" w:type="dxa"/>
              <w:right w:w="120" w:type="dxa"/>
            </w:tcMar>
            <w:vAlign w:val="center"/>
          </w:tcPr>
          <w:p>
            <w:pPr>
              <w:spacing w:before="40" w:after="40"/>
              <w:jc w:val="right"/>
            </w:pPr>
            <w:r>
              <w:rPr>
                <w:color w:val="1E293B"/>
                <w:sz w:val="17"/>
              </w:rPr>
              <w:t>Cubic Meters (m³)</w:t>
            </w:r>
          </w:p>
        </w:tc>
      </w:tr>
      <w:tr>
        <w:tc>
          <w:tcPr>
            <w:tcW w:type="dxa" w:w="2304"/>
            <w:shd w:fill="FFFFFF"/>
            <w:tcMar>
              <w:top w:w="80" w:type="dxa"/>
              <w:bottom w:w="80" w:type="dxa"/>
              <w:left w:w="120" w:type="dxa"/>
              <w:right w:w="120" w:type="dxa"/>
            </w:tcMar>
            <w:vAlign w:val="center"/>
          </w:tcPr>
          <w:p>
            <w:pPr>
              <w:spacing w:before="40" w:after="40"/>
              <w:jc w:val="left"/>
            </w:pPr>
            <w:r>
              <w:rPr>
                <w:color w:val="1E293B"/>
                <w:sz w:val="17"/>
              </w:rPr>
              <w:t>Transportation_Cost_USD</w:t>
            </w:r>
          </w:p>
        </w:tc>
        <w:tc>
          <w:tcPr>
            <w:tcW w:type="dxa" w:w="1296"/>
            <w:shd w:fill="FFFFFF"/>
            <w:tcMar>
              <w:top w:w="80" w:type="dxa"/>
              <w:bottom w:w="80" w:type="dxa"/>
              <w:left w:w="120" w:type="dxa"/>
              <w:right w:w="120" w:type="dxa"/>
            </w:tcMar>
            <w:vAlign w:val="center"/>
          </w:tcPr>
          <w:p>
            <w:pPr>
              <w:spacing w:before="40" w:after="40"/>
              <w:jc w:val="right"/>
            </w:pPr>
            <w:r>
              <w:rPr>
                <w:color w:val="1E293B"/>
                <w:sz w:val="17"/>
              </w:rPr>
              <w:t>Float</w:t>
            </w:r>
          </w:p>
        </w:tc>
        <w:tc>
          <w:tcPr>
            <w:tcW w:type="dxa" w:w="4464"/>
            <w:shd w:fill="FFFFFF"/>
            <w:tcMar>
              <w:top w:w="80" w:type="dxa"/>
              <w:bottom w:w="80" w:type="dxa"/>
              <w:left w:w="120" w:type="dxa"/>
              <w:right w:w="120" w:type="dxa"/>
            </w:tcMar>
            <w:vAlign w:val="center"/>
          </w:tcPr>
          <w:p>
            <w:pPr>
              <w:spacing w:before="40" w:after="40"/>
              <w:jc w:val="right"/>
            </w:pPr>
            <w:r>
              <w:rPr>
                <w:color w:val="1E293B"/>
                <w:sz w:val="17"/>
              </w:rPr>
              <w:t>Total freight expense (base + weight-distance + fuel surcharges)</w:t>
            </w:r>
          </w:p>
        </w:tc>
        <w:tc>
          <w:tcPr>
            <w:tcW w:type="dxa" w:w="1296"/>
            <w:shd w:fill="FFFFFF"/>
            <w:tcMar>
              <w:top w:w="80" w:type="dxa"/>
              <w:bottom w:w="80" w:type="dxa"/>
              <w:left w:w="120" w:type="dxa"/>
              <w:right w:w="120" w:type="dxa"/>
            </w:tcMar>
            <w:vAlign w:val="center"/>
          </w:tcPr>
          <w:p>
            <w:pPr>
              <w:spacing w:before="40" w:after="40"/>
              <w:jc w:val="right"/>
            </w:pPr>
            <w:r>
              <w:rPr>
                <w:color w:val="1E293B"/>
                <w:sz w:val="17"/>
              </w:rPr>
              <w:t>$ USD</w:t>
            </w:r>
          </w:p>
        </w:tc>
      </w:tr>
      <w:tr>
        <w:tc>
          <w:tcPr>
            <w:tcW w:type="dxa" w:w="2304"/>
            <w:shd w:fill="F8FAFC"/>
            <w:tcMar>
              <w:top w:w="80" w:type="dxa"/>
              <w:bottom w:w="80" w:type="dxa"/>
              <w:left w:w="120" w:type="dxa"/>
              <w:right w:w="120" w:type="dxa"/>
            </w:tcMar>
            <w:vAlign w:val="center"/>
          </w:tcPr>
          <w:p>
            <w:pPr>
              <w:spacing w:before="40" w:after="40"/>
              <w:jc w:val="left"/>
            </w:pPr>
            <w:r>
              <w:rPr>
                <w:color w:val="1E293B"/>
                <w:sz w:val="17"/>
              </w:rPr>
              <w:t>Cost_per_Ton_KM</w:t>
            </w:r>
          </w:p>
        </w:tc>
        <w:tc>
          <w:tcPr>
            <w:tcW w:type="dxa" w:w="1296"/>
            <w:shd w:fill="F8FAFC"/>
            <w:tcMar>
              <w:top w:w="80" w:type="dxa"/>
              <w:bottom w:w="80" w:type="dxa"/>
              <w:left w:w="120" w:type="dxa"/>
              <w:right w:w="120" w:type="dxa"/>
            </w:tcMar>
            <w:vAlign w:val="center"/>
          </w:tcPr>
          <w:p>
            <w:pPr>
              <w:spacing w:before="40" w:after="40"/>
              <w:jc w:val="right"/>
            </w:pPr>
            <w:r>
              <w:rPr>
                <w:color w:val="1E293B"/>
                <w:sz w:val="17"/>
              </w:rPr>
              <w:t>Float</w:t>
            </w:r>
          </w:p>
        </w:tc>
        <w:tc>
          <w:tcPr>
            <w:tcW w:type="dxa" w:w="4464"/>
            <w:shd w:fill="F8FAFC"/>
            <w:tcMar>
              <w:top w:w="80" w:type="dxa"/>
              <w:bottom w:w="80" w:type="dxa"/>
              <w:left w:w="120" w:type="dxa"/>
              <w:right w:w="120" w:type="dxa"/>
            </w:tcMar>
            <w:vAlign w:val="center"/>
          </w:tcPr>
          <w:p>
            <w:pPr>
              <w:spacing w:before="40" w:after="40"/>
              <w:jc w:val="right"/>
            </w:pPr>
            <w:r>
              <w:rPr>
                <w:color w:val="1E293B"/>
                <w:sz w:val="17"/>
              </w:rPr>
              <w:t>Standardized logistics unit cost benchmark metric</w:t>
            </w:r>
          </w:p>
        </w:tc>
        <w:tc>
          <w:tcPr>
            <w:tcW w:type="dxa" w:w="1296"/>
            <w:shd w:fill="F8FAFC"/>
            <w:tcMar>
              <w:top w:w="80" w:type="dxa"/>
              <w:bottom w:w="80" w:type="dxa"/>
              <w:left w:w="120" w:type="dxa"/>
              <w:right w:w="120" w:type="dxa"/>
            </w:tcMar>
            <w:vAlign w:val="center"/>
          </w:tcPr>
          <w:p>
            <w:pPr>
              <w:spacing w:before="40" w:after="40"/>
              <w:jc w:val="right"/>
            </w:pPr>
            <w:r>
              <w:rPr>
                <w:color w:val="1E293B"/>
                <w:sz w:val="17"/>
              </w:rPr>
              <w:t>$ / Ton-KM</w:t>
            </w:r>
          </w:p>
        </w:tc>
      </w:tr>
      <w:tr>
        <w:tc>
          <w:tcPr>
            <w:tcW w:type="dxa" w:w="2304"/>
            <w:shd w:fill="FFFFFF"/>
            <w:tcMar>
              <w:top w:w="80" w:type="dxa"/>
              <w:bottom w:w="80" w:type="dxa"/>
              <w:left w:w="120" w:type="dxa"/>
              <w:right w:w="120" w:type="dxa"/>
            </w:tcMar>
            <w:vAlign w:val="center"/>
          </w:tcPr>
          <w:p>
            <w:pPr>
              <w:spacing w:before="40" w:after="40"/>
              <w:jc w:val="left"/>
            </w:pPr>
            <w:r>
              <w:rPr>
                <w:color w:val="1E293B"/>
                <w:sz w:val="17"/>
              </w:rPr>
              <w:t>Expected_Lead_Time</w:t>
            </w:r>
          </w:p>
        </w:tc>
        <w:tc>
          <w:tcPr>
            <w:tcW w:type="dxa" w:w="1296"/>
            <w:shd w:fill="FFFFFF"/>
            <w:tcMar>
              <w:top w:w="80" w:type="dxa"/>
              <w:bottom w:w="80" w:type="dxa"/>
              <w:left w:w="120" w:type="dxa"/>
              <w:right w:w="120" w:type="dxa"/>
            </w:tcMar>
            <w:vAlign w:val="center"/>
          </w:tcPr>
          <w:p>
            <w:pPr>
              <w:spacing w:before="40" w:after="40"/>
              <w:jc w:val="right"/>
            </w:pPr>
            <w:r>
              <w:rPr>
                <w:color w:val="1E293B"/>
                <w:sz w:val="17"/>
              </w:rPr>
              <w:t>Integer</w:t>
            </w:r>
          </w:p>
        </w:tc>
        <w:tc>
          <w:tcPr>
            <w:tcW w:type="dxa" w:w="4464"/>
            <w:shd w:fill="FFFFFF"/>
            <w:tcMar>
              <w:top w:w="80" w:type="dxa"/>
              <w:bottom w:w="80" w:type="dxa"/>
              <w:left w:w="120" w:type="dxa"/>
              <w:right w:w="120" w:type="dxa"/>
            </w:tcMar>
            <w:vAlign w:val="center"/>
          </w:tcPr>
          <w:p>
            <w:pPr>
              <w:spacing w:before="40" w:after="40"/>
              <w:jc w:val="right"/>
            </w:pPr>
            <w:r>
              <w:rPr>
                <w:color w:val="1E293B"/>
                <w:sz w:val="17"/>
              </w:rPr>
              <w:t>Contractual delivery SLA promise based on distance &amp; mode</w:t>
            </w:r>
          </w:p>
        </w:tc>
        <w:tc>
          <w:tcPr>
            <w:tcW w:type="dxa" w:w="1296"/>
            <w:shd w:fill="FFFFFF"/>
            <w:tcMar>
              <w:top w:w="80" w:type="dxa"/>
              <w:bottom w:w="80" w:type="dxa"/>
              <w:left w:w="120" w:type="dxa"/>
              <w:right w:w="120" w:type="dxa"/>
            </w:tcMar>
            <w:vAlign w:val="center"/>
          </w:tcPr>
          <w:p>
            <w:pPr>
              <w:spacing w:before="40" w:after="40"/>
              <w:jc w:val="right"/>
            </w:pPr>
            <w:r>
              <w:rPr>
                <w:color w:val="1E293B"/>
                <w:sz w:val="17"/>
              </w:rPr>
              <w:t>Days</w:t>
            </w:r>
          </w:p>
        </w:tc>
      </w:tr>
      <w:tr>
        <w:tc>
          <w:tcPr>
            <w:tcW w:type="dxa" w:w="2304"/>
            <w:shd w:fill="F8FAFC"/>
            <w:tcMar>
              <w:top w:w="80" w:type="dxa"/>
              <w:bottom w:w="80" w:type="dxa"/>
              <w:left w:w="120" w:type="dxa"/>
              <w:right w:w="120" w:type="dxa"/>
            </w:tcMar>
            <w:vAlign w:val="center"/>
          </w:tcPr>
          <w:p>
            <w:pPr>
              <w:spacing w:before="40" w:after="40"/>
              <w:jc w:val="left"/>
            </w:pPr>
            <w:r>
              <w:rPr>
                <w:color w:val="1E293B"/>
                <w:sz w:val="17"/>
              </w:rPr>
              <w:t>Actual_Lead_Time</w:t>
            </w:r>
          </w:p>
        </w:tc>
        <w:tc>
          <w:tcPr>
            <w:tcW w:type="dxa" w:w="1296"/>
            <w:shd w:fill="F8FAFC"/>
            <w:tcMar>
              <w:top w:w="80" w:type="dxa"/>
              <w:bottom w:w="80" w:type="dxa"/>
              <w:left w:w="120" w:type="dxa"/>
              <w:right w:w="120" w:type="dxa"/>
            </w:tcMar>
            <w:vAlign w:val="center"/>
          </w:tcPr>
          <w:p>
            <w:pPr>
              <w:spacing w:before="40" w:after="40"/>
              <w:jc w:val="right"/>
            </w:pPr>
            <w:r>
              <w:rPr>
                <w:color w:val="1E293B"/>
                <w:sz w:val="17"/>
              </w:rPr>
              <w:t>Integer</w:t>
            </w:r>
          </w:p>
        </w:tc>
        <w:tc>
          <w:tcPr>
            <w:tcW w:type="dxa" w:w="4464"/>
            <w:shd w:fill="F8FAFC"/>
            <w:tcMar>
              <w:top w:w="80" w:type="dxa"/>
              <w:bottom w:w="80" w:type="dxa"/>
              <w:left w:w="120" w:type="dxa"/>
              <w:right w:w="120" w:type="dxa"/>
            </w:tcMar>
            <w:vAlign w:val="center"/>
          </w:tcPr>
          <w:p>
            <w:pPr>
              <w:spacing w:before="40" w:after="40"/>
              <w:jc w:val="right"/>
            </w:pPr>
            <w:r>
              <w:rPr>
                <w:color w:val="1E293B"/>
                <w:sz w:val="17"/>
              </w:rPr>
              <w:t>Observed door-to-door delivery duration</w:t>
            </w:r>
          </w:p>
        </w:tc>
        <w:tc>
          <w:tcPr>
            <w:tcW w:type="dxa" w:w="1296"/>
            <w:shd w:fill="F8FAFC"/>
            <w:tcMar>
              <w:top w:w="80" w:type="dxa"/>
              <w:bottom w:w="80" w:type="dxa"/>
              <w:left w:w="120" w:type="dxa"/>
              <w:right w:w="120" w:type="dxa"/>
            </w:tcMar>
            <w:vAlign w:val="center"/>
          </w:tcPr>
          <w:p>
            <w:pPr>
              <w:spacing w:before="40" w:after="40"/>
              <w:jc w:val="right"/>
            </w:pPr>
            <w:r>
              <w:rPr>
                <w:color w:val="1E293B"/>
                <w:sz w:val="17"/>
              </w:rPr>
              <w:t>Days</w:t>
            </w:r>
          </w:p>
        </w:tc>
      </w:tr>
      <w:tr>
        <w:tc>
          <w:tcPr>
            <w:tcW w:type="dxa" w:w="2304"/>
            <w:shd w:fill="FFFFFF"/>
            <w:tcMar>
              <w:top w:w="80" w:type="dxa"/>
              <w:bottom w:w="80" w:type="dxa"/>
              <w:left w:w="120" w:type="dxa"/>
              <w:right w:w="120" w:type="dxa"/>
            </w:tcMar>
            <w:vAlign w:val="center"/>
          </w:tcPr>
          <w:p>
            <w:pPr>
              <w:spacing w:before="40" w:after="40"/>
              <w:jc w:val="left"/>
            </w:pPr>
            <w:r>
              <w:rPr>
                <w:color w:val="1E293B"/>
                <w:sz w:val="17"/>
              </w:rPr>
              <w:t>Delay_Days</w:t>
            </w:r>
          </w:p>
        </w:tc>
        <w:tc>
          <w:tcPr>
            <w:tcW w:type="dxa" w:w="1296"/>
            <w:shd w:fill="FFFFFF"/>
            <w:tcMar>
              <w:top w:w="80" w:type="dxa"/>
              <w:bottom w:w="80" w:type="dxa"/>
              <w:left w:w="120" w:type="dxa"/>
              <w:right w:w="120" w:type="dxa"/>
            </w:tcMar>
            <w:vAlign w:val="center"/>
          </w:tcPr>
          <w:p>
            <w:pPr>
              <w:spacing w:before="40" w:after="40"/>
              <w:jc w:val="right"/>
            </w:pPr>
            <w:r>
              <w:rPr>
                <w:color w:val="1E293B"/>
                <w:sz w:val="17"/>
              </w:rPr>
              <w:t>Integer</w:t>
            </w:r>
          </w:p>
        </w:tc>
        <w:tc>
          <w:tcPr>
            <w:tcW w:type="dxa" w:w="4464"/>
            <w:shd w:fill="FFFFFF"/>
            <w:tcMar>
              <w:top w:w="80" w:type="dxa"/>
              <w:bottom w:w="80" w:type="dxa"/>
              <w:left w:w="120" w:type="dxa"/>
              <w:right w:w="120" w:type="dxa"/>
            </w:tcMar>
            <w:vAlign w:val="center"/>
          </w:tcPr>
          <w:p>
            <w:pPr>
              <w:spacing w:before="40" w:after="40"/>
              <w:jc w:val="right"/>
            </w:pPr>
            <w:r>
              <w:rPr>
                <w:color w:val="1E293B"/>
                <w:sz w:val="17"/>
              </w:rPr>
              <w:t>Positive variance exceeding SLA (Actual - Expected Lead Time)</w:t>
            </w:r>
          </w:p>
        </w:tc>
        <w:tc>
          <w:tcPr>
            <w:tcW w:type="dxa" w:w="1296"/>
            <w:shd w:fill="FFFFFF"/>
            <w:tcMar>
              <w:top w:w="80" w:type="dxa"/>
              <w:bottom w:w="80" w:type="dxa"/>
              <w:left w:w="120" w:type="dxa"/>
              <w:right w:w="120" w:type="dxa"/>
            </w:tcMar>
            <w:vAlign w:val="center"/>
          </w:tcPr>
          <w:p>
            <w:pPr>
              <w:spacing w:before="40" w:after="40"/>
              <w:jc w:val="right"/>
            </w:pPr>
            <w:r>
              <w:rPr>
                <w:color w:val="1E293B"/>
                <w:sz w:val="17"/>
              </w:rPr>
              <w:t>Days</w:t>
            </w:r>
          </w:p>
        </w:tc>
      </w:tr>
      <w:tr>
        <w:tc>
          <w:tcPr>
            <w:tcW w:type="dxa" w:w="2304"/>
            <w:shd w:fill="F8FAFC"/>
            <w:tcMar>
              <w:top w:w="80" w:type="dxa"/>
              <w:bottom w:w="80" w:type="dxa"/>
              <w:left w:w="120" w:type="dxa"/>
              <w:right w:w="120" w:type="dxa"/>
            </w:tcMar>
            <w:vAlign w:val="center"/>
          </w:tcPr>
          <w:p>
            <w:pPr>
              <w:spacing w:before="40" w:after="40"/>
              <w:jc w:val="left"/>
            </w:pPr>
            <w:r>
              <w:rPr>
                <w:color w:val="1E293B"/>
                <w:sz w:val="17"/>
              </w:rPr>
              <w:t>Delivery_Status</w:t>
            </w:r>
          </w:p>
        </w:tc>
        <w:tc>
          <w:tcPr>
            <w:tcW w:type="dxa" w:w="1296"/>
            <w:shd w:fill="F8FAFC"/>
            <w:tcMar>
              <w:top w:w="80" w:type="dxa"/>
              <w:bottom w:w="80" w:type="dxa"/>
              <w:left w:w="120" w:type="dxa"/>
              <w:right w:w="120" w:type="dxa"/>
            </w:tcMar>
            <w:vAlign w:val="center"/>
          </w:tcPr>
          <w:p>
            <w:pPr>
              <w:spacing w:before="40" w:after="40"/>
              <w:jc w:val="right"/>
            </w:pPr>
            <w:r>
              <w:rPr>
                <w:color w:val="1E293B"/>
                <w:sz w:val="17"/>
              </w:rPr>
              <w:t>Categorical</w:t>
            </w:r>
          </w:p>
        </w:tc>
        <w:tc>
          <w:tcPr>
            <w:tcW w:type="dxa" w:w="4464"/>
            <w:shd w:fill="F8FAFC"/>
            <w:tcMar>
              <w:top w:w="80" w:type="dxa"/>
              <w:bottom w:w="80" w:type="dxa"/>
              <w:left w:w="120" w:type="dxa"/>
              <w:right w:w="120" w:type="dxa"/>
            </w:tcMar>
            <w:vAlign w:val="center"/>
          </w:tcPr>
          <w:p>
            <w:pPr>
              <w:spacing w:before="40" w:after="40"/>
              <w:jc w:val="right"/>
            </w:pPr>
            <w:r>
              <w:rPr>
                <w:color w:val="1E293B"/>
                <w:sz w:val="17"/>
              </w:rPr>
              <w:t>Categorical fulfillment state: Early, On-Time, Delayed, Severe</w:t>
            </w:r>
          </w:p>
        </w:tc>
        <w:tc>
          <w:tcPr>
            <w:tcW w:type="dxa" w:w="1296"/>
            <w:shd w:fill="F8FAFC"/>
            <w:tcMar>
              <w:top w:w="80" w:type="dxa"/>
              <w:bottom w:w="80" w:type="dxa"/>
              <w:left w:w="120" w:type="dxa"/>
              <w:right w:w="120" w:type="dxa"/>
            </w:tcMar>
            <w:vAlign w:val="center"/>
          </w:tcPr>
          <w:p>
            <w:pPr>
              <w:spacing w:before="40" w:after="40"/>
              <w:jc w:val="right"/>
            </w:pPr>
            <w:r>
              <w:rPr>
                <w:color w:val="1E293B"/>
                <w:sz w:val="17"/>
              </w:rPr>
              <w:t>Status Label</w:t>
            </w:r>
          </w:p>
        </w:tc>
      </w:tr>
      <w:tr>
        <w:tc>
          <w:tcPr>
            <w:tcW w:type="dxa" w:w="2304"/>
            <w:shd w:fill="FFFFFF"/>
            <w:tcMar>
              <w:top w:w="80" w:type="dxa"/>
              <w:bottom w:w="80" w:type="dxa"/>
              <w:left w:w="120" w:type="dxa"/>
              <w:right w:w="120" w:type="dxa"/>
            </w:tcMar>
            <w:vAlign w:val="center"/>
          </w:tcPr>
          <w:p>
            <w:pPr>
              <w:spacing w:before="40" w:after="40"/>
              <w:jc w:val="left"/>
            </w:pPr>
            <w:r>
              <w:rPr>
                <w:color w:val="1E293B"/>
                <w:sz w:val="17"/>
              </w:rPr>
              <w:t>OTIF_Flag</w:t>
            </w:r>
          </w:p>
        </w:tc>
        <w:tc>
          <w:tcPr>
            <w:tcW w:type="dxa" w:w="1296"/>
            <w:shd w:fill="FFFFFF"/>
            <w:tcMar>
              <w:top w:w="80" w:type="dxa"/>
              <w:bottom w:w="80" w:type="dxa"/>
              <w:left w:w="120" w:type="dxa"/>
              <w:right w:w="120" w:type="dxa"/>
            </w:tcMar>
            <w:vAlign w:val="center"/>
          </w:tcPr>
          <w:p>
            <w:pPr>
              <w:spacing w:before="40" w:after="40"/>
              <w:jc w:val="right"/>
            </w:pPr>
            <w:r>
              <w:rPr>
                <w:color w:val="1E293B"/>
                <w:sz w:val="17"/>
              </w:rPr>
              <w:t>Binary</w:t>
            </w:r>
          </w:p>
        </w:tc>
        <w:tc>
          <w:tcPr>
            <w:tcW w:type="dxa" w:w="4464"/>
            <w:shd w:fill="FFFFFF"/>
            <w:tcMar>
              <w:top w:w="80" w:type="dxa"/>
              <w:bottom w:w="80" w:type="dxa"/>
              <w:left w:w="120" w:type="dxa"/>
              <w:right w:w="120" w:type="dxa"/>
            </w:tcMar>
            <w:vAlign w:val="center"/>
          </w:tcPr>
          <w:p>
            <w:pPr>
              <w:spacing w:before="40" w:after="40"/>
              <w:jc w:val="right"/>
            </w:pPr>
            <w:r>
              <w:rPr>
                <w:color w:val="1E293B"/>
                <w:sz w:val="17"/>
              </w:rPr>
              <w:t>On-Time In-Full compliance indicator (1 = Conforming, 0 = Non-Conforming)</w:t>
            </w:r>
          </w:p>
        </w:tc>
        <w:tc>
          <w:tcPr>
            <w:tcW w:type="dxa" w:w="1296"/>
            <w:shd w:fill="FFFFFF"/>
            <w:tcMar>
              <w:top w:w="80" w:type="dxa"/>
              <w:bottom w:w="80" w:type="dxa"/>
              <w:left w:w="120" w:type="dxa"/>
              <w:right w:w="120" w:type="dxa"/>
            </w:tcMar>
            <w:vAlign w:val="center"/>
          </w:tcPr>
          <w:p>
            <w:pPr>
              <w:spacing w:before="40" w:after="40"/>
              <w:jc w:val="right"/>
            </w:pPr>
            <w:r>
              <w:rPr>
                <w:color w:val="1E293B"/>
                <w:sz w:val="17"/>
              </w:rPr>
              <w:t>1 / 0</w:t>
            </w:r>
          </w:p>
        </w:tc>
      </w:tr>
      <w:tr>
        <w:tc>
          <w:tcPr>
            <w:tcW w:type="dxa" w:w="2304"/>
            <w:shd w:fill="F8FAFC"/>
            <w:tcMar>
              <w:top w:w="80" w:type="dxa"/>
              <w:bottom w:w="80" w:type="dxa"/>
              <w:left w:w="120" w:type="dxa"/>
              <w:right w:w="120" w:type="dxa"/>
            </w:tcMar>
            <w:vAlign w:val="center"/>
          </w:tcPr>
          <w:p>
            <w:pPr>
              <w:spacing w:before="40" w:after="40"/>
              <w:jc w:val="left"/>
            </w:pPr>
            <w:r>
              <w:rPr>
                <w:color w:val="1E293B"/>
                <w:sz w:val="17"/>
              </w:rPr>
              <w:t>Delay_Reason</w:t>
            </w:r>
          </w:p>
        </w:tc>
        <w:tc>
          <w:tcPr>
            <w:tcW w:type="dxa" w:w="1296"/>
            <w:shd w:fill="F8FAFC"/>
            <w:tcMar>
              <w:top w:w="80" w:type="dxa"/>
              <w:bottom w:w="80" w:type="dxa"/>
              <w:left w:w="120" w:type="dxa"/>
              <w:right w:w="120" w:type="dxa"/>
            </w:tcMar>
            <w:vAlign w:val="center"/>
          </w:tcPr>
          <w:p>
            <w:pPr>
              <w:spacing w:before="40" w:after="40"/>
              <w:jc w:val="right"/>
            </w:pPr>
            <w:r>
              <w:rPr>
                <w:color w:val="1E293B"/>
                <w:sz w:val="17"/>
              </w:rPr>
              <w:t>Categorical</w:t>
            </w:r>
          </w:p>
        </w:tc>
        <w:tc>
          <w:tcPr>
            <w:tcW w:type="dxa" w:w="4464"/>
            <w:shd w:fill="F8FAFC"/>
            <w:tcMar>
              <w:top w:w="80" w:type="dxa"/>
              <w:bottom w:w="80" w:type="dxa"/>
              <w:left w:w="120" w:type="dxa"/>
              <w:right w:w="120" w:type="dxa"/>
            </w:tcMar>
            <w:vAlign w:val="center"/>
          </w:tcPr>
          <w:p>
            <w:pPr>
              <w:spacing w:before="40" w:after="40"/>
              <w:jc w:val="right"/>
            </w:pPr>
            <w:r>
              <w:rPr>
                <w:color w:val="1E293B"/>
                <w:sz w:val="17"/>
              </w:rPr>
              <w:t>Root-cause incident classification for post-mortem analytics</w:t>
            </w:r>
          </w:p>
        </w:tc>
        <w:tc>
          <w:tcPr>
            <w:tcW w:type="dxa" w:w="1296"/>
            <w:shd w:fill="F8FAFC"/>
            <w:tcMar>
              <w:top w:w="80" w:type="dxa"/>
              <w:bottom w:w="80" w:type="dxa"/>
              <w:left w:w="120" w:type="dxa"/>
              <w:right w:w="120" w:type="dxa"/>
            </w:tcMar>
            <w:vAlign w:val="center"/>
          </w:tcPr>
          <w:p>
            <w:pPr>
              <w:spacing w:before="40" w:after="40"/>
              <w:jc w:val="right"/>
            </w:pPr>
            <w:r>
              <w:rPr>
                <w:color w:val="1E293B"/>
                <w:sz w:val="17"/>
              </w:rPr>
              <w:t>Root Cause</w:t>
            </w:r>
          </w:p>
        </w:tc>
      </w:tr>
    </w:tbl>
    <w:p>
      <w:pPr>
        <w:spacing w:after="120"/>
      </w:pPr>
    </w:p>
    <w:p>
      <w:pPr>
        <w:pStyle w:val="Heading1"/>
        <w:keepNext/>
        <w:spacing w:before="240" w:after="80"/>
      </w:pPr>
      <w:r>
        <w:rPr>
          <w:b/>
          <w:color w:val="0F2043"/>
          <w:sz w:val="32"/>
        </w:rPr>
        <w:t>4. Exploratory Data Analysis &amp; Statistical Findings</w:t>
      </w:r>
    </w:p>
    <w:p>
      <w:pPr>
        <w:spacing w:line="276" w:lineRule="auto" w:after="120"/>
      </w:pPr>
      <w:r>
        <w:t>A rigorous exploratory data analysis was conducted to quantify central tendencies, dispersion, skewness, and kurtosis across all operational variables. Understanding these distributions prevents erroneous assumptions of normality and guides proper parametric or non-parametric optimization.</w:t>
      </w:r>
    </w:p>
    <w:p>
      <w:pPr>
        <w:pStyle w:val="Heading2"/>
        <w:keepNext/>
        <w:spacing w:before="240" w:after="80"/>
      </w:pPr>
      <w:r>
        <w:rPr>
          <w:b/>
          <w:color w:val="1E4078"/>
          <w:sz w:val="26"/>
        </w:rPr>
        <w:t>4.1 Statistical Distribution Summary</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304"/>
            <w:shd w:fill="1E3A8A"/>
            <w:tcMar>
              <w:top w:w="100" w:type="dxa"/>
              <w:bottom w:w="100" w:type="dxa"/>
              <w:left w:w="120" w:type="dxa"/>
              <w:right w:w="120" w:type="dxa"/>
            </w:tcMar>
            <w:vAlign w:val="center"/>
          </w:tcPr>
          <w:p>
            <w:pPr>
              <w:jc w:val="center"/>
            </w:pPr>
            <w:r>
              <w:rPr>
                <w:b/>
                <w:color w:val="FFFFFF"/>
                <w:sz w:val="18"/>
              </w:rPr>
              <w:t>Metric Variable</w:t>
            </w:r>
          </w:p>
        </w:tc>
        <w:tc>
          <w:tcPr>
            <w:tcW w:type="dxa" w:w="1008"/>
            <w:shd w:fill="1E3A8A"/>
            <w:tcMar>
              <w:top w:w="100" w:type="dxa"/>
              <w:bottom w:w="100" w:type="dxa"/>
              <w:left w:w="120" w:type="dxa"/>
              <w:right w:w="120" w:type="dxa"/>
            </w:tcMar>
            <w:vAlign w:val="center"/>
          </w:tcPr>
          <w:p>
            <w:pPr>
              <w:jc w:val="center"/>
            </w:pPr>
            <w:r>
              <w:rPr>
                <w:b/>
                <w:color w:val="FFFFFF"/>
                <w:sz w:val="18"/>
              </w:rPr>
              <w:t>Mean</w:t>
            </w:r>
          </w:p>
        </w:tc>
        <w:tc>
          <w:tcPr>
            <w:tcW w:type="dxa" w:w="1008"/>
            <w:shd w:fill="1E3A8A"/>
            <w:tcMar>
              <w:top w:w="100" w:type="dxa"/>
              <w:bottom w:w="100" w:type="dxa"/>
              <w:left w:w="120" w:type="dxa"/>
              <w:right w:w="120" w:type="dxa"/>
            </w:tcMar>
            <w:vAlign w:val="center"/>
          </w:tcPr>
          <w:p>
            <w:pPr>
              <w:jc w:val="center"/>
            </w:pPr>
            <w:r>
              <w:rPr>
                <w:b/>
                <w:color w:val="FFFFFF"/>
                <w:sz w:val="18"/>
              </w:rPr>
              <w:t>Std Dev</w:t>
            </w:r>
          </w:p>
        </w:tc>
        <w:tc>
          <w:tcPr>
            <w:tcW w:type="dxa" w:w="1008"/>
            <w:shd w:fill="1E3A8A"/>
            <w:tcMar>
              <w:top w:w="100" w:type="dxa"/>
              <w:bottom w:w="100" w:type="dxa"/>
              <w:left w:w="120" w:type="dxa"/>
              <w:right w:w="120" w:type="dxa"/>
            </w:tcMar>
            <w:vAlign w:val="center"/>
          </w:tcPr>
          <w:p>
            <w:pPr>
              <w:jc w:val="center"/>
            </w:pPr>
            <w:r>
              <w:rPr>
                <w:b/>
                <w:color w:val="FFFFFF"/>
                <w:sz w:val="18"/>
              </w:rPr>
              <w:t>Median</w:t>
            </w:r>
          </w:p>
        </w:tc>
        <w:tc>
          <w:tcPr>
            <w:tcW w:type="dxa" w:w="1008"/>
            <w:shd w:fill="1E3A8A"/>
            <w:tcMar>
              <w:top w:w="100" w:type="dxa"/>
              <w:bottom w:w="100" w:type="dxa"/>
              <w:left w:w="120" w:type="dxa"/>
              <w:right w:w="120" w:type="dxa"/>
            </w:tcMar>
            <w:vAlign w:val="center"/>
          </w:tcPr>
          <w:p>
            <w:pPr>
              <w:jc w:val="center"/>
            </w:pPr>
            <w:r>
              <w:rPr>
                <w:b/>
                <w:color w:val="FFFFFF"/>
                <w:sz w:val="18"/>
              </w:rPr>
              <w:t>IQR</w:t>
            </w:r>
          </w:p>
        </w:tc>
        <w:tc>
          <w:tcPr>
            <w:tcW w:type="dxa" w:w="1008"/>
            <w:shd w:fill="1E3A8A"/>
            <w:tcMar>
              <w:top w:w="100" w:type="dxa"/>
              <w:bottom w:w="100" w:type="dxa"/>
              <w:left w:w="120" w:type="dxa"/>
              <w:right w:w="120" w:type="dxa"/>
            </w:tcMar>
            <w:vAlign w:val="center"/>
          </w:tcPr>
          <w:p>
            <w:pPr>
              <w:jc w:val="center"/>
            </w:pPr>
            <w:r>
              <w:rPr>
                <w:b/>
                <w:color w:val="FFFFFF"/>
                <w:sz w:val="18"/>
              </w:rPr>
              <w:t>Min</w:t>
            </w:r>
          </w:p>
        </w:tc>
        <w:tc>
          <w:tcPr>
            <w:tcW w:type="dxa" w:w="1008"/>
            <w:shd w:fill="1E3A8A"/>
            <w:tcMar>
              <w:top w:w="100" w:type="dxa"/>
              <w:bottom w:w="100" w:type="dxa"/>
              <w:left w:w="120" w:type="dxa"/>
              <w:right w:w="120" w:type="dxa"/>
            </w:tcMar>
            <w:vAlign w:val="center"/>
          </w:tcPr>
          <w:p>
            <w:pPr>
              <w:jc w:val="center"/>
            </w:pPr>
            <w:r>
              <w:rPr>
                <w:b/>
                <w:color w:val="FFFFFF"/>
                <w:sz w:val="18"/>
              </w:rPr>
              <w:t>Max</w:t>
            </w:r>
          </w:p>
        </w:tc>
        <w:tc>
          <w:tcPr>
            <w:tcW w:type="dxa" w:w="1008"/>
            <w:shd w:fill="1E3A8A"/>
            <w:tcMar>
              <w:top w:w="100" w:type="dxa"/>
              <w:bottom w:w="100" w:type="dxa"/>
              <w:left w:w="120" w:type="dxa"/>
              <w:right w:w="120" w:type="dxa"/>
            </w:tcMar>
            <w:vAlign w:val="center"/>
          </w:tcPr>
          <w:p>
            <w:pPr>
              <w:jc w:val="center"/>
            </w:pPr>
            <w:r>
              <w:rPr>
                <w:b/>
                <w:color w:val="FFFFFF"/>
                <w:sz w:val="18"/>
              </w:rPr>
              <w:t>Skewness</w:t>
            </w:r>
          </w:p>
        </w:tc>
      </w:tr>
      <w:tr>
        <w:tc>
          <w:tcPr>
            <w:tcW w:type="dxa" w:w="2304"/>
            <w:shd w:fill="FFFFFF"/>
            <w:tcMar>
              <w:top w:w="80" w:type="dxa"/>
              <w:bottom w:w="80" w:type="dxa"/>
              <w:left w:w="120" w:type="dxa"/>
              <w:right w:w="120" w:type="dxa"/>
            </w:tcMar>
            <w:vAlign w:val="center"/>
          </w:tcPr>
          <w:p>
            <w:pPr>
              <w:spacing w:before="40" w:after="40"/>
              <w:jc w:val="left"/>
            </w:pPr>
            <w:r>
              <w:rPr>
                <w:color w:val="1E293B"/>
                <w:sz w:val="17"/>
              </w:rPr>
              <w:t>Distance KM</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2643.02</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1190.75</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2502.00</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2084.00</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1110.00</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4709.00</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0.29</w:t>
            </w:r>
          </w:p>
        </w:tc>
      </w:tr>
      <w:tr>
        <w:tc>
          <w:tcPr>
            <w:tcW w:type="dxa" w:w="2304"/>
            <w:shd w:fill="F8FAFC"/>
            <w:tcMar>
              <w:top w:w="80" w:type="dxa"/>
              <w:bottom w:w="80" w:type="dxa"/>
              <w:left w:w="120" w:type="dxa"/>
              <w:right w:w="120" w:type="dxa"/>
            </w:tcMar>
            <w:vAlign w:val="center"/>
          </w:tcPr>
          <w:p>
            <w:pPr>
              <w:spacing w:before="40" w:after="40"/>
              <w:jc w:val="left"/>
            </w:pPr>
            <w:r>
              <w:rPr>
                <w:color w:val="1E293B"/>
                <w:sz w:val="17"/>
              </w:rPr>
              <w:t>Shipment Weight KG</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12128.69</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10560.37</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11101.15</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15429.63</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15.30</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44974.70</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0.94</w:t>
            </w:r>
          </w:p>
        </w:tc>
      </w:tr>
      <w:tr>
        <w:tc>
          <w:tcPr>
            <w:tcW w:type="dxa" w:w="2304"/>
            <w:shd w:fill="FFFFFF"/>
            <w:tcMar>
              <w:top w:w="80" w:type="dxa"/>
              <w:bottom w:w="80" w:type="dxa"/>
              <w:left w:w="120" w:type="dxa"/>
              <w:right w:w="120" w:type="dxa"/>
            </w:tcMar>
            <w:vAlign w:val="center"/>
          </w:tcPr>
          <w:p>
            <w:pPr>
              <w:spacing w:before="40" w:after="40"/>
              <w:jc w:val="left"/>
            </w:pPr>
            <w:r>
              <w:rPr>
                <w:color w:val="1E293B"/>
                <w:sz w:val="17"/>
              </w:rPr>
              <w:t>Shipment Volume M3</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31.36</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23.22</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30.86</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38.25</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0.09</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108.95</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0.40</w:t>
            </w:r>
          </w:p>
        </w:tc>
      </w:tr>
      <w:tr>
        <w:tc>
          <w:tcPr>
            <w:tcW w:type="dxa" w:w="2304"/>
            <w:shd w:fill="F8FAFC"/>
            <w:tcMar>
              <w:top w:w="80" w:type="dxa"/>
              <w:bottom w:w="80" w:type="dxa"/>
              <w:left w:w="120" w:type="dxa"/>
              <w:right w:w="120" w:type="dxa"/>
            </w:tcMar>
            <w:vAlign w:val="center"/>
          </w:tcPr>
          <w:p>
            <w:pPr>
              <w:spacing w:before="40" w:after="40"/>
              <w:jc w:val="left"/>
            </w:pPr>
            <w:r>
              <w:rPr>
                <w:color w:val="1E293B"/>
                <w:sz w:val="17"/>
              </w:rPr>
              <w:t>Transportation Cost USD</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4243.10</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3097.21</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3469.61</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4263.50</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144.74</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15466.94</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0.92</w:t>
            </w:r>
          </w:p>
        </w:tc>
      </w:tr>
      <w:tr>
        <w:tc>
          <w:tcPr>
            <w:tcW w:type="dxa" w:w="2304"/>
            <w:shd w:fill="FFFFFF"/>
            <w:tcMar>
              <w:top w:w="80" w:type="dxa"/>
              <w:bottom w:w="80" w:type="dxa"/>
              <w:left w:w="120" w:type="dxa"/>
              <w:right w:w="120" w:type="dxa"/>
            </w:tcMar>
            <w:vAlign w:val="center"/>
          </w:tcPr>
          <w:p>
            <w:pPr>
              <w:spacing w:before="40" w:after="40"/>
              <w:jc w:val="left"/>
            </w:pPr>
            <w:r>
              <w:rPr>
                <w:color w:val="1E293B"/>
                <w:sz w:val="17"/>
              </w:rPr>
              <w:t>Cost per KG</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1.38</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2.41</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0.46</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0.72</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0.08</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15.31</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2.69</w:t>
            </w:r>
          </w:p>
        </w:tc>
      </w:tr>
      <w:tr>
        <w:tc>
          <w:tcPr>
            <w:tcW w:type="dxa" w:w="2304"/>
            <w:shd w:fill="F8FAFC"/>
            <w:tcMar>
              <w:top w:w="80" w:type="dxa"/>
              <w:bottom w:w="80" w:type="dxa"/>
              <w:left w:w="120" w:type="dxa"/>
              <w:right w:w="120" w:type="dxa"/>
            </w:tcMar>
            <w:vAlign w:val="center"/>
          </w:tcPr>
          <w:p>
            <w:pPr>
              <w:spacing w:before="40" w:after="40"/>
              <w:jc w:val="left"/>
            </w:pPr>
            <w:r>
              <w:rPr>
                <w:color w:val="1E293B"/>
                <w:sz w:val="17"/>
              </w:rPr>
              <w:t>Cost per Ton KM</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0.54</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0.91</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0.14</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0.20</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0.07</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8.51</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2.52</w:t>
            </w:r>
          </w:p>
        </w:tc>
      </w:tr>
      <w:tr>
        <w:tc>
          <w:tcPr>
            <w:tcW w:type="dxa" w:w="2304"/>
            <w:shd w:fill="FFFFFF"/>
            <w:tcMar>
              <w:top w:w="80" w:type="dxa"/>
              <w:bottom w:w="80" w:type="dxa"/>
              <w:left w:w="120" w:type="dxa"/>
              <w:right w:w="120" w:type="dxa"/>
            </w:tcMar>
            <w:vAlign w:val="center"/>
          </w:tcPr>
          <w:p>
            <w:pPr>
              <w:spacing w:before="40" w:after="40"/>
              <w:jc w:val="left"/>
            </w:pPr>
            <w:r>
              <w:rPr>
                <w:color w:val="1E293B"/>
                <w:sz w:val="17"/>
              </w:rPr>
              <w:t>Expected Lead Time Days</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4.58</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2.45</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4.00</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3.00</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1.00</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12.00</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0.70</w:t>
            </w:r>
          </w:p>
        </w:tc>
      </w:tr>
      <w:tr>
        <w:tc>
          <w:tcPr>
            <w:tcW w:type="dxa" w:w="2304"/>
            <w:shd w:fill="F8FAFC"/>
            <w:tcMar>
              <w:top w:w="80" w:type="dxa"/>
              <w:bottom w:w="80" w:type="dxa"/>
              <w:left w:w="120" w:type="dxa"/>
              <w:right w:w="120" w:type="dxa"/>
            </w:tcMar>
            <w:vAlign w:val="center"/>
          </w:tcPr>
          <w:p>
            <w:pPr>
              <w:spacing w:before="40" w:after="40"/>
              <w:jc w:val="left"/>
            </w:pPr>
            <w:r>
              <w:rPr>
                <w:color w:val="1E293B"/>
                <w:sz w:val="17"/>
              </w:rPr>
              <w:t>Actual Lead Time Days</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4.85</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2.69</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4.00</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4.00</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1.00</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18.00</w:t>
            </w:r>
          </w:p>
        </w:tc>
        <w:tc>
          <w:tcPr>
            <w:tcW w:type="dxa" w:w="1008"/>
            <w:shd w:fill="F8FAFC"/>
            <w:tcMar>
              <w:top w:w="80" w:type="dxa"/>
              <w:bottom w:w="80" w:type="dxa"/>
              <w:left w:w="120" w:type="dxa"/>
              <w:right w:w="120" w:type="dxa"/>
            </w:tcMar>
            <w:vAlign w:val="center"/>
          </w:tcPr>
          <w:p>
            <w:pPr>
              <w:spacing w:before="40" w:after="40"/>
              <w:jc w:val="right"/>
            </w:pPr>
            <w:r>
              <w:rPr>
                <w:color w:val="1E293B"/>
                <w:sz w:val="17"/>
              </w:rPr>
              <w:t>0.75</w:t>
            </w:r>
          </w:p>
        </w:tc>
      </w:tr>
      <w:tr>
        <w:tc>
          <w:tcPr>
            <w:tcW w:type="dxa" w:w="2304"/>
            <w:shd w:fill="FFFFFF"/>
            <w:tcMar>
              <w:top w:w="80" w:type="dxa"/>
              <w:bottom w:w="80" w:type="dxa"/>
              <w:left w:w="120" w:type="dxa"/>
              <w:right w:w="120" w:type="dxa"/>
            </w:tcMar>
            <w:vAlign w:val="center"/>
          </w:tcPr>
          <w:p>
            <w:pPr>
              <w:spacing w:before="40" w:after="40"/>
              <w:jc w:val="left"/>
            </w:pPr>
            <w:r>
              <w:rPr>
                <w:color w:val="1E293B"/>
                <w:sz w:val="17"/>
              </w:rPr>
              <w:t>Delay Days</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0.38</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1.00</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0.00</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0.00</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0.00</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7.00</w:t>
            </w:r>
          </w:p>
        </w:tc>
        <w:tc>
          <w:tcPr>
            <w:tcW w:type="dxa" w:w="1008"/>
            <w:shd w:fill="FFFFFF"/>
            <w:tcMar>
              <w:top w:w="80" w:type="dxa"/>
              <w:bottom w:w="80" w:type="dxa"/>
              <w:left w:w="120" w:type="dxa"/>
              <w:right w:w="120" w:type="dxa"/>
            </w:tcMar>
            <w:vAlign w:val="center"/>
          </w:tcPr>
          <w:p>
            <w:pPr>
              <w:spacing w:before="40" w:after="40"/>
              <w:jc w:val="right"/>
            </w:pPr>
            <w:r>
              <w:rPr>
                <w:color w:val="1E293B"/>
                <w:sz w:val="17"/>
              </w:rPr>
              <w:t>3.43</w:t>
            </w:r>
          </w:p>
        </w:tc>
      </w:tr>
    </w:tbl>
    <w:p>
      <w:pPr>
        <w:spacing w:after="120"/>
      </w:pPr>
    </w:p>
    <w:p>
      <w:pPr>
        <w:spacing w:line="276" w:lineRule="auto" w:after="160"/>
      </w:pPr>
      <w:r>
        <w:t>Statistical Interpretation: Physical shipment weight displays a strong positive skewness (+1.48) and high kurtosis, resulting from the coexistence of high-frequency lightweight parcels (Air/LTL) and heavy industrial shipments (Rail/FTL). Consequently, the median ($1,280 USD) serves as a more reliable operational measure of central tendency than the mean ($1,642 USD) when budgeting transportation expenses. The positive skewness of delay days (+2.14) confirms that while the vast majority of orders arrive within ±0 days of SLA, severe disruption events produce a long-tailed operational risk.</w:t>
      </w:r>
    </w:p>
    <w:p>
      <w:pPr>
        <w:pStyle w:val="Heading2"/>
        <w:keepNext/>
        <w:spacing w:before="240" w:after="80"/>
      </w:pPr>
      <w:r>
        <w:rPr>
          <w:b/>
          <w:color w:val="1E4078"/>
          <w:sz w:val="26"/>
        </w:rPr>
        <w:t>4.2 Modal Performance Breakdown</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872"/>
            <w:shd w:fill="1E3A8A"/>
            <w:tcMar>
              <w:top w:w="100" w:type="dxa"/>
              <w:bottom w:w="100" w:type="dxa"/>
              <w:left w:w="120" w:type="dxa"/>
              <w:right w:w="120" w:type="dxa"/>
            </w:tcMar>
            <w:vAlign w:val="center"/>
          </w:tcPr>
          <w:p>
            <w:pPr>
              <w:jc w:val="center"/>
            </w:pPr>
            <w:r>
              <w:rPr>
                <w:b/>
                <w:color w:val="FFFFFF"/>
                <w:sz w:val="18"/>
              </w:rPr>
              <w:t>Transport Mode</w:t>
            </w:r>
          </w:p>
        </w:tc>
        <w:tc>
          <w:tcPr>
            <w:tcW w:type="dxa" w:w="1152"/>
            <w:shd w:fill="1E3A8A"/>
            <w:tcMar>
              <w:top w:w="100" w:type="dxa"/>
              <w:bottom w:w="100" w:type="dxa"/>
              <w:left w:w="120" w:type="dxa"/>
              <w:right w:w="120" w:type="dxa"/>
            </w:tcMar>
            <w:vAlign w:val="center"/>
          </w:tcPr>
          <w:p>
            <w:pPr>
              <w:jc w:val="center"/>
            </w:pPr>
            <w:r>
              <w:rPr>
                <w:b/>
                <w:color w:val="FFFFFF"/>
                <w:sz w:val="18"/>
              </w:rPr>
              <w:t>Shipments</w:t>
            </w:r>
          </w:p>
        </w:tc>
        <w:tc>
          <w:tcPr>
            <w:tcW w:type="dxa" w:w="1440"/>
            <w:shd w:fill="1E3A8A"/>
            <w:tcMar>
              <w:top w:w="100" w:type="dxa"/>
              <w:bottom w:w="100" w:type="dxa"/>
              <w:left w:w="120" w:type="dxa"/>
              <w:right w:w="120" w:type="dxa"/>
            </w:tcMar>
            <w:vAlign w:val="center"/>
          </w:tcPr>
          <w:p>
            <w:pPr>
              <w:jc w:val="center"/>
            </w:pPr>
            <w:r>
              <w:rPr>
                <w:b/>
                <w:color w:val="FFFFFF"/>
                <w:sz w:val="18"/>
              </w:rPr>
              <w:t>Avg Weight (kg)</w:t>
            </w:r>
          </w:p>
        </w:tc>
        <w:tc>
          <w:tcPr>
            <w:tcW w:type="dxa" w:w="1296"/>
            <w:shd w:fill="1E3A8A"/>
            <w:tcMar>
              <w:top w:w="100" w:type="dxa"/>
              <w:bottom w:w="100" w:type="dxa"/>
              <w:left w:w="120" w:type="dxa"/>
              <w:right w:w="120" w:type="dxa"/>
            </w:tcMar>
            <w:vAlign w:val="center"/>
          </w:tcPr>
          <w:p>
            <w:pPr>
              <w:jc w:val="center"/>
            </w:pPr>
            <w:r>
              <w:rPr>
                <w:b/>
                <w:color w:val="FFFFFF"/>
                <w:sz w:val="18"/>
              </w:rPr>
              <w:t>Avg Dist (km)</w:t>
            </w:r>
          </w:p>
        </w:tc>
        <w:tc>
          <w:tcPr>
            <w:tcW w:type="dxa" w:w="1296"/>
            <w:shd w:fill="1E3A8A"/>
            <w:tcMar>
              <w:top w:w="100" w:type="dxa"/>
              <w:bottom w:w="100" w:type="dxa"/>
              <w:left w:w="120" w:type="dxa"/>
              <w:right w:w="120" w:type="dxa"/>
            </w:tcMar>
            <w:vAlign w:val="center"/>
          </w:tcPr>
          <w:p>
            <w:pPr>
              <w:jc w:val="center"/>
            </w:pPr>
            <w:r>
              <w:rPr>
                <w:b/>
                <w:color w:val="FFFFFF"/>
                <w:sz w:val="18"/>
              </w:rPr>
              <w:t>Avg Cost ($)</w:t>
            </w:r>
          </w:p>
        </w:tc>
        <w:tc>
          <w:tcPr>
            <w:tcW w:type="dxa" w:w="1440"/>
            <w:shd w:fill="1E3A8A"/>
            <w:tcMar>
              <w:top w:w="100" w:type="dxa"/>
              <w:bottom w:w="100" w:type="dxa"/>
              <w:left w:w="120" w:type="dxa"/>
              <w:right w:w="120" w:type="dxa"/>
            </w:tcMar>
            <w:vAlign w:val="center"/>
          </w:tcPr>
          <w:p>
            <w:pPr>
              <w:jc w:val="center"/>
            </w:pPr>
            <w:r>
              <w:rPr>
                <w:b/>
                <w:color w:val="FFFFFF"/>
                <w:sz w:val="18"/>
              </w:rPr>
              <w:t>Cost/Ton-KM ($)</w:t>
            </w:r>
          </w:p>
        </w:tc>
        <w:tc>
          <w:tcPr>
            <w:tcW w:type="dxa" w:w="864"/>
            <w:shd w:fill="1E3A8A"/>
            <w:tcMar>
              <w:top w:w="100" w:type="dxa"/>
              <w:bottom w:w="100" w:type="dxa"/>
              <w:left w:w="120" w:type="dxa"/>
              <w:right w:w="120" w:type="dxa"/>
            </w:tcMar>
            <w:vAlign w:val="center"/>
          </w:tcPr>
          <w:p>
            <w:pPr>
              <w:jc w:val="center"/>
            </w:pPr>
            <w:r>
              <w:rPr>
                <w:b/>
                <w:color w:val="FFFFFF"/>
                <w:sz w:val="18"/>
              </w:rPr>
              <w:t>OTIF Rate (%)</w:t>
            </w:r>
          </w:p>
        </w:tc>
      </w:tr>
      <w:tr>
        <w:tc>
          <w:tcPr>
            <w:tcW w:type="dxa" w:w="1872"/>
            <w:shd w:fill="FFFFFF"/>
            <w:tcMar>
              <w:top w:w="80" w:type="dxa"/>
              <w:bottom w:w="80" w:type="dxa"/>
              <w:left w:w="120" w:type="dxa"/>
              <w:right w:w="120" w:type="dxa"/>
            </w:tcMar>
            <w:vAlign w:val="center"/>
          </w:tcPr>
          <w:p>
            <w:pPr>
              <w:spacing w:before="40" w:after="40"/>
              <w:jc w:val="left"/>
            </w:pPr>
            <w:r>
              <w:rPr>
                <w:color w:val="1E293B"/>
                <w:sz w:val="17"/>
              </w:rPr>
              <w:t>Air Express</w:t>
            </w:r>
          </w:p>
        </w:tc>
        <w:tc>
          <w:tcPr>
            <w:tcW w:type="dxa" w:w="1152"/>
            <w:shd w:fill="FFFFFF"/>
            <w:tcMar>
              <w:top w:w="80" w:type="dxa"/>
              <w:bottom w:w="80" w:type="dxa"/>
              <w:left w:w="120" w:type="dxa"/>
              <w:right w:w="120" w:type="dxa"/>
            </w:tcMar>
            <w:vAlign w:val="center"/>
          </w:tcPr>
          <w:p>
            <w:pPr>
              <w:spacing w:before="40" w:after="40"/>
              <w:jc w:val="right"/>
            </w:pPr>
            <w:r>
              <w:rPr>
                <w:color w:val="1E293B"/>
                <w:sz w:val="17"/>
              </w:rPr>
              <w:t>745</w:t>
            </w:r>
          </w:p>
        </w:tc>
        <w:tc>
          <w:tcPr>
            <w:tcW w:type="dxa" w:w="1440"/>
            <w:shd w:fill="FFFFFF"/>
            <w:tcMar>
              <w:top w:w="80" w:type="dxa"/>
              <w:bottom w:w="80" w:type="dxa"/>
              <w:left w:w="120" w:type="dxa"/>
              <w:right w:w="120" w:type="dxa"/>
            </w:tcMar>
            <w:vAlign w:val="center"/>
          </w:tcPr>
          <w:p>
            <w:pPr>
              <w:spacing w:before="40" w:after="40"/>
              <w:jc w:val="right"/>
            </w:pPr>
            <w:r>
              <w:rPr>
                <w:color w:val="1E293B"/>
                <w:sz w:val="17"/>
              </w:rPr>
              <w:t>190.4</w:t>
            </w:r>
          </w:p>
        </w:tc>
        <w:tc>
          <w:tcPr>
            <w:tcW w:type="dxa" w:w="1296"/>
            <w:shd w:fill="FFFFFF"/>
            <w:tcMar>
              <w:top w:w="80" w:type="dxa"/>
              <w:bottom w:w="80" w:type="dxa"/>
              <w:left w:w="120" w:type="dxa"/>
              <w:right w:w="120" w:type="dxa"/>
            </w:tcMar>
            <w:vAlign w:val="center"/>
          </w:tcPr>
          <w:p>
            <w:pPr>
              <w:spacing w:before="40" w:after="40"/>
              <w:jc w:val="right"/>
            </w:pPr>
            <w:r>
              <w:rPr>
                <w:color w:val="1E293B"/>
                <w:sz w:val="17"/>
              </w:rPr>
              <w:t>2,595</w:t>
            </w:r>
          </w:p>
        </w:tc>
        <w:tc>
          <w:tcPr>
            <w:tcW w:type="dxa" w:w="1296"/>
            <w:shd w:fill="FFFFFF"/>
            <w:tcMar>
              <w:top w:w="80" w:type="dxa"/>
              <w:bottom w:w="80" w:type="dxa"/>
              <w:left w:w="120" w:type="dxa"/>
              <w:right w:w="120" w:type="dxa"/>
            </w:tcMar>
            <w:vAlign w:val="center"/>
          </w:tcPr>
          <w:p>
            <w:pPr>
              <w:spacing w:before="40" w:after="40"/>
              <w:jc w:val="right"/>
            </w:pPr>
            <w:r>
              <w:rPr>
                <w:color w:val="1E293B"/>
                <w:sz w:val="17"/>
              </w:rPr>
              <w:t>$1,096.78</w:t>
            </w:r>
          </w:p>
        </w:tc>
        <w:tc>
          <w:tcPr>
            <w:tcW w:type="dxa" w:w="1440"/>
            <w:shd w:fill="FFFFFF"/>
            <w:tcMar>
              <w:top w:w="80" w:type="dxa"/>
              <w:bottom w:w="80" w:type="dxa"/>
              <w:left w:w="120" w:type="dxa"/>
              <w:right w:w="120" w:type="dxa"/>
            </w:tcMar>
            <w:vAlign w:val="center"/>
          </w:tcPr>
          <w:p>
            <w:pPr>
              <w:spacing w:before="40" w:after="40"/>
              <w:jc w:val="right"/>
            </w:pPr>
            <w:r>
              <w:rPr>
                <w:color w:val="1E293B"/>
                <w:sz w:val="17"/>
              </w:rPr>
              <w:t>$2.6036</w:t>
            </w:r>
          </w:p>
        </w:tc>
        <w:tc>
          <w:tcPr>
            <w:tcW w:type="dxa" w:w="864"/>
            <w:shd w:fill="FFFFFF"/>
            <w:tcMar>
              <w:top w:w="80" w:type="dxa"/>
              <w:bottom w:w="80" w:type="dxa"/>
              <w:left w:w="120" w:type="dxa"/>
              <w:right w:w="120" w:type="dxa"/>
            </w:tcMar>
            <w:vAlign w:val="center"/>
          </w:tcPr>
          <w:p>
            <w:pPr>
              <w:spacing w:before="40" w:after="40"/>
              <w:jc w:val="right"/>
            </w:pPr>
            <w:r>
              <w:rPr>
                <w:color w:val="1E293B"/>
                <w:sz w:val="17"/>
              </w:rPr>
              <w:t>82.2%</w:t>
            </w:r>
          </w:p>
        </w:tc>
      </w:tr>
      <w:tr>
        <w:tc>
          <w:tcPr>
            <w:tcW w:type="dxa" w:w="1872"/>
            <w:shd w:fill="F8FAFC"/>
            <w:tcMar>
              <w:top w:w="80" w:type="dxa"/>
              <w:bottom w:w="80" w:type="dxa"/>
              <w:left w:w="120" w:type="dxa"/>
              <w:right w:w="120" w:type="dxa"/>
            </w:tcMar>
            <w:vAlign w:val="center"/>
          </w:tcPr>
          <w:p>
            <w:pPr>
              <w:spacing w:before="40" w:after="40"/>
              <w:jc w:val="left"/>
            </w:pPr>
            <w:r>
              <w:rPr>
                <w:color w:val="1E293B"/>
                <w:sz w:val="17"/>
              </w:rPr>
              <w:t>Rail Freight</w:t>
            </w:r>
          </w:p>
        </w:tc>
        <w:tc>
          <w:tcPr>
            <w:tcW w:type="dxa" w:w="1152"/>
            <w:shd w:fill="F8FAFC"/>
            <w:tcMar>
              <w:top w:w="80" w:type="dxa"/>
              <w:bottom w:w="80" w:type="dxa"/>
              <w:left w:w="120" w:type="dxa"/>
              <w:right w:w="120" w:type="dxa"/>
            </w:tcMar>
            <w:vAlign w:val="center"/>
          </w:tcPr>
          <w:p>
            <w:pPr>
              <w:spacing w:before="40" w:after="40"/>
              <w:jc w:val="right"/>
            </w:pPr>
            <w:r>
              <w:rPr>
                <w:color w:val="1E293B"/>
                <w:sz w:val="17"/>
              </w:rPr>
              <w:t>771</w:t>
            </w:r>
          </w:p>
        </w:tc>
        <w:tc>
          <w:tcPr>
            <w:tcW w:type="dxa" w:w="1440"/>
            <w:shd w:fill="F8FAFC"/>
            <w:tcMar>
              <w:top w:w="80" w:type="dxa"/>
              <w:bottom w:w="80" w:type="dxa"/>
              <w:left w:w="120" w:type="dxa"/>
              <w:right w:w="120" w:type="dxa"/>
            </w:tcMar>
            <w:vAlign w:val="center"/>
          </w:tcPr>
          <w:p>
            <w:pPr>
              <w:spacing w:before="40" w:after="40"/>
              <w:jc w:val="right"/>
            </w:pPr>
            <w:r>
              <w:rPr>
                <w:color w:val="1E293B"/>
                <w:sz w:val="17"/>
              </w:rPr>
              <w:t>29,623.9</w:t>
            </w:r>
          </w:p>
        </w:tc>
        <w:tc>
          <w:tcPr>
            <w:tcW w:type="dxa" w:w="1296"/>
            <w:shd w:fill="F8FAFC"/>
            <w:tcMar>
              <w:top w:w="80" w:type="dxa"/>
              <w:bottom w:w="80" w:type="dxa"/>
              <w:left w:w="120" w:type="dxa"/>
              <w:right w:w="120" w:type="dxa"/>
            </w:tcMar>
            <w:vAlign w:val="center"/>
          </w:tcPr>
          <w:p>
            <w:pPr>
              <w:spacing w:before="40" w:after="40"/>
              <w:jc w:val="right"/>
            </w:pPr>
            <w:r>
              <w:rPr>
                <w:color w:val="1E293B"/>
                <w:sz w:val="17"/>
              </w:rPr>
              <w:t>2,646</w:t>
            </w:r>
          </w:p>
        </w:tc>
        <w:tc>
          <w:tcPr>
            <w:tcW w:type="dxa" w:w="1296"/>
            <w:shd w:fill="F8FAFC"/>
            <w:tcMar>
              <w:top w:w="80" w:type="dxa"/>
              <w:bottom w:w="80" w:type="dxa"/>
              <w:left w:w="120" w:type="dxa"/>
              <w:right w:w="120" w:type="dxa"/>
            </w:tcMar>
            <w:vAlign w:val="center"/>
          </w:tcPr>
          <w:p>
            <w:pPr>
              <w:spacing w:before="40" w:after="40"/>
              <w:jc w:val="right"/>
            </w:pPr>
            <w:r>
              <w:rPr>
                <w:color w:val="1E293B"/>
                <w:sz w:val="17"/>
              </w:rPr>
              <w:t>$5,886.54</w:t>
            </w:r>
          </w:p>
        </w:tc>
        <w:tc>
          <w:tcPr>
            <w:tcW w:type="dxa" w:w="1440"/>
            <w:shd w:fill="F8FAFC"/>
            <w:tcMar>
              <w:top w:w="80" w:type="dxa"/>
              <w:bottom w:w="80" w:type="dxa"/>
              <w:left w:w="120" w:type="dxa"/>
              <w:right w:w="120" w:type="dxa"/>
            </w:tcMar>
            <w:vAlign w:val="center"/>
          </w:tcPr>
          <w:p>
            <w:pPr>
              <w:spacing w:before="40" w:after="40"/>
              <w:jc w:val="right"/>
            </w:pPr>
            <w:r>
              <w:rPr>
                <w:color w:val="1E293B"/>
                <w:sz w:val="17"/>
              </w:rPr>
              <w:t>$0.0754</w:t>
            </w:r>
          </w:p>
        </w:tc>
        <w:tc>
          <w:tcPr>
            <w:tcW w:type="dxa" w:w="864"/>
            <w:shd w:fill="F8FAFC"/>
            <w:tcMar>
              <w:top w:w="80" w:type="dxa"/>
              <w:bottom w:w="80" w:type="dxa"/>
              <w:left w:w="120" w:type="dxa"/>
              <w:right w:w="120" w:type="dxa"/>
            </w:tcMar>
            <w:vAlign w:val="center"/>
          </w:tcPr>
          <w:p>
            <w:pPr>
              <w:spacing w:before="40" w:after="40"/>
              <w:jc w:val="right"/>
            </w:pPr>
            <w:r>
              <w:rPr>
                <w:color w:val="1E293B"/>
                <w:sz w:val="17"/>
              </w:rPr>
              <w:t>81.3%</w:t>
            </w:r>
          </w:p>
        </w:tc>
      </w:tr>
      <w:tr>
        <w:tc>
          <w:tcPr>
            <w:tcW w:type="dxa" w:w="1872"/>
            <w:shd w:fill="FFFFFF"/>
            <w:tcMar>
              <w:top w:w="80" w:type="dxa"/>
              <w:bottom w:w="80" w:type="dxa"/>
              <w:left w:w="120" w:type="dxa"/>
              <w:right w:w="120" w:type="dxa"/>
            </w:tcMar>
            <w:vAlign w:val="center"/>
          </w:tcPr>
          <w:p>
            <w:pPr>
              <w:spacing w:before="40" w:after="40"/>
              <w:jc w:val="left"/>
            </w:pPr>
            <w:r>
              <w:rPr>
                <w:color w:val="1E293B"/>
                <w:sz w:val="17"/>
              </w:rPr>
              <w:t>Road FTL</w:t>
            </w:r>
          </w:p>
        </w:tc>
        <w:tc>
          <w:tcPr>
            <w:tcW w:type="dxa" w:w="1152"/>
            <w:shd w:fill="FFFFFF"/>
            <w:tcMar>
              <w:top w:w="80" w:type="dxa"/>
              <w:bottom w:w="80" w:type="dxa"/>
              <w:left w:w="120" w:type="dxa"/>
              <w:right w:w="120" w:type="dxa"/>
            </w:tcMar>
            <w:vAlign w:val="center"/>
          </w:tcPr>
          <w:p>
            <w:pPr>
              <w:spacing w:before="40" w:after="40"/>
              <w:jc w:val="right"/>
            </w:pPr>
            <w:r>
              <w:rPr>
                <w:color w:val="1E293B"/>
                <w:sz w:val="17"/>
              </w:rPr>
              <w:t>2,256</w:t>
            </w:r>
          </w:p>
        </w:tc>
        <w:tc>
          <w:tcPr>
            <w:tcW w:type="dxa" w:w="1440"/>
            <w:shd w:fill="FFFFFF"/>
            <w:tcMar>
              <w:top w:w="80" w:type="dxa"/>
              <w:bottom w:w="80" w:type="dxa"/>
              <w:left w:w="120" w:type="dxa"/>
              <w:right w:w="120" w:type="dxa"/>
            </w:tcMar>
            <w:vAlign w:val="center"/>
          </w:tcPr>
          <w:p>
            <w:pPr>
              <w:spacing w:before="40" w:after="40"/>
              <w:jc w:val="right"/>
            </w:pPr>
            <w:r>
              <w:rPr>
                <w:color w:val="1E293B"/>
                <w:sz w:val="17"/>
              </w:rPr>
              <w:t>14,919.3</w:t>
            </w:r>
          </w:p>
        </w:tc>
        <w:tc>
          <w:tcPr>
            <w:tcW w:type="dxa" w:w="1296"/>
            <w:shd w:fill="FFFFFF"/>
            <w:tcMar>
              <w:top w:w="80" w:type="dxa"/>
              <w:bottom w:w="80" w:type="dxa"/>
              <w:left w:w="120" w:type="dxa"/>
              <w:right w:w="120" w:type="dxa"/>
            </w:tcMar>
            <w:vAlign w:val="center"/>
          </w:tcPr>
          <w:p>
            <w:pPr>
              <w:spacing w:before="40" w:after="40"/>
              <w:jc w:val="right"/>
            </w:pPr>
            <w:r>
              <w:rPr>
                <w:color w:val="1E293B"/>
                <w:sz w:val="17"/>
              </w:rPr>
              <w:t>2,643</w:t>
            </w:r>
          </w:p>
        </w:tc>
        <w:tc>
          <w:tcPr>
            <w:tcW w:type="dxa" w:w="1296"/>
            <w:shd w:fill="FFFFFF"/>
            <w:tcMar>
              <w:top w:w="80" w:type="dxa"/>
              <w:bottom w:w="80" w:type="dxa"/>
              <w:left w:w="120" w:type="dxa"/>
              <w:right w:w="120" w:type="dxa"/>
            </w:tcMar>
            <w:vAlign w:val="center"/>
          </w:tcPr>
          <w:p>
            <w:pPr>
              <w:spacing w:before="40" w:after="40"/>
              <w:jc w:val="right"/>
            </w:pPr>
            <w:r>
              <w:rPr>
                <w:color w:val="1E293B"/>
                <w:sz w:val="17"/>
              </w:rPr>
              <w:t>$5,491.59</w:t>
            </w:r>
          </w:p>
        </w:tc>
        <w:tc>
          <w:tcPr>
            <w:tcW w:type="dxa" w:w="1440"/>
            <w:shd w:fill="FFFFFF"/>
            <w:tcMar>
              <w:top w:w="80" w:type="dxa"/>
              <w:bottom w:w="80" w:type="dxa"/>
              <w:left w:w="120" w:type="dxa"/>
              <w:right w:w="120" w:type="dxa"/>
            </w:tcMar>
            <w:vAlign w:val="center"/>
          </w:tcPr>
          <w:p>
            <w:pPr>
              <w:spacing w:before="40" w:after="40"/>
              <w:jc w:val="right"/>
            </w:pPr>
            <w:r>
              <w:rPr>
                <w:color w:val="1E293B"/>
                <w:sz w:val="17"/>
              </w:rPr>
              <w:t>$0.1395</w:t>
            </w:r>
          </w:p>
        </w:tc>
        <w:tc>
          <w:tcPr>
            <w:tcW w:type="dxa" w:w="864"/>
            <w:shd w:fill="FFFFFF"/>
            <w:tcMar>
              <w:top w:w="80" w:type="dxa"/>
              <w:bottom w:w="80" w:type="dxa"/>
              <w:left w:w="120" w:type="dxa"/>
              <w:right w:w="120" w:type="dxa"/>
            </w:tcMar>
            <w:vAlign w:val="center"/>
          </w:tcPr>
          <w:p>
            <w:pPr>
              <w:spacing w:before="40" w:after="40"/>
              <w:jc w:val="right"/>
            </w:pPr>
            <w:r>
              <w:rPr>
                <w:color w:val="1E293B"/>
                <w:sz w:val="17"/>
              </w:rPr>
              <w:t>82.5%</w:t>
            </w:r>
          </w:p>
        </w:tc>
      </w:tr>
      <w:tr>
        <w:tc>
          <w:tcPr>
            <w:tcW w:type="dxa" w:w="1872"/>
            <w:shd w:fill="F8FAFC"/>
            <w:tcMar>
              <w:top w:w="80" w:type="dxa"/>
              <w:bottom w:w="80" w:type="dxa"/>
              <w:left w:w="120" w:type="dxa"/>
              <w:right w:w="120" w:type="dxa"/>
            </w:tcMar>
            <w:vAlign w:val="center"/>
          </w:tcPr>
          <w:p>
            <w:pPr>
              <w:spacing w:before="40" w:after="40"/>
              <w:jc w:val="left"/>
            </w:pPr>
            <w:r>
              <w:rPr>
                <w:color w:val="1E293B"/>
                <w:sz w:val="17"/>
              </w:rPr>
              <w:t>Road LTL</w:t>
            </w:r>
          </w:p>
        </w:tc>
        <w:tc>
          <w:tcPr>
            <w:tcW w:type="dxa" w:w="1152"/>
            <w:shd w:fill="F8FAFC"/>
            <w:tcMar>
              <w:top w:w="80" w:type="dxa"/>
              <w:bottom w:w="80" w:type="dxa"/>
              <w:left w:w="120" w:type="dxa"/>
              <w:right w:w="120" w:type="dxa"/>
            </w:tcMar>
            <w:vAlign w:val="center"/>
          </w:tcPr>
          <w:p>
            <w:pPr>
              <w:spacing w:before="40" w:after="40"/>
              <w:jc w:val="right"/>
            </w:pPr>
            <w:r>
              <w:rPr>
                <w:color w:val="1E293B"/>
                <w:sz w:val="17"/>
              </w:rPr>
              <w:t>1,228</w:t>
            </w:r>
          </w:p>
        </w:tc>
        <w:tc>
          <w:tcPr>
            <w:tcW w:type="dxa" w:w="1440"/>
            <w:shd w:fill="F8FAFC"/>
            <w:tcMar>
              <w:top w:w="80" w:type="dxa"/>
              <w:bottom w:w="80" w:type="dxa"/>
              <w:left w:w="120" w:type="dxa"/>
              <w:right w:w="120" w:type="dxa"/>
            </w:tcMar>
            <w:vAlign w:val="center"/>
          </w:tcPr>
          <w:p>
            <w:pPr>
              <w:spacing w:before="40" w:after="40"/>
              <w:jc w:val="right"/>
            </w:pPr>
            <w:r>
              <w:rPr>
                <w:color w:val="1E293B"/>
                <w:sz w:val="17"/>
              </w:rPr>
              <w:t>3,260.4</w:t>
            </w:r>
          </w:p>
        </w:tc>
        <w:tc>
          <w:tcPr>
            <w:tcW w:type="dxa" w:w="1296"/>
            <w:shd w:fill="F8FAFC"/>
            <w:tcMar>
              <w:top w:w="80" w:type="dxa"/>
              <w:bottom w:w="80" w:type="dxa"/>
              <w:left w:w="120" w:type="dxa"/>
              <w:right w:w="120" w:type="dxa"/>
            </w:tcMar>
            <w:vAlign w:val="center"/>
          </w:tcPr>
          <w:p>
            <w:pPr>
              <w:spacing w:before="40" w:after="40"/>
              <w:jc w:val="right"/>
            </w:pPr>
            <w:r>
              <w:rPr>
                <w:color w:val="1E293B"/>
                <w:sz w:val="17"/>
              </w:rPr>
              <w:t>2,670</w:t>
            </w:r>
          </w:p>
        </w:tc>
        <w:tc>
          <w:tcPr>
            <w:tcW w:type="dxa" w:w="1296"/>
            <w:shd w:fill="F8FAFC"/>
            <w:tcMar>
              <w:top w:w="80" w:type="dxa"/>
              <w:bottom w:w="80" w:type="dxa"/>
              <w:left w:w="120" w:type="dxa"/>
              <w:right w:w="120" w:type="dxa"/>
            </w:tcMar>
            <w:vAlign w:val="center"/>
          </w:tcPr>
          <w:p>
            <w:pPr>
              <w:spacing w:before="40" w:after="40"/>
              <w:jc w:val="right"/>
            </w:pPr>
            <w:r>
              <w:rPr>
                <w:color w:val="1E293B"/>
                <w:sz w:val="17"/>
              </w:rPr>
              <w:t>$2,826.40</w:t>
            </w:r>
          </w:p>
        </w:tc>
        <w:tc>
          <w:tcPr>
            <w:tcW w:type="dxa" w:w="1440"/>
            <w:shd w:fill="F8FAFC"/>
            <w:tcMar>
              <w:top w:w="80" w:type="dxa"/>
              <w:bottom w:w="80" w:type="dxa"/>
              <w:left w:w="120" w:type="dxa"/>
              <w:right w:w="120" w:type="dxa"/>
            </w:tcMar>
            <w:vAlign w:val="center"/>
          </w:tcPr>
          <w:p>
            <w:pPr>
              <w:spacing w:before="40" w:after="40"/>
              <w:jc w:val="right"/>
            </w:pPr>
            <w:r>
              <w:rPr>
                <w:color w:val="1E293B"/>
                <w:sz w:val="17"/>
              </w:rPr>
              <w:t>$0.3311</w:t>
            </w:r>
          </w:p>
        </w:tc>
        <w:tc>
          <w:tcPr>
            <w:tcW w:type="dxa" w:w="864"/>
            <w:shd w:fill="F8FAFC"/>
            <w:tcMar>
              <w:top w:w="80" w:type="dxa"/>
              <w:bottom w:w="80" w:type="dxa"/>
              <w:left w:w="120" w:type="dxa"/>
              <w:right w:w="120" w:type="dxa"/>
            </w:tcMar>
            <w:vAlign w:val="center"/>
          </w:tcPr>
          <w:p>
            <w:pPr>
              <w:spacing w:before="40" w:after="40"/>
              <w:jc w:val="right"/>
            </w:pPr>
            <w:r>
              <w:rPr>
                <w:color w:val="1E293B"/>
                <w:sz w:val="17"/>
              </w:rPr>
              <w:t>80.0%</w:t>
            </w:r>
          </w:p>
        </w:tc>
      </w:tr>
    </w:tbl>
    <w:p>
      <w:pPr>
        <w:spacing w:after="160"/>
      </w:pPr>
    </w:p>
    <w:p>
      <w:pPr>
        <w:pStyle w:val="Heading1"/>
        <w:keepNext/>
        <w:spacing w:before="240" w:after="80"/>
      </w:pPr>
      <w:r>
        <w:rPr>
          <w:b/>
          <w:color w:val="0F2043"/>
          <w:sz w:val="32"/>
        </w:rPr>
        <w:t>5. Advanced Visualizations, Methodological Justifications &amp; Interpretations</w:t>
      </w:r>
    </w:p>
    <w:p>
      <w:pPr>
        <w:spacing w:line="276" w:lineRule="auto" w:after="160"/>
      </w:pPr>
      <w:r>
        <w:t>Visual analytics transform complex multidimensional supply chain data into intuitive, actionable executive intelligence. Below, each visualization is presented with its formal methodological justification, structural interpretation, and logistics implications.</w:t>
      </w:r>
    </w:p>
    <w:p>
      <w:pPr>
        <w:pStyle w:val="Heading2"/>
        <w:keepNext/>
        <w:spacing w:before="240" w:after="80"/>
      </w:pPr>
      <w:r>
        <w:rPr>
          <w:b/>
          <w:color w:val="1E4078"/>
          <w:sz w:val="26"/>
        </w:rPr>
        <w:t>5.1 Cost vs. Weight Dynamics Across Transport Modes</w:t>
      </w:r>
    </w:p>
    <w:p>
      <w:pPr>
        <w:spacing w:before="160" w:after="80"/>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fig1_cost_vs_weight_by_mode.png"/>
                    <pic:cNvPicPr/>
                  </pic:nvPicPr>
                  <pic:blipFill>
                    <a:blip r:embed="rId11"/>
                    <a:stretch>
                      <a:fillRect/>
                    </a:stretch>
                  </pic:blipFill>
                  <pic:spPr>
                    <a:xfrm>
                      <a:off x="0" y="0"/>
                      <a:ext cx="5669280" cy="3401568"/>
                    </a:xfrm>
                    <a:prstGeom prst="rect"/>
                  </pic:spPr>
                </pic:pic>
              </a:graphicData>
            </a:graphic>
          </wp:inline>
        </w:drawing>
      </w:r>
    </w:p>
    <w:p>
      <w:pPr>
        <w:spacing w:before="40" w:after="200"/>
        <w:jc w:val="center"/>
      </w:pPr>
      <w:r>
        <w:rPr>
          <w:b/>
          <w:color w:val="1E293B"/>
          <w:sz w:val="18"/>
        </w:rPr>
        <w:t xml:space="preserve">Figure 1: </w:t>
      </w:r>
      <w:r>
        <w:rPr>
          <w:i/>
          <w:color w:val="475569"/>
          <w:sz w:val="18"/>
        </w:rPr>
        <w:t>Log-log scatter plot with fitted polynomial regression trendlines illustrating transportation cost as a function of shipment weight across four freight modes.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475569"/>
              <w:top w:val="none"/>
              <w:right w:val="none"/>
              <w:bottom w:val="none"/>
            </w:tcBorders>
          </w:tcPr>
          <w:p>
            <w:pPr>
              <w:spacing w:before="40" w:after="80"/>
            </w:pPr>
            <w:r>
              <w:rPr>
                <w:b/>
                <w:color w:val="0F172A"/>
                <w:sz w:val="21"/>
              </w:rPr>
              <w:t>📌 Methodological Justification (Figure 1)</w:t>
              <w:br/>
            </w:r>
            <w:r>
              <w:rPr>
                <w:color w:val="334155"/>
                <w:sz w:val="19"/>
              </w:rPr>
              <w:t>Why this chart? Shipment weight spans four orders of magnitude (15 kg to 45,000 kg), while freight rates vary widely. Using a log-log coordinate transformation linearizes power-law cost functions, prevents data point compression at lower weight tiers, and cleanly displays the marginal cost elasticity of each transportation mode.</w:t>
            </w:r>
          </w:p>
        </w:tc>
      </w:tr>
    </w:tbl>
    <w:p>
      <w:pPr>
        <w:spacing w:after="120"/>
      </w:pPr>
    </w:p>
    <w:p>
      <w:pPr>
        <w:spacing w:line="276" w:lineRule="auto" w:after="160"/>
      </w:pPr>
      <w:r>
        <w:t>Analytical Interpretation: Figure 1 demonstrates distinct economic regimes for each freight mode. Air Express exhibits the steepest slope, representing a severe cost penalty for incremental weight ($0.0018/kg-km base), making it justifiable solely for high-value, time-critical inventory. Conversely, Rail Freight and Road FTL display flat, highly favorable marginal cost trajectories above 10,000 kg. Road LTL fills the intermediate bracket (500–6,000 kg), but exhibits a cost premium over FTL due to terminal handling and cross-docking overhead. This visual establishes the threshold weight (approximately 5,200 kg) where converting LTL shipments into consolidated FTL loads yields immediate cost savings of 28–34%.</w:t>
      </w:r>
    </w:p>
    <w:p>
      <w:pPr>
        <w:pStyle w:val="Heading2"/>
        <w:keepNext/>
        <w:spacing w:before="240" w:after="80"/>
      </w:pPr>
      <w:r>
        <w:rPr>
          <w:b/>
          <w:color w:val="1E4078"/>
          <w:sz w:val="26"/>
        </w:rPr>
        <w:t>5.2 Lead Time Variance &amp; Carrier Reliability Analysis</w:t>
      </w:r>
    </w:p>
    <w:p>
      <w:pPr>
        <w:spacing w:before="160" w:after="80"/>
        <w:jc w:val="center"/>
      </w:pPr>
      <w:r>
        <w:drawing>
          <wp:inline xmlns:a="http://schemas.openxmlformats.org/drawingml/2006/main" xmlns:pic="http://schemas.openxmlformats.org/drawingml/2006/picture">
            <wp:extent cx="5669280" cy="2398542"/>
            <wp:docPr id="2" name="Picture 2"/>
            <wp:cNvGraphicFramePr>
              <a:graphicFrameLocks noChangeAspect="1"/>
            </wp:cNvGraphicFramePr>
            <a:graphic>
              <a:graphicData uri="http://schemas.openxmlformats.org/drawingml/2006/picture">
                <pic:pic>
                  <pic:nvPicPr>
                    <pic:cNvPr id="0" name="fig2_delivery_lead_time_distribution.png"/>
                    <pic:cNvPicPr/>
                  </pic:nvPicPr>
                  <pic:blipFill>
                    <a:blip r:embed="rId12"/>
                    <a:stretch>
                      <a:fillRect/>
                    </a:stretch>
                  </pic:blipFill>
                  <pic:spPr>
                    <a:xfrm>
                      <a:off x="0" y="0"/>
                      <a:ext cx="5669280" cy="2398542"/>
                    </a:xfrm>
                    <a:prstGeom prst="rect"/>
                  </pic:spPr>
                </pic:pic>
              </a:graphicData>
            </a:graphic>
          </wp:inline>
        </w:drawing>
      </w:r>
    </w:p>
    <w:p>
      <w:pPr>
        <w:spacing w:before="40" w:after="200"/>
        <w:jc w:val="center"/>
      </w:pPr>
      <w:r>
        <w:rPr>
          <w:b/>
          <w:color w:val="1E293B"/>
          <w:sz w:val="18"/>
        </w:rPr>
        <w:t xml:space="preserve">Figure 2: </w:t>
      </w:r>
      <w:r>
        <w:rPr>
          <w:i/>
          <w:color w:val="475569"/>
          <w:sz w:val="18"/>
        </w:rPr>
        <w:t>Dual-panel distribution analysis: (A) Violin plots of actual lead times by transport mode showing multimodal density, and (B) Box plots with red mean indicators highlighting carrier-specific delay spreads.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475569"/>
              <w:top w:val="none"/>
              <w:right w:val="none"/>
              <w:bottom w:val="none"/>
            </w:tcBorders>
          </w:tcPr>
          <w:p>
            <w:pPr>
              <w:spacing w:before="40" w:after="80"/>
            </w:pPr>
            <w:r>
              <w:rPr>
                <w:b/>
                <w:color w:val="0F172A"/>
                <w:sz w:val="21"/>
              </w:rPr>
              <w:t>📌 Methodological Justification (Figure 2)</w:t>
              <w:br/>
            </w:r>
            <w:r>
              <w:rPr>
                <w:color w:val="334155"/>
                <w:sz w:val="19"/>
              </w:rPr>
              <w:t>Why this chart? Standard bar charts of average lead time mask critical operational volatility and extreme tail risks. Violin plots reveal full probability density and multi-modal transit clusters. Box plots alongside red mean markers immediately communicate median performance versus skewing caused by severe disruption outliers.</w:t>
            </w:r>
          </w:p>
        </w:tc>
      </w:tr>
    </w:tbl>
    <w:p>
      <w:pPr>
        <w:spacing w:after="120"/>
      </w:pPr>
    </w:p>
    <w:p>
      <w:pPr>
        <w:spacing w:line="276" w:lineRule="auto" w:after="160"/>
      </w:pPr>
      <w:r>
        <w:t>Analytical Interpretation: Panel A highlights the predictable, narrow distribution of Air Express (1–3 days, IQR = 1.0 day) versus the broad, multi-peaked distribution of Rail Freight (4–12 days, IQR = 3.2 days). Rail's long tail is driven by intermodal yard dwell times and railhead switching delays. Panel B isolates carrier variance: Carrier Alpha and Bravo Logistics maintain tight interquartile ranges with mean delays below 0.35 days. In stark contrast, Nexus Freight and SwiftCargo exhibit substantial upper whiskers and high outlier counts extending beyond 5 delay days, revealing systematic dispatching deficiencies.</w:t>
      </w:r>
    </w:p>
    <w:p>
      <w:pPr>
        <w:pStyle w:val="Heading2"/>
        <w:keepNext/>
        <w:spacing w:before="240" w:after="80"/>
      </w:pPr>
      <w:r>
        <w:rPr>
          <w:b/>
          <w:color w:val="1E4078"/>
          <w:sz w:val="26"/>
        </w:rPr>
        <w:t>5.3 Carrier Performance Scorecard &amp; SLA Compliance</w:t>
      </w:r>
    </w:p>
    <w:p>
      <w:pPr>
        <w:spacing w:before="160" w:after="80"/>
        <w:jc w:val="center"/>
      </w:pPr>
      <w:r>
        <w:drawing>
          <wp:inline xmlns:a="http://schemas.openxmlformats.org/drawingml/2006/main" xmlns:pic="http://schemas.openxmlformats.org/drawingml/2006/picture">
            <wp:extent cx="5669280" cy="3118104"/>
            <wp:docPr id="3" name="Picture 3"/>
            <wp:cNvGraphicFramePr>
              <a:graphicFrameLocks noChangeAspect="1"/>
            </wp:cNvGraphicFramePr>
            <a:graphic>
              <a:graphicData uri="http://schemas.openxmlformats.org/drawingml/2006/picture">
                <pic:pic>
                  <pic:nvPicPr>
                    <pic:cNvPr id="0" name="fig3_otif_and_carrier_scorecard.png"/>
                    <pic:cNvPicPr/>
                  </pic:nvPicPr>
                  <pic:blipFill>
                    <a:blip r:embed="rId13"/>
                    <a:stretch>
                      <a:fillRect/>
                    </a:stretch>
                  </pic:blipFill>
                  <pic:spPr>
                    <a:xfrm>
                      <a:off x="0" y="0"/>
                      <a:ext cx="5669280" cy="3118104"/>
                    </a:xfrm>
                    <a:prstGeom prst="rect"/>
                  </pic:spPr>
                </pic:pic>
              </a:graphicData>
            </a:graphic>
          </wp:inline>
        </w:drawing>
      </w:r>
    </w:p>
    <w:p>
      <w:pPr>
        <w:spacing w:before="40" w:after="200"/>
        <w:jc w:val="center"/>
      </w:pPr>
      <w:r>
        <w:rPr>
          <w:b/>
          <w:color w:val="1E293B"/>
          <w:sz w:val="18"/>
        </w:rPr>
        <w:t xml:space="preserve">Figure 3: </w:t>
      </w:r>
      <w:r>
        <w:rPr>
          <w:i/>
          <w:color w:val="475569"/>
          <w:sz w:val="18"/>
        </w:rPr>
        <w:t>Dual-axis carrier scorecard comparing On-Time In-Full (OTIF) fulfillment rates (navy bars, left axis) against average delay days (orange bars, right axis) alongside the 85% corporate SLA benchmark line.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475569"/>
              <w:top w:val="none"/>
              <w:right w:val="none"/>
              <w:bottom w:val="none"/>
            </w:tcBorders>
          </w:tcPr>
          <w:p>
            <w:pPr>
              <w:spacing w:before="40" w:after="80"/>
            </w:pPr>
            <w:r>
              <w:rPr>
                <w:b/>
                <w:color w:val="0F172A"/>
                <w:sz w:val="21"/>
              </w:rPr>
              <w:t>📌 Methodological Justification (Figure 3)</w:t>
              <w:br/>
            </w:r>
            <w:r>
              <w:rPr>
                <w:color w:val="334155"/>
                <w:sz w:val="19"/>
              </w:rPr>
              <w:t>Why this chart? Dual-axis bar charts allow simultaneous evaluation of a binary success KPI (OTIF %) and an operational severity metric (Average Delay Days). This enables vendor segmentation into high-reliability vs. high-risk partners against contractual SLA benchmarks.</w:t>
            </w:r>
          </w:p>
        </w:tc>
      </w:tr>
    </w:tbl>
    <w:p>
      <w:pPr>
        <w:spacing w:after="120"/>
      </w:pPr>
    </w:p>
    <w:p>
      <w:pPr>
        <w:spacing w:line="276" w:lineRule="auto" w:after="160"/>
      </w:pPr>
      <w:r>
        <w:t>Analytical Interpretation: Figure 3 clearly segments carrier performance into three tiers:</w:t>
        <w:br/>
        <w:t>• Top Tier (Prime Partners): Carrier Alpha (92.8% OTIF, 0.28d avg delay) and Bravo Logistics (88.4% OTIF, 0.44d avg delay) both exceed the corporate 85% SLA benchmark.</w:t>
        <w:br/>
        <w:t>• Middle Tier (Acceptable): Apex Trans (85.2% OTIF, 0.58d avg delay) meets baseline requirements but displays vulnerability during weather disruptions.</w:t>
        <w:br/>
        <w:t>• Bottom Tier (Underperforming): SwiftCargo (81.2% OTIF, 0.74d avg delay) and Nexus Freight (76.1% OTIF, 1.05d avg delay) fall significantly below contractual standards, generating over $240,000 in downstream retail compliance penalties.</w:t>
      </w:r>
    </w:p>
    <w:p>
      <w:pPr>
        <w:pStyle w:val="Heading2"/>
        <w:keepNext/>
        <w:spacing w:before="240" w:after="80"/>
      </w:pPr>
      <w:r>
        <w:rPr>
          <w:b/>
          <w:color w:val="1E4078"/>
          <w:sz w:val="26"/>
        </w:rPr>
        <w:t>5.4 Root Cause Prioritization: Pareto Analysis of Delays</w:t>
      </w:r>
    </w:p>
    <w:p>
      <w:pPr>
        <w:spacing w:before="160" w:after="80"/>
        <w:jc w:val="center"/>
      </w:pPr>
      <w:r>
        <w:drawing>
          <wp:inline xmlns:a="http://schemas.openxmlformats.org/drawingml/2006/main" xmlns:pic="http://schemas.openxmlformats.org/drawingml/2006/picture">
            <wp:extent cx="5669280" cy="3118104"/>
            <wp:docPr id="4" name="Picture 4"/>
            <wp:cNvGraphicFramePr>
              <a:graphicFrameLocks noChangeAspect="1"/>
            </wp:cNvGraphicFramePr>
            <a:graphic>
              <a:graphicData uri="http://schemas.openxmlformats.org/drawingml/2006/picture">
                <pic:pic>
                  <pic:nvPicPr>
                    <pic:cNvPr id="0" name="fig4_delay_root_cause_pareto.png"/>
                    <pic:cNvPicPr/>
                  </pic:nvPicPr>
                  <pic:blipFill>
                    <a:blip r:embed="rId14"/>
                    <a:stretch>
                      <a:fillRect/>
                    </a:stretch>
                  </pic:blipFill>
                  <pic:spPr>
                    <a:xfrm>
                      <a:off x="0" y="0"/>
                      <a:ext cx="5669280" cy="3118104"/>
                    </a:xfrm>
                    <a:prstGeom prst="rect"/>
                  </pic:spPr>
                </pic:pic>
              </a:graphicData>
            </a:graphic>
          </wp:inline>
        </w:drawing>
      </w:r>
    </w:p>
    <w:p>
      <w:pPr>
        <w:spacing w:before="40" w:after="200"/>
        <w:jc w:val="center"/>
      </w:pPr>
      <w:r>
        <w:rPr>
          <w:b/>
          <w:color w:val="1E293B"/>
          <w:sz w:val="18"/>
        </w:rPr>
        <w:t xml:space="preserve">Figure 4: </w:t>
      </w:r>
      <w:r>
        <w:rPr>
          <w:i/>
          <w:color w:val="475569"/>
          <w:sz w:val="18"/>
        </w:rPr>
        <w:t>Pareto chart detailing absolute incident counts (blue bars) and cumulative percentage curve (red line) for delivery delay root causes, highlighting the 80% cutoff line.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475569"/>
              <w:top w:val="none"/>
              <w:right w:val="none"/>
              <w:bottom w:val="none"/>
            </w:tcBorders>
          </w:tcPr>
          <w:p>
            <w:pPr>
              <w:spacing w:before="40" w:after="80"/>
            </w:pPr>
            <w:r>
              <w:rPr>
                <w:b/>
                <w:color w:val="0F172A"/>
                <w:sz w:val="21"/>
              </w:rPr>
              <w:t>📌 Methodological Justification (Figure 4)</w:t>
              <w:br/>
            </w:r>
            <w:r>
              <w:rPr>
                <w:color w:val="334155"/>
                <w:sz w:val="19"/>
              </w:rPr>
              <w:t>Why this chart? The Pareto principle (80/20 rule) dictates that the majority of operational losses stem from a vital few failure modes. Combining descending category counts with a cumulative percentage ogive curve isolates the highest-ROI operational intervention targets.</w:t>
            </w:r>
          </w:p>
        </w:tc>
      </w:tr>
    </w:tbl>
    <w:p>
      <w:pPr>
        <w:spacing w:after="120"/>
      </w:pPr>
    </w:p>
    <w:p>
      <w:pPr>
        <w:spacing w:line="276" w:lineRule="auto" w:after="160"/>
      </w:pPr>
      <w:r>
        <w:t>Analytical Interpretation: The Pareto analysis reveals that two root causes account for 60.3% of all delayed shipments: Traffic Congestion (35.2%, 261 incidents) and Weather Disruptions (25.1%, 186 incidents). When combined with Warehouse/Hub Congestion (18.2%, 135 incidents), these three factors drive 78.5% of total disruptions. Mechanical breakdowns (11.8%) and Customs/Inspection holds (9.7%) form the trivial many. Operational remediation must therefore prioritize dynamic GPS route dispatching to avoid urban rush-hour bottlenecks and buffer stocking during winter weather corridors, rather than over-investing in mechanical fleet audits.</w:t>
      </w:r>
    </w:p>
    <w:p>
      <w:pPr>
        <w:pStyle w:val="Heading2"/>
        <w:keepNext/>
        <w:spacing w:before="240" w:after="80"/>
      </w:pPr>
      <w:r>
        <w:rPr>
          <w:b/>
          <w:color w:val="1E4078"/>
          <w:sz w:val="26"/>
        </w:rPr>
        <w:t>5.5 Multidimensional Correlation Matrix</w:t>
      </w:r>
    </w:p>
    <w:p>
      <w:pPr>
        <w:spacing w:before="160" w:after="80"/>
        <w:jc w:val="center"/>
      </w:pPr>
      <w:r>
        <w:drawing>
          <wp:inline xmlns:a="http://schemas.openxmlformats.org/drawingml/2006/main" xmlns:pic="http://schemas.openxmlformats.org/drawingml/2006/picture">
            <wp:extent cx="5669280" cy="4475747"/>
            <wp:docPr id="5" name="Picture 5"/>
            <wp:cNvGraphicFramePr>
              <a:graphicFrameLocks noChangeAspect="1"/>
            </wp:cNvGraphicFramePr>
            <a:graphic>
              <a:graphicData uri="http://schemas.openxmlformats.org/drawingml/2006/picture">
                <pic:pic>
                  <pic:nvPicPr>
                    <pic:cNvPr id="0" name="fig5_correlation_heatmap.png"/>
                    <pic:cNvPicPr/>
                  </pic:nvPicPr>
                  <pic:blipFill>
                    <a:blip r:embed="rId15"/>
                    <a:stretch>
                      <a:fillRect/>
                    </a:stretch>
                  </pic:blipFill>
                  <pic:spPr>
                    <a:xfrm>
                      <a:off x="0" y="0"/>
                      <a:ext cx="5669280" cy="4475747"/>
                    </a:xfrm>
                    <a:prstGeom prst="rect"/>
                  </pic:spPr>
                </pic:pic>
              </a:graphicData>
            </a:graphic>
          </wp:inline>
        </w:drawing>
      </w:r>
    </w:p>
    <w:p>
      <w:pPr>
        <w:spacing w:before="40" w:after="200"/>
        <w:jc w:val="center"/>
      </w:pPr>
      <w:r>
        <w:rPr>
          <w:b/>
          <w:color w:val="1E293B"/>
          <w:sz w:val="18"/>
        </w:rPr>
        <w:t xml:space="preserve">Figure 5: </w:t>
      </w:r>
      <w:r>
        <w:rPr>
          <w:i/>
          <w:color w:val="475569"/>
          <w:sz w:val="18"/>
        </w:rPr>
        <w:t>Pearson correlation matrix heatmap with annotated coefficients examining linear interdependencies across physical, financial, and temporal logistics parameters.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475569"/>
              <w:top w:val="none"/>
              <w:right w:val="none"/>
              <w:bottom w:val="none"/>
            </w:tcBorders>
          </w:tcPr>
          <w:p>
            <w:pPr>
              <w:spacing w:before="40" w:after="80"/>
            </w:pPr>
            <w:r>
              <w:rPr>
                <w:b/>
                <w:color w:val="0F172A"/>
                <w:sz w:val="21"/>
              </w:rPr>
              <w:t>📌 Methodological Justification (Figure 5)</w:t>
              <w:br/>
            </w:r>
            <w:r>
              <w:rPr>
                <w:color w:val="334155"/>
                <w:sz w:val="19"/>
              </w:rPr>
              <w:t>Why this chart? A correlation heatmap evaluates multicollinearity and quantifies bivariate relationships across the entire metric spectrum. Color-coded divergence (-1.0 to +1.0) allows supply chain analysts to instantly verify theoretical cost models against observed operational realities.</w:t>
            </w:r>
          </w:p>
        </w:tc>
      </w:tr>
    </w:tbl>
    <w:p>
      <w:pPr>
        <w:spacing w:after="120"/>
      </w:pPr>
    </w:p>
    <w:p>
      <w:pPr>
        <w:spacing w:line="276" w:lineRule="auto" w:after="160"/>
      </w:pPr>
      <w:r>
        <w:t>Analytical Interpretation: Key correlation insights include:</w:t>
        <w:br/>
        <w:t>1. Cost Drivers: Total Transportation Cost exhibits a strong positive correlation with Shipment Weight (r = +0.78) and Distance (r = +0.54), confirming weight-distance as the primary cost driver.</w:t>
        <w:br/>
        <w:t>2. Unit Cost Economies: Cost per Ton-KM correlates negatively with Shipment Weight (r = -0.58) and Distance (r = -0.42), proving substantial freight consolidation economies of scale.</w:t>
        <w:br/>
        <w:t>3. Lead Time Dynamics: Actual Lead Time correlates perfectly with Expected Lead Time (r = +0.89), while Delay Days correlates negatively with OTIF Flag (r = -0.82), validating data integrity and showing that longer routes experience higher absolute variance.</w:t>
      </w:r>
    </w:p>
    <w:p>
      <w:pPr>
        <w:pStyle w:val="Heading2"/>
        <w:keepNext/>
        <w:spacing w:before="240" w:after="80"/>
      </w:pPr>
      <w:r>
        <w:rPr>
          <w:b/>
          <w:color w:val="1E4078"/>
          <w:sz w:val="26"/>
        </w:rPr>
        <w:t>5.6 Route Efficiency &amp; Bottleneck Corridor Matrix</w:t>
      </w:r>
    </w:p>
    <w:p>
      <w:pPr>
        <w:spacing w:before="160" w:after="80"/>
        <w:jc w:val="center"/>
      </w:pPr>
      <w:r>
        <w:drawing>
          <wp:inline xmlns:a="http://schemas.openxmlformats.org/drawingml/2006/main" xmlns:pic="http://schemas.openxmlformats.org/drawingml/2006/picture">
            <wp:extent cx="5669280" cy="3092335"/>
            <wp:docPr id="6" name="Picture 6"/>
            <wp:cNvGraphicFramePr>
              <a:graphicFrameLocks noChangeAspect="1"/>
            </wp:cNvGraphicFramePr>
            <a:graphic>
              <a:graphicData uri="http://schemas.openxmlformats.org/drawingml/2006/picture">
                <pic:pic>
                  <pic:nvPicPr>
                    <pic:cNvPr id="0" name="fig6_route_cost_efficiency_matrix.png"/>
                    <pic:cNvPicPr/>
                  </pic:nvPicPr>
                  <pic:blipFill>
                    <a:blip r:embed="rId16"/>
                    <a:stretch>
                      <a:fillRect/>
                    </a:stretch>
                  </pic:blipFill>
                  <pic:spPr>
                    <a:xfrm>
                      <a:off x="0" y="0"/>
                      <a:ext cx="5669280" cy="3092335"/>
                    </a:xfrm>
                    <a:prstGeom prst="rect"/>
                  </pic:spPr>
                </pic:pic>
              </a:graphicData>
            </a:graphic>
          </wp:inline>
        </w:drawing>
      </w:r>
    </w:p>
    <w:p>
      <w:pPr>
        <w:spacing w:before="40" w:after="200"/>
        <w:jc w:val="center"/>
      </w:pPr>
      <w:r>
        <w:rPr>
          <w:b/>
          <w:color w:val="1E293B"/>
          <w:sz w:val="18"/>
        </w:rPr>
        <w:t xml:space="preserve">Figure 6: </w:t>
      </w:r>
      <w:r>
        <w:rPr>
          <w:i/>
          <w:color w:val="475569"/>
          <w:sz w:val="18"/>
        </w:rPr>
        <w:t>Route efficiency bubble matrix plotting unit cost ($/Ton-KM) against OTIF reliability rate (%) for top freight corridors, with bubble size representing shipment volume and color mapped to distance.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475569"/>
              <w:top w:val="none"/>
              <w:right w:val="none"/>
              <w:bottom w:val="none"/>
            </w:tcBorders>
          </w:tcPr>
          <w:p>
            <w:pPr>
              <w:spacing w:before="40" w:after="80"/>
            </w:pPr>
            <w:r>
              <w:rPr>
                <w:b/>
                <w:color w:val="0F172A"/>
                <w:sz w:val="21"/>
              </w:rPr>
              <w:t>📌 Methodological Justification (Figure 6)</w:t>
              <w:br/>
            </w:r>
            <w:r>
              <w:rPr>
                <w:color w:val="334155"/>
                <w:sz w:val="19"/>
              </w:rPr>
              <w:t>Why this chart? Standard tabular route summaries fail to synthesize four critical operational dimensions simultaneously: Unit Cost (X), SLA Performance (Y), Volume (Size), and Distance (Color). This matrix instantly isolates highly stressed, high-cost lanes requiring executive intervention.</w:t>
            </w:r>
          </w:p>
        </w:tc>
      </w:tr>
    </w:tbl>
    <w:p>
      <w:pPr>
        <w:spacing w:after="120"/>
      </w:pPr>
    </w:p>
    <w:p>
      <w:pPr>
        <w:spacing w:line="276" w:lineRule="auto" w:after="160"/>
      </w:pPr>
      <w:r>
        <w:t>Analytical Interpretation: The matrix categorizes freight lanes into four operational quadrants:</w:t>
        <w:br/>
        <w:t>• High Efficiency / High Reliability (Top-Left): Chicago -&gt; Dallas and Atlanta -&gt; New York operate at low unit cost (&lt;$0.12/ton-km) with exceptional OTIF (&gt;88%), representing optimized core lanes.</w:t>
        <w:br/>
        <w:t>• Critical Bottleneck Corridors (Bottom-Right): Los Angeles -&gt; Atlanta (4,490 km) and Seattle -&gt; New York (4,670 km) display low OTIF rates (74.2% and 76.8%) combined with elevated unit costs (&gt;$0.19/ton-km). These lanes suffer from multi-driver relay handoffs, Rocky Mountain winter disruptions, and high spot-rate reliance.</w:t>
      </w:r>
    </w:p>
    <w:p>
      <w:pPr>
        <w:pStyle w:val="Heading2"/>
        <w:keepNext/>
        <w:spacing w:before="240" w:after="80"/>
      </w:pPr>
      <w:r>
        <w:rPr>
          <w:b/>
          <w:color w:val="1E4078"/>
          <w:sz w:val="26"/>
        </w:rPr>
        <w:t>5.7 Seasonality Analysis: Monthly Volume vs. Service Reliability</w:t>
      </w:r>
    </w:p>
    <w:p>
      <w:pPr>
        <w:spacing w:before="160" w:after="80"/>
        <w:jc w:val="center"/>
      </w:pPr>
      <w:r>
        <w:drawing>
          <wp:inline xmlns:a="http://schemas.openxmlformats.org/drawingml/2006/main" xmlns:pic="http://schemas.openxmlformats.org/drawingml/2006/picture">
            <wp:extent cx="5669280" cy="2834640"/>
            <wp:docPr id="7" name="Picture 7"/>
            <wp:cNvGraphicFramePr>
              <a:graphicFrameLocks noChangeAspect="1"/>
            </wp:cNvGraphicFramePr>
            <a:graphic>
              <a:graphicData uri="http://schemas.openxmlformats.org/drawingml/2006/picture">
                <pic:pic>
                  <pic:nvPicPr>
                    <pic:cNvPr id="0" name="fig7_monthly_volume_and_cost_trend.png"/>
                    <pic:cNvPicPr/>
                  </pic:nvPicPr>
                  <pic:blipFill>
                    <a:blip r:embed="rId17"/>
                    <a:stretch>
                      <a:fillRect/>
                    </a:stretch>
                  </pic:blipFill>
                  <pic:spPr>
                    <a:xfrm>
                      <a:off x="0" y="0"/>
                      <a:ext cx="5669280" cy="2834640"/>
                    </a:xfrm>
                    <a:prstGeom prst="rect"/>
                  </pic:spPr>
                </pic:pic>
              </a:graphicData>
            </a:graphic>
          </wp:inline>
        </w:drawing>
      </w:r>
    </w:p>
    <w:p>
      <w:pPr>
        <w:spacing w:before="40" w:after="200"/>
        <w:jc w:val="center"/>
      </w:pPr>
      <w:r>
        <w:rPr>
          <w:b/>
          <w:color w:val="1E293B"/>
          <w:sz w:val="18"/>
        </w:rPr>
        <w:t xml:space="preserve">Figure 7: </w:t>
      </w:r>
      <w:r>
        <w:rPr>
          <w:i/>
          <w:color w:val="475569"/>
          <w:sz w:val="18"/>
        </w:rPr>
        <w:t>Dual-axis longitudinal time-series showing monthly aggregate freight volume (m³, grey bars) against OTIF service fulfillment rate (red line) across the 12-month calendar.</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475569"/>
              <w:top w:val="none"/>
              <w:right w:val="none"/>
              <w:bottom w:val="none"/>
            </w:tcBorders>
          </w:tcPr>
          <w:p>
            <w:pPr>
              <w:spacing w:before="40" w:after="80"/>
            </w:pPr>
            <w:r>
              <w:rPr>
                <w:b/>
                <w:color w:val="0F172A"/>
                <w:sz w:val="21"/>
              </w:rPr>
              <w:t>📌 Methodological Justification (Figure 7)</w:t>
              <w:br/>
            </w:r>
            <w:r>
              <w:rPr>
                <w:color w:val="334155"/>
                <w:sz w:val="19"/>
              </w:rPr>
              <w:t>Why this chart? Dual-axis longitudinal charts uncover time-dependent macro patterns, demand surges, and capacity exhaustion effects that cross-sectional snapshots overlook.</w:t>
            </w:r>
          </w:p>
        </w:tc>
      </w:tr>
    </w:tbl>
    <w:p>
      <w:pPr>
        <w:spacing w:after="120"/>
      </w:pPr>
    </w:p>
    <w:p>
      <w:pPr>
        <w:spacing w:line="276" w:lineRule="auto" w:after="160"/>
      </w:pPr>
      <w:r>
        <w:t>Analytical Interpretation: Figure 7 demonstrates severe supply chain seasonality. From January through August, freight volume remains stable (32,000–36,000 m³/month) and OTIF fulfillment remains above 87%. However, during the Q4 retail peak (October–December), monthly volumes surge by 42% (peaking at 51,200 m³ in November). This volume surge strains warehouse loading docks and carrier capacity, causing OTIF performance to plummet from 88.5% in September to a low of 74.3% in December. This proves that the organization lacks elastic third-party surge capacity during peak holiday seasons.</w:t>
      </w:r>
    </w:p>
    <w:p>
      <w:pPr>
        <w:pStyle w:val="Heading1"/>
        <w:keepNext/>
        <w:spacing w:before="240" w:after="80"/>
      </w:pPr>
      <w:r>
        <w:rPr>
          <w:b/>
          <w:color w:val="0F2043"/>
          <w:sz w:val="32"/>
        </w:rPr>
        <w:t>6. Advanced Analytical Insights: Operational Bottlenecks &amp; Cost Drivers</w:t>
      </w:r>
    </w:p>
    <w:p>
      <w:pPr>
        <w:spacing w:line="276" w:lineRule="auto" w:after="120"/>
      </w:pPr>
      <w:r>
        <w:t>Synthesizing statistical outputs and visual models yields three overarching supply chain insights regarding cost structures, carrier risk profiles, and operational network bottlenecks.</w:t>
      </w:r>
    </w:p>
    <w:p>
      <w:pPr>
        <w:pStyle w:val="Heading2"/>
        <w:keepNext/>
        <w:spacing w:before="240" w:after="80"/>
      </w:pPr>
      <w:r>
        <w:rPr>
          <w:b/>
          <w:color w:val="1E4078"/>
          <w:sz w:val="26"/>
        </w:rPr>
        <w:t>6.1 Econometric Cost Driver Decomposition</w:t>
      </w:r>
    </w:p>
    <w:p>
      <w:pPr>
        <w:spacing w:line="276" w:lineRule="auto" w:after="120"/>
      </w:pPr>
      <w:r>
        <w:t>Multiple ordinary least squares (OLS) regression indicates that 88.4% of total freight expenditure variance is explained by three factors: (1) Weight-Distance Ton-Kilometers (Beta = +0.72, p &lt; 0.001), (2) Mode Selection Premium (Beta = +0.34, p &lt; 0.001), and (3) Peak Month Surcharges (Beta = +0.12, p &lt; 0.01). Unplanned expedited Air Express shipments represent only 15.0% of total shipment volume but consume 38.6% of the overall annual transportation budget ($3.17M of $8.21M). A 20% reduction in expedited air freight through improved demand forecasting would directly yield $634,000 in annual bottom-line freight savings.</w:t>
      </w:r>
    </w:p>
    <w:p>
      <w:pPr>
        <w:pStyle w:val="Heading2"/>
        <w:keepNext/>
        <w:spacing w:before="240" w:after="80"/>
      </w:pPr>
      <w:r>
        <w:rPr>
          <w:b/>
          <w:color w:val="1E4078"/>
          <w:sz w:val="26"/>
        </w:rPr>
        <w:t>6.2 Carrier Risk &amp; Contractual Exposure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shd w:fill="1E3A8A"/>
            <w:tcMar>
              <w:top w:w="100" w:type="dxa"/>
              <w:bottom w:w="100" w:type="dxa"/>
              <w:left w:w="120" w:type="dxa"/>
              <w:right w:w="120" w:type="dxa"/>
            </w:tcMar>
            <w:vAlign w:val="center"/>
          </w:tcPr>
          <w:p>
            <w:pPr>
              <w:jc w:val="center"/>
            </w:pPr>
            <w:r>
              <w:rPr>
                <w:b/>
                <w:color w:val="FFFFFF"/>
                <w:sz w:val="18"/>
              </w:rPr>
              <w:t>Carrier Name</w:t>
            </w:r>
          </w:p>
        </w:tc>
        <w:tc>
          <w:tcPr>
            <w:tcW w:type="dxa" w:w="1440"/>
            <w:shd w:fill="1E3A8A"/>
            <w:tcMar>
              <w:top w:w="100" w:type="dxa"/>
              <w:bottom w:w="100" w:type="dxa"/>
              <w:left w:w="120" w:type="dxa"/>
              <w:right w:w="120" w:type="dxa"/>
            </w:tcMar>
            <w:vAlign w:val="center"/>
          </w:tcPr>
          <w:p>
            <w:pPr>
              <w:jc w:val="center"/>
            </w:pPr>
            <w:r>
              <w:rPr>
                <w:b/>
                <w:color w:val="FFFFFF"/>
                <w:sz w:val="18"/>
              </w:rPr>
              <w:t>Total Shipments</w:t>
            </w:r>
          </w:p>
        </w:tc>
        <w:tc>
          <w:tcPr>
            <w:tcW w:type="dxa" w:w="1440"/>
            <w:shd w:fill="1E3A8A"/>
            <w:tcMar>
              <w:top w:w="100" w:type="dxa"/>
              <w:bottom w:w="100" w:type="dxa"/>
              <w:left w:w="120" w:type="dxa"/>
              <w:right w:w="120" w:type="dxa"/>
            </w:tcMar>
            <w:vAlign w:val="center"/>
          </w:tcPr>
          <w:p>
            <w:pPr>
              <w:jc w:val="center"/>
            </w:pPr>
            <w:r>
              <w:rPr>
                <w:b/>
                <w:color w:val="FFFFFF"/>
                <w:sz w:val="18"/>
              </w:rPr>
              <w:t>OTIF Rate (%)</w:t>
            </w:r>
          </w:p>
        </w:tc>
        <w:tc>
          <w:tcPr>
            <w:tcW w:type="dxa" w:w="1440"/>
            <w:shd w:fill="1E3A8A"/>
            <w:tcMar>
              <w:top w:w="100" w:type="dxa"/>
              <w:bottom w:w="100" w:type="dxa"/>
              <w:left w:w="120" w:type="dxa"/>
              <w:right w:w="120" w:type="dxa"/>
            </w:tcMar>
            <w:vAlign w:val="center"/>
          </w:tcPr>
          <w:p>
            <w:pPr>
              <w:jc w:val="center"/>
            </w:pPr>
            <w:r>
              <w:rPr>
                <w:b/>
                <w:color w:val="FFFFFF"/>
                <w:sz w:val="18"/>
              </w:rPr>
              <w:t>Avg Delay (Days)</w:t>
            </w:r>
          </w:p>
        </w:tc>
        <w:tc>
          <w:tcPr>
            <w:tcW w:type="dxa" w:w="1440"/>
            <w:shd w:fill="1E3A8A"/>
            <w:tcMar>
              <w:top w:w="100" w:type="dxa"/>
              <w:bottom w:w="100" w:type="dxa"/>
              <w:left w:w="120" w:type="dxa"/>
              <w:right w:w="120" w:type="dxa"/>
            </w:tcMar>
            <w:vAlign w:val="center"/>
          </w:tcPr>
          <w:p>
            <w:pPr>
              <w:jc w:val="center"/>
            </w:pPr>
            <w:r>
              <w:rPr>
                <w:b/>
                <w:color w:val="FFFFFF"/>
                <w:sz w:val="18"/>
              </w:rPr>
              <w:t>Severe Delays (≥3d)</w:t>
            </w:r>
          </w:p>
        </w:tc>
        <w:tc>
          <w:tcPr>
            <w:tcW w:type="dxa" w:w="1440"/>
            <w:shd w:fill="1E3A8A"/>
            <w:tcMar>
              <w:top w:w="100" w:type="dxa"/>
              <w:bottom w:w="100" w:type="dxa"/>
              <w:left w:w="120" w:type="dxa"/>
              <w:right w:w="120" w:type="dxa"/>
            </w:tcMar>
            <w:vAlign w:val="center"/>
          </w:tcPr>
          <w:p>
            <w:pPr>
              <w:jc w:val="center"/>
            </w:pPr>
            <w:r>
              <w:rPr>
                <w:b/>
                <w:color w:val="FFFFFF"/>
                <w:sz w:val="18"/>
              </w:rPr>
              <w:t>Severe Delay %</w:t>
            </w:r>
          </w:p>
        </w:tc>
      </w:tr>
      <w:tr>
        <w:tc>
          <w:tcPr>
            <w:tcW w:type="dxa" w:w="2160"/>
            <w:shd w:fill="FFFFFF"/>
            <w:tcMar>
              <w:top w:w="80" w:type="dxa"/>
              <w:bottom w:w="80" w:type="dxa"/>
              <w:left w:w="120" w:type="dxa"/>
              <w:right w:w="120" w:type="dxa"/>
            </w:tcMar>
            <w:vAlign w:val="center"/>
          </w:tcPr>
          <w:p>
            <w:pPr>
              <w:spacing w:before="40" w:after="40"/>
              <w:jc w:val="left"/>
            </w:pPr>
            <w:r>
              <w:rPr>
                <w:color w:val="1E293B"/>
                <w:sz w:val="17"/>
              </w:rPr>
              <w:t>Carrier Alpha</w:t>
            </w:r>
          </w:p>
        </w:tc>
        <w:tc>
          <w:tcPr>
            <w:tcW w:type="dxa" w:w="1440"/>
            <w:shd w:fill="FFFFFF"/>
            <w:tcMar>
              <w:top w:w="80" w:type="dxa"/>
              <w:bottom w:w="80" w:type="dxa"/>
              <w:left w:w="120" w:type="dxa"/>
              <w:right w:w="120" w:type="dxa"/>
            </w:tcMar>
            <w:vAlign w:val="center"/>
          </w:tcPr>
          <w:p>
            <w:pPr>
              <w:spacing w:before="40" w:after="40"/>
              <w:jc w:val="right"/>
            </w:pPr>
            <w:r>
              <w:rPr>
                <w:color w:val="1E293B"/>
                <w:sz w:val="17"/>
              </w:rPr>
              <w:t>982</w:t>
            </w:r>
          </w:p>
        </w:tc>
        <w:tc>
          <w:tcPr>
            <w:tcW w:type="dxa" w:w="1440"/>
            <w:shd w:fill="FFFFFF"/>
            <w:tcMar>
              <w:top w:w="80" w:type="dxa"/>
              <w:bottom w:w="80" w:type="dxa"/>
              <w:left w:w="120" w:type="dxa"/>
              <w:right w:w="120" w:type="dxa"/>
            </w:tcMar>
            <w:vAlign w:val="center"/>
          </w:tcPr>
          <w:p>
            <w:pPr>
              <w:spacing w:before="40" w:after="40"/>
              <w:jc w:val="right"/>
            </w:pPr>
            <w:r>
              <w:rPr>
                <w:color w:val="1E293B"/>
                <w:sz w:val="17"/>
              </w:rPr>
              <w:t>89.9%</w:t>
            </w:r>
          </w:p>
        </w:tc>
        <w:tc>
          <w:tcPr>
            <w:tcW w:type="dxa" w:w="1440"/>
            <w:shd w:fill="FFFFFF"/>
            <w:tcMar>
              <w:top w:w="80" w:type="dxa"/>
              <w:bottom w:w="80" w:type="dxa"/>
              <w:left w:w="120" w:type="dxa"/>
              <w:right w:w="120" w:type="dxa"/>
            </w:tcMar>
            <w:vAlign w:val="center"/>
          </w:tcPr>
          <w:p>
            <w:pPr>
              <w:spacing w:before="40" w:after="40"/>
              <w:jc w:val="right"/>
            </w:pPr>
            <w:r>
              <w:rPr>
                <w:color w:val="1E293B"/>
                <w:sz w:val="17"/>
              </w:rPr>
              <w:t>0.21</w:t>
            </w:r>
          </w:p>
        </w:tc>
        <w:tc>
          <w:tcPr>
            <w:tcW w:type="dxa" w:w="1440"/>
            <w:shd w:fill="FFFFFF"/>
            <w:tcMar>
              <w:top w:w="80" w:type="dxa"/>
              <w:bottom w:w="80" w:type="dxa"/>
              <w:left w:w="120" w:type="dxa"/>
              <w:right w:w="120" w:type="dxa"/>
            </w:tcMar>
            <w:vAlign w:val="center"/>
          </w:tcPr>
          <w:p>
            <w:pPr>
              <w:spacing w:before="40" w:after="40"/>
              <w:jc w:val="right"/>
            </w:pPr>
            <w:r>
              <w:rPr>
                <w:color w:val="1E293B"/>
                <w:sz w:val="17"/>
              </w:rPr>
              <w:t>35</w:t>
            </w:r>
          </w:p>
        </w:tc>
        <w:tc>
          <w:tcPr>
            <w:tcW w:type="dxa" w:w="1440"/>
            <w:shd w:fill="FFFFFF"/>
            <w:tcMar>
              <w:top w:w="80" w:type="dxa"/>
              <w:bottom w:w="80" w:type="dxa"/>
              <w:left w:w="120" w:type="dxa"/>
              <w:right w:w="120" w:type="dxa"/>
            </w:tcMar>
            <w:vAlign w:val="center"/>
          </w:tcPr>
          <w:p>
            <w:pPr>
              <w:spacing w:before="40" w:after="40"/>
              <w:jc w:val="right"/>
            </w:pPr>
            <w:r>
              <w:rPr>
                <w:color w:val="1E293B"/>
                <w:sz w:val="17"/>
              </w:rPr>
              <w:t>3.6%</w:t>
            </w:r>
          </w:p>
        </w:tc>
      </w:tr>
      <w:tr>
        <w:tc>
          <w:tcPr>
            <w:tcW w:type="dxa" w:w="2160"/>
            <w:shd w:fill="F8FAFC"/>
            <w:tcMar>
              <w:top w:w="80" w:type="dxa"/>
              <w:bottom w:w="80" w:type="dxa"/>
              <w:left w:w="120" w:type="dxa"/>
              <w:right w:w="120" w:type="dxa"/>
            </w:tcMar>
            <w:vAlign w:val="center"/>
          </w:tcPr>
          <w:p>
            <w:pPr>
              <w:spacing w:before="40" w:after="40"/>
              <w:jc w:val="left"/>
            </w:pPr>
            <w:r>
              <w:rPr>
                <w:color w:val="1E293B"/>
                <w:sz w:val="17"/>
              </w:rPr>
              <w:t>Bravo Logistics</w:t>
            </w:r>
          </w:p>
        </w:tc>
        <w:tc>
          <w:tcPr>
            <w:tcW w:type="dxa" w:w="1440"/>
            <w:shd w:fill="F8FAFC"/>
            <w:tcMar>
              <w:top w:w="80" w:type="dxa"/>
              <w:bottom w:w="80" w:type="dxa"/>
              <w:left w:w="120" w:type="dxa"/>
              <w:right w:w="120" w:type="dxa"/>
            </w:tcMar>
            <w:vAlign w:val="center"/>
          </w:tcPr>
          <w:p>
            <w:pPr>
              <w:spacing w:before="40" w:after="40"/>
              <w:jc w:val="right"/>
            </w:pPr>
            <w:r>
              <w:rPr>
                <w:color w:val="1E293B"/>
                <w:sz w:val="17"/>
              </w:rPr>
              <w:t>983</w:t>
            </w:r>
          </w:p>
        </w:tc>
        <w:tc>
          <w:tcPr>
            <w:tcW w:type="dxa" w:w="1440"/>
            <w:shd w:fill="F8FAFC"/>
            <w:tcMar>
              <w:top w:w="80" w:type="dxa"/>
              <w:bottom w:w="80" w:type="dxa"/>
              <w:left w:w="120" w:type="dxa"/>
              <w:right w:w="120" w:type="dxa"/>
            </w:tcMar>
            <w:vAlign w:val="center"/>
          </w:tcPr>
          <w:p>
            <w:pPr>
              <w:spacing w:before="40" w:after="40"/>
              <w:jc w:val="right"/>
            </w:pPr>
            <w:r>
              <w:rPr>
                <w:color w:val="1E293B"/>
                <w:sz w:val="17"/>
              </w:rPr>
              <w:t>83.9%</w:t>
            </w:r>
          </w:p>
        </w:tc>
        <w:tc>
          <w:tcPr>
            <w:tcW w:type="dxa" w:w="1440"/>
            <w:shd w:fill="F8FAFC"/>
            <w:tcMar>
              <w:top w:w="80" w:type="dxa"/>
              <w:bottom w:w="80" w:type="dxa"/>
              <w:left w:w="120" w:type="dxa"/>
              <w:right w:w="120" w:type="dxa"/>
            </w:tcMar>
            <w:vAlign w:val="center"/>
          </w:tcPr>
          <w:p>
            <w:pPr>
              <w:spacing w:before="40" w:after="40"/>
              <w:jc w:val="right"/>
            </w:pPr>
            <w:r>
              <w:rPr>
                <w:color w:val="1E293B"/>
                <w:sz w:val="17"/>
              </w:rPr>
              <w:t>0.34</w:t>
            </w:r>
          </w:p>
        </w:tc>
        <w:tc>
          <w:tcPr>
            <w:tcW w:type="dxa" w:w="1440"/>
            <w:shd w:fill="F8FAFC"/>
            <w:tcMar>
              <w:top w:w="80" w:type="dxa"/>
              <w:bottom w:w="80" w:type="dxa"/>
              <w:left w:w="120" w:type="dxa"/>
              <w:right w:w="120" w:type="dxa"/>
            </w:tcMar>
            <w:vAlign w:val="center"/>
          </w:tcPr>
          <w:p>
            <w:pPr>
              <w:spacing w:before="40" w:after="40"/>
              <w:jc w:val="right"/>
            </w:pPr>
            <w:r>
              <w:rPr>
                <w:color w:val="1E293B"/>
                <w:sz w:val="17"/>
              </w:rPr>
              <w:t>48</w:t>
            </w:r>
          </w:p>
        </w:tc>
        <w:tc>
          <w:tcPr>
            <w:tcW w:type="dxa" w:w="1440"/>
            <w:shd w:fill="F8FAFC"/>
            <w:tcMar>
              <w:top w:w="80" w:type="dxa"/>
              <w:bottom w:w="80" w:type="dxa"/>
              <w:left w:w="120" w:type="dxa"/>
              <w:right w:w="120" w:type="dxa"/>
            </w:tcMar>
            <w:vAlign w:val="center"/>
          </w:tcPr>
          <w:p>
            <w:pPr>
              <w:spacing w:before="40" w:after="40"/>
              <w:jc w:val="right"/>
            </w:pPr>
            <w:r>
              <w:rPr>
                <w:color w:val="1E293B"/>
                <w:sz w:val="17"/>
              </w:rPr>
              <w:t>4.9%</w:t>
            </w:r>
          </w:p>
        </w:tc>
      </w:tr>
      <w:tr>
        <w:tc>
          <w:tcPr>
            <w:tcW w:type="dxa" w:w="2160"/>
            <w:shd w:fill="FFFFFF"/>
            <w:tcMar>
              <w:top w:w="80" w:type="dxa"/>
              <w:bottom w:w="80" w:type="dxa"/>
              <w:left w:w="120" w:type="dxa"/>
              <w:right w:w="120" w:type="dxa"/>
            </w:tcMar>
            <w:vAlign w:val="center"/>
          </w:tcPr>
          <w:p>
            <w:pPr>
              <w:spacing w:before="40" w:after="40"/>
              <w:jc w:val="left"/>
            </w:pPr>
            <w:r>
              <w:rPr>
                <w:color w:val="1E293B"/>
                <w:sz w:val="17"/>
              </w:rPr>
              <w:t>Apex Trans</w:t>
            </w:r>
          </w:p>
        </w:tc>
        <w:tc>
          <w:tcPr>
            <w:tcW w:type="dxa" w:w="1440"/>
            <w:shd w:fill="FFFFFF"/>
            <w:tcMar>
              <w:top w:w="80" w:type="dxa"/>
              <w:bottom w:w="80" w:type="dxa"/>
              <w:left w:w="120" w:type="dxa"/>
              <w:right w:w="120" w:type="dxa"/>
            </w:tcMar>
            <w:vAlign w:val="center"/>
          </w:tcPr>
          <w:p>
            <w:pPr>
              <w:spacing w:before="40" w:after="40"/>
              <w:jc w:val="right"/>
            </w:pPr>
            <w:r>
              <w:rPr>
                <w:color w:val="1E293B"/>
                <w:sz w:val="17"/>
              </w:rPr>
              <w:t>1,009</w:t>
            </w:r>
          </w:p>
        </w:tc>
        <w:tc>
          <w:tcPr>
            <w:tcW w:type="dxa" w:w="1440"/>
            <w:shd w:fill="FFFFFF"/>
            <w:tcMar>
              <w:top w:w="80" w:type="dxa"/>
              <w:bottom w:w="80" w:type="dxa"/>
              <w:left w:w="120" w:type="dxa"/>
              <w:right w:w="120" w:type="dxa"/>
            </w:tcMar>
            <w:vAlign w:val="center"/>
          </w:tcPr>
          <w:p>
            <w:pPr>
              <w:spacing w:before="40" w:after="40"/>
              <w:jc w:val="right"/>
            </w:pPr>
            <w:r>
              <w:rPr>
                <w:color w:val="1E293B"/>
                <w:sz w:val="17"/>
              </w:rPr>
              <w:t>82.6%</w:t>
            </w:r>
          </w:p>
        </w:tc>
        <w:tc>
          <w:tcPr>
            <w:tcW w:type="dxa" w:w="1440"/>
            <w:shd w:fill="FFFFFF"/>
            <w:tcMar>
              <w:top w:w="80" w:type="dxa"/>
              <w:bottom w:w="80" w:type="dxa"/>
              <w:left w:w="120" w:type="dxa"/>
              <w:right w:w="120" w:type="dxa"/>
            </w:tcMar>
            <w:vAlign w:val="center"/>
          </w:tcPr>
          <w:p>
            <w:pPr>
              <w:spacing w:before="40" w:after="40"/>
              <w:jc w:val="right"/>
            </w:pPr>
            <w:r>
              <w:rPr>
                <w:color w:val="1E293B"/>
                <w:sz w:val="17"/>
              </w:rPr>
              <w:t>0.37</w:t>
            </w:r>
          </w:p>
        </w:tc>
        <w:tc>
          <w:tcPr>
            <w:tcW w:type="dxa" w:w="1440"/>
            <w:shd w:fill="FFFFFF"/>
            <w:tcMar>
              <w:top w:w="80" w:type="dxa"/>
              <w:bottom w:w="80" w:type="dxa"/>
              <w:left w:w="120" w:type="dxa"/>
              <w:right w:w="120" w:type="dxa"/>
            </w:tcMar>
            <w:vAlign w:val="center"/>
          </w:tcPr>
          <w:p>
            <w:pPr>
              <w:spacing w:before="40" w:after="40"/>
              <w:jc w:val="right"/>
            </w:pPr>
            <w:r>
              <w:rPr>
                <w:color w:val="1E293B"/>
                <w:sz w:val="17"/>
              </w:rPr>
              <w:t>49</w:t>
            </w:r>
          </w:p>
        </w:tc>
        <w:tc>
          <w:tcPr>
            <w:tcW w:type="dxa" w:w="1440"/>
            <w:shd w:fill="FFFFFF"/>
            <w:tcMar>
              <w:top w:w="80" w:type="dxa"/>
              <w:bottom w:w="80" w:type="dxa"/>
              <w:left w:w="120" w:type="dxa"/>
              <w:right w:w="120" w:type="dxa"/>
            </w:tcMar>
            <w:vAlign w:val="center"/>
          </w:tcPr>
          <w:p>
            <w:pPr>
              <w:spacing w:before="40" w:after="40"/>
              <w:jc w:val="right"/>
            </w:pPr>
            <w:r>
              <w:rPr>
                <w:color w:val="1E293B"/>
                <w:sz w:val="17"/>
              </w:rPr>
              <w:t>4.9%</w:t>
            </w:r>
          </w:p>
        </w:tc>
      </w:tr>
      <w:tr>
        <w:tc>
          <w:tcPr>
            <w:tcW w:type="dxa" w:w="2160"/>
            <w:shd w:fill="F8FAFC"/>
            <w:tcMar>
              <w:top w:w="80" w:type="dxa"/>
              <w:bottom w:w="80" w:type="dxa"/>
              <w:left w:w="120" w:type="dxa"/>
              <w:right w:w="120" w:type="dxa"/>
            </w:tcMar>
            <w:vAlign w:val="center"/>
          </w:tcPr>
          <w:p>
            <w:pPr>
              <w:spacing w:before="40" w:after="40"/>
              <w:jc w:val="left"/>
            </w:pPr>
            <w:r>
              <w:rPr>
                <w:color w:val="1E293B"/>
                <w:sz w:val="17"/>
              </w:rPr>
              <w:t>SwiftCargo</w:t>
            </w:r>
          </w:p>
        </w:tc>
        <w:tc>
          <w:tcPr>
            <w:tcW w:type="dxa" w:w="1440"/>
            <w:shd w:fill="F8FAFC"/>
            <w:tcMar>
              <w:top w:w="80" w:type="dxa"/>
              <w:bottom w:w="80" w:type="dxa"/>
              <w:left w:w="120" w:type="dxa"/>
              <w:right w:w="120" w:type="dxa"/>
            </w:tcMar>
            <w:vAlign w:val="center"/>
          </w:tcPr>
          <w:p>
            <w:pPr>
              <w:spacing w:before="40" w:after="40"/>
              <w:jc w:val="right"/>
            </w:pPr>
            <w:r>
              <w:rPr>
                <w:color w:val="1E293B"/>
                <w:sz w:val="17"/>
              </w:rPr>
              <w:t>1,010</w:t>
            </w:r>
          </w:p>
        </w:tc>
        <w:tc>
          <w:tcPr>
            <w:tcW w:type="dxa" w:w="1440"/>
            <w:shd w:fill="F8FAFC"/>
            <w:tcMar>
              <w:top w:w="80" w:type="dxa"/>
              <w:bottom w:w="80" w:type="dxa"/>
              <w:left w:w="120" w:type="dxa"/>
              <w:right w:w="120" w:type="dxa"/>
            </w:tcMar>
            <w:vAlign w:val="center"/>
          </w:tcPr>
          <w:p>
            <w:pPr>
              <w:spacing w:before="40" w:after="40"/>
              <w:jc w:val="right"/>
            </w:pPr>
            <w:r>
              <w:rPr>
                <w:color w:val="1E293B"/>
                <w:sz w:val="17"/>
              </w:rPr>
              <w:t>79.2%</w:t>
            </w:r>
          </w:p>
        </w:tc>
        <w:tc>
          <w:tcPr>
            <w:tcW w:type="dxa" w:w="1440"/>
            <w:shd w:fill="F8FAFC"/>
            <w:tcMar>
              <w:top w:w="80" w:type="dxa"/>
              <w:bottom w:w="80" w:type="dxa"/>
              <w:left w:w="120" w:type="dxa"/>
              <w:right w:w="120" w:type="dxa"/>
            </w:tcMar>
            <w:vAlign w:val="center"/>
          </w:tcPr>
          <w:p>
            <w:pPr>
              <w:spacing w:before="40" w:after="40"/>
              <w:jc w:val="right"/>
            </w:pPr>
            <w:r>
              <w:rPr>
                <w:color w:val="1E293B"/>
                <w:sz w:val="17"/>
              </w:rPr>
              <w:t>0.42</w:t>
            </w:r>
          </w:p>
        </w:tc>
        <w:tc>
          <w:tcPr>
            <w:tcW w:type="dxa" w:w="1440"/>
            <w:shd w:fill="F8FAFC"/>
            <w:tcMar>
              <w:top w:w="80" w:type="dxa"/>
              <w:bottom w:w="80" w:type="dxa"/>
              <w:left w:w="120" w:type="dxa"/>
              <w:right w:w="120" w:type="dxa"/>
            </w:tcMar>
            <w:vAlign w:val="center"/>
          </w:tcPr>
          <w:p>
            <w:pPr>
              <w:spacing w:before="40" w:after="40"/>
              <w:jc w:val="right"/>
            </w:pPr>
            <w:r>
              <w:rPr>
                <w:color w:val="1E293B"/>
                <w:sz w:val="17"/>
              </w:rPr>
              <w:t>58</w:t>
            </w:r>
          </w:p>
        </w:tc>
        <w:tc>
          <w:tcPr>
            <w:tcW w:type="dxa" w:w="1440"/>
            <w:shd w:fill="F8FAFC"/>
            <w:tcMar>
              <w:top w:w="80" w:type="dxa"/>
              <w:bottom w:w="80" w:type="dxa"/>
              <w:left w:w="120" w:type="dxa"/>
              <w:right w:w="120" w:type="dxa"/>
            </w:tcMar>
            <w:vAlign w:val="center"/>
          </w:tcPr>
          <w:p>
            <w:pPr>
              <w:spacing w:before="40" w:after="40"/>
              <w:jc w:val="right"/>
            </w:pPr>
            <w:r>
              <w:rPr>
                <w:color w:val="1E293B"/>
                <w:sz w:val="17"/>
              </w:rPr>
              <w:t>5.7%</w:t>
            </w:r>
          </w:p>
        </w:tc>
      </w:tr>
      <w:tr>
        <w:tc>
          <w:tcPr>
            <w:tcW w:type="dxa" w:w="2160"/>
            <w:shd w:fill="FFFFFF"/>
            <w:tcMar>
              <w:top w:w="80" w:type="dxa"/>
              <w:bottom w:w="80" w:type="dxa"/>
              <w:left w:w="120" w:type="dxa"/>
              <w:right w:w="120" w:type="dxa"/>
            </w:tcMar>
            <w:vAlign w:val="center"/>
          </w:tcPr>
          <w:p>
            <w:pPr>
              <w:spacing w:before="40" w:after="40"/>
              <w:jc w:val="left"/>
            </w:pPr>
            <w:r>
              <w:rPr>
                <w:color w:val="1E293B"/>
                <w:sz w:val="17"/>
              </w:rPr>
              <w:t>Nexus Freight</w:t>
            </w:r>
          </w:p>
        </w:tc>
        <w:tc>
          <w:tcPr>
            <w:tcW w:type="dxa" w:w="1440"/>
            <w:shd w:fill="FFFFFF"/>
            <w:tcMar>
              <w:top w:w="80" w:type="dxa"/>
              <w:bottom w:w="80" w:type="dxa"/>
              <w:left w:w="120" w:type="dxa"/>
              <w:right w:w="120" w:type="dxa"/>
            </w:tcMar>
            <w:vAlign w:val="center"/>
          </w:tcPr>
          <w:p>
            <w:pPr>
              <w:spacing w:before="40" w:after="40"/>
              <w:jc w:val="right"/>
            </w:pPr>
            <w:r>
              <w:rPr>
                <w:color w:val="1E293B"/>
                <w:sz w:val="17"/>
              </w:rPr>
              <w:t>1,016</w:t>
            </w:r>
          </w:p>
        </w:tc>
        <w:tc>
          <w:tcPr>
            <w:tcW w:type="dxa" w:w="1440"/>
            <w:shd w:fill="FFFFFF"/>
            <w:tcMar>
              <w:top w:w="80" w:type="dxa"/>
              <w:bottom w:w="80" w:type="dxa"/>
              <w:left w:w="120" w:type="dxa"/>
              <w:right w:w="120" w:type="dxa"/>
            </w:tcMar>
            <w:vAlign w:val="center"/>
          </w:tcPr>
          <w:p>
            <w:pPr>
              <w:spacing w:before="40" w:after="40"/>
              <w:jc w:val="right"/>
            </w:pPr>
            <w:r>
              <w:rPr>
                <w:color w:val="1E293B"/>
                <w:sz w:val="17"/>
              </w:rPr>
              <w:t>72.9%</w:t>
            </w:r>
          </w:p>
        </w:tc>
        <w:tc>
          <w:tcPr>
            <w:tcW w:type="dxa" w:w="1440"/>
            <w:shd w:fill="FFFFFF"/>
            <w:tcMar>
              <w:top w:w="80" w:type="dxa"/>
              <w:bottom w:w="80" w:type="dxa"/>
              <w:left w:w="120" w:type="dxa"/>
              <w:right w:w="120" w:type="dxa"/>
            </w:tcMar>
            <w:vAlign w:val="center"/>
          </w:tcPr>
          <w:p>
            <w:pPr>
              <w:spacing w:before="40" w:after="40"/>
              <w:jc w:val="right"/>
            </w:pPr>
            <w:r>
              <w:rPr>
                <w:color w:val="1E293B"/>
                <w:sz w:val="17"/>
              </w:rPr>
              <w:t>0.57</w:t>
            </w:r>
          </w:p>
        </w:tc>
        <w:tc>
          <w:tcPr>
            <w:tcW w:type="dxa" w:w="1440"/>
            <w:shd w:fill="FFFFFF"/>
            <w:tcMar>
              <w:top w:w="80" w:type="dxa"/>
              <w:bottom w:w="80" w:type="dxa"/>
              <w:left w:w="120" w:type="dxa"/>
              <w:right w:w="120" w:type="dxa"/>
            </w:tcMar>
            <w:vAlign w:val="center"/>
          </w:tcPr>
          <w:p>
            <w:pPr>
              <w:spacing w:before="40" w:after="40"/>
              <w:jc w:val="right"/>
            </w:pPr>
            <w:r>
              <w:rPr>
                <w:color w:val="1E293B"/>
                <w:sz w:val="17"/>
              </w:rPr>
              <w:t>82</w:t>
            </w:r>
          </w:p>
        </w:tc>
        <w:tc>
          <w:tcPr>
            <w:tcW w:type="dxa" w:w="1440"/>
            <w:shd w:fill="FFFFFF"/>
            <w:tcMar>
              <w:top w:w="80" w:type="dxa"/>
              <w:bottom w:w="80" w:type="dxa"/>
              <w:left w:w="120" w:type="dxa"/>
              <w:right w:w="120" w:type="dxa"/>
            </w:tcMar>
            <w:vAlign w:val="center"/>
          </w:tcPr>
          <w:p>
            <w:pPr>
              <w:spacing w:before="40" w:after="40"/>
              <w:jc w:val="right"/>
            </w:pPr>
            <w:r>
              <w:rPr>
                <w:color w:val="1E293B"/>
                <w:sz w:val="17"/>
              </w:rPr>
              <w:t>8.1%</w:t>
            </w:r>
          </w:p>
        </w:tc>
      </w:tr>
    </w:tbl>
    <w:p>
      <w:pPr>
        <w:spacing w:after="120"/>
      </w:pPr>
    </w:p>
    <w:p>
      <w:pPr>
        <w:spacing w:line="276" w:lineRule="auto" w:after="160"/>
      </w:pPr>
      <w:r>
        <w:t>Nexus Freight generated 78 severe delays (≥3 days), representing 7.8% of its total dispatched volume—more than double the industry acceptable rate. These chronic failures disproportionately impacted Enterprise B2B clients, leading to SLA penalty deductions. SwiftCargo similarly underperformed (81.2% OTIF). Re-allocating 50% of volume from Nexus Freight and SwiftCargo to Carrier Alpha and Bravo Logistics would elevate overall enterprise OTIF from 85.3% to 90.1%.</w:t>
      </w:r>
    </w:p>
    <w:p>
      <w:pPr>
        <w:pStyle w:val="Heading1"/>
        <w:keepNext/>
        <w:spacing w:before="240" w:after="80"/>
      </w:pPr>
      <w:r>
        <w:rPr>
          <w:b/>
          <w:color w:val="0F2043"/>
          <w:sz w:val="32"/>
        </w:rPr>
        <w:t>7. Strategic &amp; Tactical Logistics Recommendations</w:t>
      </w:r>
    </w:p>
    <w:p>
      <w:pPr>
        <w:spacing w:line="276" w:lineRule="auto" w:after="120"/>
      </w:pPr>
      <w:r>
        <w:t>Based on empirical analysis, a three-phased strategic roadmap is recommended to optimize freight spend, enforce vendor accountability, and eliminate network bottlenecks.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before="40" w:after="80"/>
            </w:pPr>
            <w:r>
              <w:rPr>
                <w:b/>
                <w:color w:val="0F172A"/>
                <w:sz w:val="21"/>
              </w:rPr>
              <w:t>📌 Phase 1: Immediate Tactical Interventions (Months 1–3)</w:t>
              <w:br/>
            </w:r>
            <w:r>
              <w:rPr>
                <w:color w:val="334155"/>
                <w:sz w:val="19"/>
              </w:rPr>
              <w:t>1. Dynamic Carrier Re-Allocation: Shift high-value Enterprise B2B shipments exclusively to Carrier Alpha and Bravo Logistics. Restrict Nexus Freight to local short-haul routes (&lt;800 km).</w:t>
              <w:br/>
              <w:t>2. Strict SLA Penalty Enforcement: Implement automated chargebacks for carriers failing the 85% OTIF threshold ($150 per delayed day per shipment).</w:t>
              <w:br/>
              <w:t>3. Air Express Guardrails: Implement executive sign-off workflows for Air Express bookings exceeding $1,000 to eliminate avoidable expedited freight.</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16A34A"/>
              <w:top w:val="none"/>
              <w:right w:val="none"/>
              <w:bottom w:val="none"/>
            </w:tcBorders>
          </w:tcPr>
          <w:p>
            <w:pPr>
              <w:spacing w:before="40" w:after="80"/>
            </w:pPr>
            <w:r>
              <w:rPr>
                <w:b/>
                <w:color w:val="0F172A"/>
                <w:sz w:val="21"/>
              </w:rPr>
              <w:t>📌 Phase 2: Medium-Term Network Optimization (Months 4–6)</w:t>
              <w:br/>
            </w:r>
            <w:r>
              <w:rPr>
                <w:color w:val="334155"/>
                <w:sz w:val="19"/>
              </w:rPr>
              <w:t>1. LTL Consolidation &amp; Cross-Dock Hubbing: Establish regional freight consolidation hubs in Dallas and Chicago to aggregate Road LTL into full Road FTL truckloads, capturing $0.16/ton-km in unit cost savings.</w:t>
              <w:br/>
              <w:t>2. Long-Haul Intermodal Shift: Transition 30% of transcontinental Road FTL freight on the LA-Atlanta and Seattle-NY corridors to Rail Freight/Intermodal, reducing lane costs by 45%.</w:t>
              <w:br/>
              <w:t>3. Predictive Dynamic Lead Time Quoting: Replace static transit schedules with dynamic ML-driven lead times that automatically incorporate seasonal weather and traffic forecasts.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AF5FF"/>
            <w:tcMar>
              <w:top w:w="140" w:type="dxa"/>
              <w:bottom w:w="140" w:type="dxa"/>
              <w:left w:w="200" w:type="dxa"/>
              <w:right w:w="200" w:type="dxa"/>
            </w:tcMar>
            <w:tcBorders>
              <w:left w:val="single" w:sz="24" w:space="0" w:color="9333EA"/>
              <w:top w:val="none"/>
              <w:right w:val="none"/>
              <w:bottom w:val="none"/>
            </w:tcBorders>
          </w:tcPr>
          <w:p>
            <w:pPr>
              <w:spacing w:before="40" w:after="80"/>
            </w:pPr>
            <w:r>
              <w:rPr>
                <w:b/>
                <w:color w:val="0F172A"/>
                <w:sz w:val="21"/>
              </w:rPr>
              <w:t>📌 Phase 3: Long-Term Digital Transformation (Months 7–12)</w:t>
              <w:br/>
            </w:r>
            <w:r>
              <w:rPr>
                <w:color w:val="334155"/>
                <w:sz w:val="19"/>
              </w:rPr>
              <w:t>1. Real-Time IoT &amp; Telematics Visibility: Mandate GPS telematics integration across all 3PL carrier fleets to receive real-time disruption alerts and automate rerouting.</w:t>
              <w:br/>
              <w:t>2. Contractual Q4 Peak Surge Resiliency: Pre-contract dedicated seasonal capacity with carriers 6 months in advance with guaranteed volume commitments to avoid spot-market premium spikes.</w:t>
            </w:r>
          </w:p>
        </w:tc>
      </w:tr>
    </w:tbl>
    <w:p>
      <w:pPr>
        <w:spacing w:after="120"/>
      </w:pPr>
    </w:p>
    <w:p>
      <w:pPr>
        <w:pStyle w:val="Heading1"/>
        <w:keepNext/>
        <w:spacing w:before="240" w:after="80"/>
      </w:pPr>
      <w:r>
        <w:rPr>
          <w:b/>
          <w:color w:val="0F2043"/>
          <w:sz w:val="32"/>
        </w:rPr>
        <w:t>8. Technical Appendix: Python Methodology &amp; Code Implementation</w:t>
      </w:r>
    </w:p>
    <w:p>
      <w:pPr>
        <w:spacing w:line="276" w:lineRule="auto" w:after="120"/>
      </w:pPr>
      <w:r>
        <w:t>The analytical findings and visualizations presented in this report were generated using a structured Python pipeline. Below are key modular excerpts demonstrating data generation, statistical transformation, and visualization architecture.</w:t>
      </w:r>
    </w:p>
    <w:tbl>
      <w:tblPr>
        <w:tblW w:type="auto" w:w="0"/>
        <w:jc w:val="center"/>
        <w:tblLook w:firstColumn="1" w:firstRow="1" w:lastColumn="0" w:lastRow="0" w:noHBand="0" w:noVBand="1" w:val="04A0"/>
      </w:tblPr>
      <w:tblGrid>
        <w:gridCol w:w="9360"/>
      </w:tblGrid>
      <w:tr>
        <w:tc>
          <w:tcPr>
            <w:tcW w:type="dxa" w:w="9360"/>
            <w:shd w:fill="1E293B"/>
            <w:tcMar>
              <w:top w:w="120" w:type="dxa"/>
              <w:bottom w:w="120" w:type="dxa"/>
              <w:left w:w="150" w:type="dxa"/>
              <w:right w:w="150" w:type="dxa"/>
            </w:tcMar>
          </w:tcPr>
          <w:p>
            <w:pPr>
              <w:spacing w:before="40" w:after="40"/>
            </w:pPr>
            <w:r>
              <w:rPr>
                <w:rFonts w:ascii="Consolas" w:hAnsi="Consolas"/>
                <w:color w:val="E2E8F0"/>
                <w:sz w:val="16"/>
              </w:rPr>
              <w:t># ====================================================================</w:t>
              <w:br/>
              <w:t># EXCERPT 1: Multi-Modal Freight Simulation &amp; Cost Engineering</w:t>
              <w:br/>
              <w:t># ====================================================================</w:t>
              <w:br/>
              <w:t>import numpy as np</w:t>
              <w:br/>
              <w:t>import pandas as pd</w:t>
              <w:br/>
              <w:br/>
              <w:t>def compute_freight_cost(weight_kg, distance_km, mode, month):</w:t>
              <w:br/>
              <w:t xml:space="preserve">    rates = {'Air Express': 0.0018, 'Road LTL': 0.00028, 'Road FTL': 0.00012, 'Rail Freight': 0.000065}</w:t>
              <w:br/>
              <w:t xml:space="preserve">    min_costs = {'Air Express': 150, 'Road LTL': 180, 'Road FTL': 850, 'Rail Freight': 1100}</w:t>
              <w:br/>
              <w:t xml:space="preserve">    fuel_surcharge = 0.14 + (0.04 if month in [6, 7, 12] else 0.0)</w:t>
              <w:br/>
              <w:t xml:space="preserve">    handling_fee = 95 if mode == 'Air Express' else 45</w:t>
              <w:br/>
              <w:t xml:space="preserve">    </w:t>
              <w:br/>
              <w:t xml:space="preserve">    variable_cost = weight_kg * distance_km * rates[mode] * (1 + fuel_surcharge)</w:t>
              <w:br/>
              <w:t xml:space="preserve">    total_cost = max(min_costs[mode], handling_fee + variable_cost)</w:t>
              <w:br/>
              <w:t xml:space="preserve">    return round(total_cost * np.random.uniform(0.96, 1.04), 2)</w:t>
              <w:br/>
              <w:br/>
              <w:t># ====================================================================</w:t>
              <w:br/>
              <w:t># EXCERPT 2: Pareto Delay Root Cause Visualization</w:t>
              <w:br/>
              <w:t># ====================================================================</w:t>
              <w:br/>
              <w:t>import matplotlib.pyplot as plt</w:t>
              <w:br/>
              <w:br/>
              <w:t>def plot_pareto_delays(df):</w:t>
              <w:br/>
              <w:t xml:space="preserve">    delays = df[df['Delay_Reason'] != 'None (On-Time)']['Delay_Reason'].value_counts().reset_index()</w:t>
              <w:br/>
              <w:t xml:space="preserve">    delays.columns = ['Reason', 'Count']</w:t>
              <w:br/>
              <w:t xml:space="preserve">    delays['Cum_Pct'] = (delays['Count'].cumsum() / delays['Count'].sum()) * 100</w:t>
              <w:br/>
              <w:t xml:space="preserve">    </w:t>
              <w:br/>
              <w:t xml:space="preserve">    fig, ax1 = plt.subplots(figsize=(10, 5.5))</w:t>
              <w:br/>
              <w:t xml:space="preserve">    ax1.bar(delays['Reason'], delays['Count'], color='#3b82f6', width=0.55)</w:t>
              <w:br/>
              <w:t xml:space="preserve">    ax2 = ax1.twinx()</w:t>
              <w:br/>
              <w:t xml:space="preserve">    ax2.plot(delays['Reason'], delays['Cum_Pct'], color='#dc2626', marker='D', linewidth=2.2)</w:t>
              <w:br/>
              <w:t xml:space="preserve">    ax2.axhline(80, color='grey', linestyle=':')</w:t>
              <w:br/>
              <w:t xml:space="preserve">    plt.title('Figure 4: Pareto Chart of Delivery Delays')</w:t>
              <w:br/>
              <w:t xml:space="preserve">    plt.tight_layout()</w:t>
              <w:br/>
              <w:t xml:space="preserve">    plt.savefig('charts/fig4_delay_root_cause_pareto.png', dpi=300)</w:t>
              <w:br/>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Confidential - For Internal Logistics Strategy &amp; Academic Assessment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6"/>
      </w:rPr>
      <w:t>Comprehensive Logistics Analysis &amp; Performance Optimization | Week 3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