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Draft v1 — extracted from combined Ch24/25 source file. Content unchanged from canonical text. Generated 2026-04-27.</w:t>
      </w:r>
    </w:p>
    <w:p>
      <w:pPr>
        <w:pStyle w:val="Heading1"/>
      </w:pPr>
      <w:r>
        <w:t>BOOK TWO — APPLICATION OF THE ALPHA–OMEGA LENS</w:t>
      </w:r>
    </w:p>
    <w:p>
      <w:pPr>
        <w:pStyle w:val="Heading2"/>
      </w:pPr>
      <w:r>
        <w:t>Part V — Cultural and Belief Systems</w:t>
      </w:r>
    </w:p>
    <w:p>
      <w:pPr>
        <w:pStyle w:val="Heading1"/>
      </w:pPr>
      <w:r>
        <w:t>Chapter 25 — Meaning Without Structural Awareness</w:t>
      </w:r>
    </w:p>
    <w:p>
      <w:r>
        <w:rPr>
          <w:i/>
        </w:rPr>
        <w:t>Artifact 25 — Locked</w:t>
      </w:r>
    </w:p>
    <w:p>
      <w:r>
        <w:t>Meaning is not dangerous because it exists.</w:t>
      </w:r>
    </w:p>
    <w:p>
      <w:r>
        <w:t>It becomes dangerous when it operates without awareness of structure.</w:t>
      </w:r>
    </w:p>
    <w:p>
      <w:r>
        <w:t>When meaning is detached from the systems that produce and constrain it, it becomes absolute, self-reinforcing, and resistant to correction.</w:t>
      </w:r>
    </w:p>
    <w:p>
      <w:pPr>
        <w:pStyle w:val="Heading2"/>
      </w:pPr>
      <w:r>
        <w:t>Meaning as a Human Necessity</w:t>
      </w:r>
    </w:p>
    <w:p>
      <w:r>
        <w:t>Humans generate meaning instinctively.</w:t>
      </w:r>
    </w:p>
    <w:p>
      <w:r>
        <w:t>Meaning organizes experience, reduces uncertainty, and provides orientation. It answers questions that structure alone cannot satisfy: Why does this matter? Who am I? What should I do?</w:t>
      </w:r>
    </w:p>
    <w:p>
      <w:r>
        <w:t>Meaning is not optional.</w:t>
      </w:r>
    </w:p>
    <w:p>
      <w:pPr>
        <w:pStyle w:val="Heading2"/>
      </w:pPr>
      <w:r>
        <w:t>The Structural Blind Spot</w:t>
      </w:r>
    </w:p>
    <w:p>
      <w:r>
        <w:t>Meaning becomes distorted when it is treated as primary.</w:t>
      </w:r>
    </w:p>
    <w:p>
      <w:r>
        <w:t>When individuals or systems assume meaning explains outcomes, structure disappears from view. Failures are moralized. Success is sanctified. Constraint is ignored.</w:t>
      </w:r>
    </w:p>
    <w:p>
      <w:r>
        <w:t>The system continues shaping behavior, unseen.</w:t>
      </w:r>
    </w:p>
    <w:p>
      <w:pPr>
        <w:pStyle w:val="Heading2"/>
      </w:pPr>
      <w:r>
        <w:t>When Meaning Substitutes for Explanation</w:t>
      </w:r>
    </w:p>
    <w:p>
      <w:r>
        <w:t>Meaning often fills explanatory gaps.</w:t>
      </w:r>
    </w:p>
    <w:p>
      <w:r>
        <w:t>Instead of examining incentives, interfaces, and retention, systems rely on narrative. These narratives feel complete because they are emotionally coherent—even when structurally false.</w:t>
      </w:r>
    </w:p>
    <w:p>
      <w:r>
        <w:t>Coherence replaces accuracy.</w:t>
      </w:r>
    </w:p>
    <w:p>
      <w:pPr>
        <w:pStyle w:val="Heading2"/>
      </w:pPr>
      <w:r>
        <w:t>Why Meaning Hardens Quickly</w:t>
      </w:r>
    </w:p>
    <w:p>
      <w:r>
        <w:t>Meaning stabilizes identity.</w:t>
      </w:r>
    </w:p>
    <w:p>
      <w:r>
        <w:t>Once meaning is attached to self-worth, questioning it becomes threatening. Structural critique feels like existential attack. As a result, meaning hardens into certainty.</w:t>
      </w:r>
    </w:p>
    <w:p>
      <w:r>
        <w:t>Certainty resists feedback.</w:t>
      </w:r>
    </w:p>
    <w:p>
      <w:pPr>
        <w:pStyle w:val="Heading2"/>
      </w:pPr>
      <w:r>
        <w:t>The Cost of Structural Illiteracy</w:t>
      </w:r>
    </w:p>
    <w:p>
      <w:r>
        <w:t>Without structural awareness:</w:t>
      </w:r>
    </w:p>
    <w:p>
      <w:pPr>
        <w:pStyle w:val="ListBullet"/>
      </w:pPr>
      <w:r>
        <w:t>Harm is personalized</w:t>
      </w:r>
    </w:p>
    <w:p>
      <w:pPr>
        <w:pStyle w:val="ListBullet"/>
      </w:pPr>
      <w:r>
        <w:t>Systems are defended</w:t>
      </w:r>
    </w:p>
    <w:p>
      <w:pPr>
        <w:pStyle w:val="ListBullet"/>
      </w:pPr>
      <w:r>
        <w:t>Reform targets behavior instead of design</w:t>
      </w:r>
    </w:p>
    <w:p>
      <w:pPr>
        <w:pStyle w:val="ListBullet"/>
      </w:pPr>
      <w:r>
        <w:t>Cycles repeat without recognition</w:t>
      </w:r>
    </w:p>
    <w:p>
      <w:r>
        <w:t>The same meaning produces the same outcomes because the same structure remains.</w:t>
      </w:r>
    </w:p>
    <w:p>
      <w:pPr>
        <w:pStyle w:val="Heading2"/>
      </w:pPr>
      <w:r>
        <w:t>Meaning as a Control Surface</w:t>
      </w:r>
    </w:p>
    <w:p>
      <w:r>
        <w:t>Meaning can be shaped.</w:t>
      </w:r>
    </w:p>
    <w:p>
      <w:r>
        <w:t>When systems control narrative, they indirectly control behavior. This control does not require enforcement. Alignment emerges through interpretation.</w:t>
      </w:r>
    </w:p>
    <w:p>
      <w:r>
        <w:t>Meaning becomes leverage.</w:t>
      </w:r>
    </w:p>
    <w:p>
      <w:pPr>
        <w:pStyle w:val="Heading2"/>
      </w:pPr>
      <w:r>
        <w:t>The Lens Integration</w:t>
      </w:r>
    </w:p>
    <w:p>
      <w:r>
        <w:t>The lens does not eliminate meaning.</w:t>
      </w:r>
    </w:p>
    <w:p>
      <w:r>
        <w:t>It contextualizes it.</w:t>
      </w:r>
    </w:p>
    <w:p>
      <w:r>
        <w:t>Meaning is treated as an output of structure, not a substitute for it. This restores flexibility without erasing purpose.</w:t>
      </w:r>
    </w:p>
    <w:p>
      <w:r>
        <w:t>Meaning regains mobility.</w:t>
      </w:r>
    </w:p>
    <w:p>
      <w:r>
        <w:t>This chapter completes Part V.</w:t>
      </w:r>
    </w:p>
    <w:p>
      <w:r>
        <w:t>The next section examines enforcement and containment systems—where structure becomes explicit, coercive, and difficult to ignore.</w:t>
      </w:r>
    </w:p>
    <w:p>
      <w:r>
        <w:rPr>
          <w:i/>
        </w:rPr>
        <w:t>End of Book Two · Part V · Chapter 25</w:t>
      </w:r>
    </w:p>
    <w:p>
      <w:r>
        <w:rPr>
          <w:i/>
        </w:rPr>
        <w:t>Artifact 25 locked.</w:t>
      </w:r>
    </w:p>
    <w:p>
      <w:r>
        <w:rPr>
          <w:i/>
        </w:rPr>
        <w:t>When ready, say:</w:t>
      </w:r>
    </w:p>
    <w:p>
      <w:r>
        <w:rPr>
          <w:i/>
        </w:rPr>
        <w:t>“Proceed — Book Two · Part VI · Chapter 26.”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