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dhvt0i4v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r3hhdruix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III — Institutional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e56ca7fz0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15 — Regulation, Capture, and Feedback Failure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15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Regulation is introduced to correct imbalance.</w:t>
        <w:br w:type="textWrapping"/>
        <w:t xml:space="preserve">Over time, it often reinforces 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because regulation is inherently flawed, but because </w:t>
      </w:r>
      <w:r w:rsidDel="00000000" w:rsidR="00000000" w:rsidRPr="00000000">
        <w:rPr>
          <w:b w:val="1"/>
          <w:bCs w:val="1"/>
          <w:rtl w:val="0"/>
        </w:rPr>
        <w:t xml:space="preserve">feedback pathways degrade</w:t>
      </w:r>
      <w:r w:rsidDel="00000000" w:rsidR="00000000" w:rsidRPr="00000000">
        <w:rPr>
          <w:rtl w:val="0"/>
        </w:rPr>
        <w:t xml:space="preserve"> as systems stabilize. When feedback fails, regulation begins serving the structures it was meant to constrain.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mfu5mbor2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Regulation Exists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Regulation emerges to manage externalities.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unregulated systems produce harm that is not internally corrected, regulation introduces boundaries, standards, and enforcement. Initially, this restores balance and trust.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improves.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wlh6270ho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Slow Shift Toward Capture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regulation persists, regulated entities adapt.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learn the rules. They optimize compliance. They invest in expertise that interprets and influences regulatory frameworks. Over time, the regulated gain informational advantage over regulators.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asymmetry creates capture.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is not takeover.</w:t>
        <w:br w:type="textWrapping"/>
        <w:t xml:space="preserve">It is alignment.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1f23utmic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as the Critical Variable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regulation depends on feedback: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 from affected populations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about real-world outcomes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consequences that reach decision layers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feedback weakens, regulation decouples from impact. It begins reflecting institutional assumptions rather than lived effects.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regulates activity, not outcome.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es6c449we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Capture Is Structurally Stable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captured, regulation stabilizes.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become complex. Interfaces narrow. Entry barriers rise. Established actors can comply; new ones cannot. The system appears orderly while suppressing variation.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is mistaken for success.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gxqnvy6dr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Regulation as Retention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frameworks retain: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relevance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regulation fails its original purpose, it persists because it has become part of the institutional container. Removal introduces uncertainty that the system is not designed to absorb.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7mh7sy4uq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Illusion of Oversight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Oversight mechanisms often replicate the same structural constraints as the systems they monitor.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rely on the same data. They share professional culture. They operate within the same legal and bureaucratic frameworks.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loops close quietly.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2xgxv4wkk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regulation structurally, ask: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provides feedback?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interprets it?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from complexity?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outcomes are no longer measured?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outcomes are absent from evaluation, feedback has failed.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completes Part III.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section shifts from institutional design to economic and social systems, where the same structural dynamics play out with different variables.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III · Chapter 15</w:t>
        <w:br w:type="textWrapping"/>
        <w:t xml:space="preserve">Artifact 15 locked.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IV · Chapter 16.”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