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mpn3mxy0ipw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BOOK TWO — APPLICATION OF THE ALPHA–OMEGA LENS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22b2ffug7r5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VI — Enforcement and Containment Systems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hapjx8nly49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Chapter 30 — Why Containment Always Expands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Artifact 30 — Locked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Containment is rarely introduced as a permanent solution.</w:t>
        <w:br w:type="textWrapping"/>
        <w:t xml:space="preserve">It becomes permanent because </w:t>
      </w:r>
      <w:r w:rsidDel="00000000" w:rsidR="00000000" w:rsidRPr="00000000">
        <w:rPr>
          <w:b w:val="1"/>
          <w:bCs w:val="1"/>
          <w:rtl w:val="0"/>
        </w:rPr>
        <w:t xml:space="preserve">nothing else replaces 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systems rely on containment instead of correction, expansion is not a policy choice. It is a structural inevitability.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tkj21vw5n8x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Containment as a Default Response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Containment addresses visibility, not cause.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removes disruption from the system’s surface while leaving underlying misalignment intact. Because the source remains, new disruptions emerge. Each instance justifies additional containment.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responds by enlarging capacity.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je64dnzx9nq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Expansion Feels Rational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expansion has a rationale: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Increased risk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Rising volume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threats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demand for safety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justification is locally valid. Taken together, they produce continuous growth. Retraction feels irresponsible. Expansion feels prudent.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Containment accumulates.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0nug5se72eq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Absence of Exit Conditions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Containment systems rarely include expiration.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Facilities, authorities, and procedures persist because no structural mechanism exists to dismantle them. Decommissioning introduces uncertainty that systems are designed to avoid.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is built remains.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hg9wglxlply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Feedback Suppression and Escalation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Containment suppresses feedback.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isolating problems, systems lose information about their own failure modes. Without feedback, misalignment worsens. New containment is added to manage the consequences.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loop reinforces itself.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k1faemp3jak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Normalization of Constraint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containment expands, constraint normalizes.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Practices once considered exceptional become routine. Boundaries shift quietly. Participants adapt expectations downward.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Expansion becomes invisible.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h4j0v56b086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Reform Targets the Wrong Layer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Reform efforts often focus on managing containment humanely rather than questioning reliance on containment itself.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Conditions improve marginally. The system remains intact. Intake continues. Expansion resumes.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Containment survives reform.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xs10jmdpfsv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Lens Diagnostic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identify inevitable expansion, ask: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problems are contained rather than corrected?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causes remain untouched?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mechanisms reduce future intake?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conditions trigger dismantling?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dismantling is absent, expansion is guaranteed.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chapter completes Part VI.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next section shifts to technology and acceleration—systems that dramatically increase speed, scale, and amplification of the same structural dynamics already described.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Book Two · Part VI · Chapter 30</w:t>
        <w:br w:type="textWrapping"/>
        <w:t xml:space="preserve">Artifact 30 locked.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When ready, say: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“Proceed — Book Two · Part VII · Chapter 31.”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