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pxuvxtmt01x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BOOK TWO — APPLICATION OF THE ALPHA–OMEGA LENS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wgxkhivy8gq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VII — Technology and Acceleration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fvb7zlg92h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Chapter 32 — Automation and Human Displacement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Artifact 32 — Locked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Automation is not a labor policy.</w:t>
        <w:br w:type="textWrapping"/>
        <w:t xml:space="preserve">It is an </w:t>
      </w:r>
      <w:r w:rsidDel="00000000" w:rsidR="00000000" w:rsidRPr="00000000">
        <w:rPr>
          <w:b w:val="1"/>
          <w:bCs w:val="1"/>
          <w:rtl w:val="0"/>
        </w:rPr>
        <w:t xml:space="preserve">efficiency response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systems automate, they do not decide whom to value. They optimize for throughput. Displacement emerges when human participation is treated as friction rather than integration.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bxlap66fju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Automation as Structural Compression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Automation compresses processes.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Tasks that once required judgment, coordination, or presence are converted into repeatable operations. This compression increases speed and reduces variance. The system gains predictability.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 nuance becomes optional.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dxpcirnn9c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Displacement Is Predictable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Displacement occurs when: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 is modular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is measurable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can be approximated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Accountability is centralized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 these conditions, automation outcompetes human labor regardless of social consequence.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Efficiency wins by design.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lfw6n1mtt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Misreading of Skill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Displacement is often framed as a skills problem.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reskilling matters locally, structurally it cannot absorb all displaced labor. Automation reduces demand for human input faster than new roles can form when systems prioritize efficiency over integration.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Adaptation lags acceleration.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qeuo0vr8qev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Concentration of Benefit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Automation concentrates benefit upstream.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Capital owners, platform operators, and system controllers capture gains. Displaced costs—unemployment, instability, retraining—are externalized.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improves metrics while degrading livelihoods.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k8e3183qe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Automation Persists Despite Harm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Automation persists because it aligns with institutional incentives.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reduces cost, increases output, and simplifies oversight. Harm appears indirect and delayed. Responsibility diffuses across layers.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single actor causes displacement.</w:t>
        <w:br w:type="textWrapping"/>
        <w:t xml:space="preserve">The system produces it.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2yr5r2f24d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Human Redundancy as a Design Outcome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humans are not structurally integrated, they become redundant.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Systems designed without human-centered interfaces treat people as interchangeable inputs. When inputs are replaceable, replacement follows.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failure.</w:t>
        <w:br w:type="textWrapping"/>
        <w:t xml:space="preserve">It is execution.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or198aw22wc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Lens Diagnostic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assess automation impact, ask: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human roles are removed?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integration pathways remain?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captures efficiency gains?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feedback exists from displacement?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humans exit without reintegration, displacement is structural.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chapter reframes automation as an amplifier of existing labor misalignment.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next chapter examines data and algorithms—where retained influence replaces visible authority.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Book Two · Part VII · Chapter 32</w:t>
        <w:br w:type="textWrapping"/>
        <w:t xml:space="preserve">Artifact 32 locked.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When ready, say: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“Proceed — Book Two · Part VII · Chapter 33.”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