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javpc1lzf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rrmbx9rf6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VIII — Repair, Alignment, and Design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abfmpgxp2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39 — Grassroots Alignment and Scale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39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does not begin at scale.</w:t>
        <w:br w:type="textWrapping"/>
        <w:t xml:space="preserve">It begins </w:t>
      </w:r>
      <w:r w:rsidDel="00000000" w:rsidR="00000000" w:rsidRPr="00000000">
        <w:rPr>
          <w:b w:val="1"/>
          <w:bCs w:val="1"/>
          <w:rtl w:val="0"/>
        </w:rPr>
        <w:t xml:space="preserve">locally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Grassroots systems succeed not because they are small, but because their structures remain legible, responsive, and correctable. The challenge is not alignment—it is </w:t>
      </w:r>
      <w:r w:rsidDel="00000000" w:rsidR="00000000" w:rsidRPr="00000000">
        <w:rPr>
          <w:b w:val="1"/>
          <w:bCs w:val="1"/>
          <w:rtl w:val="0"/>
        </w:rPr>
        <w:t xml:space="preserve">preserving alignment as scale increases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edx74url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Grassroots Systems Align Easily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small scale, feedback is immediate.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can see consequences of decisions. Roles overlap. Interfaces are thin. Correction is fast. Trust emerges from proximity rather than policy.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is maintained naturally.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nm21dqk5k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Scaling Problem Revisited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systems scale, they reintroduce: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changes are not mistakes. They are responses to volume. The problem arises when scaling mechanisms replace feedback rather than extend it.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erodes quietly.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fxpm53gzq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Preserving Feedback at Scale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 alignment depends on feedback design.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Decentralized decision rights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autonomy within global constraints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metrics tied to outcomes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correction pathways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without feedback recreates centralization.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f464cm226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Avoiding Romanticization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Grassroots is not a moral category.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systems can be exclusionary, inefficient, or fragile. Alignment is not guaranteed by size. It is produced by structure.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requires design, not nostalgia.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yl3rkvhdp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Federation Over Centralization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scalable pattern is federation.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Federated systems preserve local control while coordinating shared standards. Authority flows upward only when necessary. Retention remains limited.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balances coherence and adaptability.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nachf72by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Alignment Fails When Exported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fails when imposed.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Top-down replication of grassroots models ignores context. Interfaces mismatch. Incentives misalign. What worked locally degrades elsewhere.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must be cultivated, not copied.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c121rrvei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scalable alignment, ask: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are decisions made?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feedback travel?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autonomy exists locally?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triggers central intervention?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local correction is impossible, alignment will not persist.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frames alignment as a structural achievement rather than a cultural ideal.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chapter returns to the lens itself—what it means to carry it forward as a permanent tool rather than a temporary critique.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VIII · Chapter 39</w:t>
        <w:br w:type="textWrapping"/>
        <w:t xml:space="preserve">Artifact 39 locked.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VIII · Chapter 40.”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