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ej94zflht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33ctgf6ab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 — Using the Lens (Foundational Mechanics)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og2uarxt5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4 — Interfaces vs Containers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04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do not fail where they are strong.</w:t>
        <w:br w:type="textWrapping"/>
        <w:t xml:space="preserve">They fail where they connect.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interface is where a system meets something else: a person, another system, an input, or an output. A container is what holds and preserves what has already entered.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dysfunction is misdiagnosed because attention is placed on containers instead of interfaces.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c9312ygde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an Interface 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interface is a </w:t>
      </w:r>
      <w:r w:rsidDel="00000000" w:rsidR="00000000" w:rsidRPr="00000000">
        <w:rPr>
          <w:b w:val="1"/>
          <w:bCs w:val="1"/>
          <w:rtl w:val="0"/>
        </w:rPr>
        <w:t xml:space="preserve">boundary with 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determines: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can enter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admitted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information is translated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feedback is permitted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exit occurs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 are not neutral. They encode priorities.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interfaces are clear, systems remain legible. When they are opaque, systems drift while appearing stable.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gdp683b8d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 Container Is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container is where resources, authority, or information are stored.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accumulated value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loss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continuity over time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Containers are necessary. No system operates without storage. The problem arises when containers expand while interfaces stagnate.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happens, systems become difficult to enter, impossible to exit, and resistant to correction.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941oea5l4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Common Diagnostic Error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reform efforts focus on what is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the container: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 changes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statements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restructuring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rarely alter outcomes because the </w:t>
      </w:r>
      <w:r w:rsidDel="00000000" w:rsidR="00000000" w:rsidRPr="00000000">
        <w:rPr>
          <w:b w:val="1"/>
          <w:bCs w:val="1"/>
          <w:rtl w:val="0"/>
        </w:rPr>
        <w:t xml:space="preserve">interface logic remains unchanged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way something enters and exits a system is unchanged, the system will reproduce the same behavior regardless of internal rearrangement.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6x643lpw3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Interface Degradation and Illusion of Strength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systems age, containers grow heavier. Interfaces grow thinner.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the illusion of strength: large budgets, extensive authority, dense rulebooks, and deep institutional memory. Yet the system becomes fragile at its edges.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no longer arrive intact. Feedback is delayed or filtered. Participants learn how to comply rather than communicate.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 not hear itself failing.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1ckl5mon1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Power Accumulates at Interfaces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 control translation.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who control interfaces determine: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signals are recognized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requests are processed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failures are visible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exits are allowed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interface control becomes more valuable than container size. This is how gatekeeping emerges without conspiracy.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xlerwbd9t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Practical Application of the Lens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examining any system, ask: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are the entry interfaces?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the exit interfaces?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controls them?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friction is imposed?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feedback is suppressed?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answers are unclear, the system is already opaque.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xt6i5jma0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Repair Begins at the Edge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Healthy systems do not begin reform internally. They begin by repairing interfaces: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Simplifying access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 translation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Restoring feedback loops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Reintroducing exit pathways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Containers can remain intact while interfaces change. When interfaces change, behavior follows.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establishes a critical diagnostic distinction.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this point forward, systems will be evaluated not by their stated purpose or internal complexity, but by the integrity of their interfaces.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I · Chapter 4</w:t>
        <w:br w:type="textWrapping"/>
        <w:t xml:space="preserve">Artifact 04 locked.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I · Chapter 5.”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