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Lez9 10/10/2024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Architecture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definizione generica di architettura (da pov reale a pov sviluppo software)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pratiche per progettare infrastruttura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sicurezza, performance, resilienza ed efficienza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pilastri per costruire un ottimo framework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3476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organizzazione pilastro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area questione / questione / contesto / pratiche migliori suggerite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approfondimento dei pilastri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