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Lezione 04/04/2024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268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metodi MVC e REST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https://github.com/maboglia/DataBase/blob/main/02_SQL_Fondamenti/01_tipi_di_dato.md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(!)lavoro db: persistenza dei dati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(!)lavoro java: comportamento server (tipo di dato è tipizzato: int, float, double)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essi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studiamo il collegamento tra db e java (o interpretazione)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maboglia/DataBase/blob/main/02_SQL_Fondamenti/01_tipi_di_dato.m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