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Lezione 27/02/2024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Insegnante Mauro Bogliaccino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Corso: linguaggio 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⋅Tipologie di variabili: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Primitive type(8):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-boolean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-numeric</w:t>
      </w:r>
      <w:r w:rsidDel="00000000" w:rsidR="00000000" w:rsidRPr="00000000">
        <w:rPr>
          <w:rtl w:val="0"/>
        </w:rPr>
        <w:t xml:space="preserve"> (numeric):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-intere</w:t>
      </w:r>
      <w:r w:rsidDel="00000000" w:rsidR="00000000" w:rsidRPr="00000000">
        <w:rPr>
          <w:rtl w:val="0"/>
        </w:rPr>
        <w:t xml:space="preserve"> (integer):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- </w:t>
      </w:r>
      <w:r w:rsidDel="00000000" w:rsidR="00000000" w:rsidRPr="00000000">
        <w:rPr>
          <w:rtl w:val="0"/>
        </w:rPr>
        <w:t xml:space="preserve">byte / short / int/ long / char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-decimal</w:t>
      </w:r>
      <w:r w:rsidDel="00000000" w:rsidR="00000000" w:rsidRPr="00000000">
        <w:rPr>
          <w:rtl w:val="0"/>
        </w:rPr>
        <w:t xml:space="preserve"> (floating point):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 </w:t>
      </w:r>
      <w:r w:rsidDel="00000000" w:rsidR="00000000" w:rsidRPr="00000000">
        <w:rPr>
          <w:rtl w:val="0"/>
        </w:rPr>
        <w:t xml:space="preserve">float /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Reference(4):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class/interface/enum/array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Null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 Sono variabili </w:t>
      </w:r>
      <w:r w:rsidDel="00000000" w:rsidR="00000000" w:rsidRPr="00000000">
        <w:rPr>
          <w:b w:val="1"/>
          <w:rtl w:val="0"/>
        </w:rPr>
        <w:t xml:space="preserve">binarie </w:t>
      </w:r>
      <w:r w:rsidDel="00000000" w:rsidR="00000000" w:rsidRPr="00000000">
        <w:rPr>
          <w:rtl w:val="0"/>
        </w:rPr>
        <w:t xml:space="preserve">(uso di bit: 0 e 1)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 </w:t>
      </w:r>
      <w:r w:rsidDel="00000000" w:rsidR="00000000" w:rsidRPr="00000000">
        <w:rPr>
          <w:sz w:val="22"/>
          <w:szCs w:val="22"/>
          <w:rtl w:val="0"/>
        </w:rPr>
        <w:t xml:space="preserve">tipi di dato primitivi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page" w:horzAnchor="page" w:tblpX="1515" w:tblpY="8085"/>
        <w:tblW w:w="8835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1095"/>
        <w:gridCol w:w="1215"/>
        <w:gridCol w:w="6525"/>
        <w:tblGridChange w:id="0">
          <w:tblGrid>
            <w:gridCol w:w="1095"/>
            <w:gridCol w:w="1215"/>
            <w:gridCol w:w="6525"/>
          </w:tblGrid>
        </w:tblGridChange>
      </w:tblGrid>
      <w:tr>
        <w:trPr>
          <w:cantSplit w:val="0"/>
          <w:trHeight w:val="405" w:hRule="atLeast"/>
          <w:tblHeader w:val="1"/>
        </w:trPr>
        <w:tc>
          <w:tcPr>
            <w:shd w:fill="a4c2f4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intervallo / precisione</w:t>
            </w:r>
          </w:p>
        </w:tc>
      </w:tr>
      <w:tr>
        <w:trPr>
          <w:cantSplit w:val="0"/>
          <w:trHeight w:val="185.9252929687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-128 a 127</w:t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16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-32,768 a 32,767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32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-2,147,483,648 a 2,147,483,647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64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-9,223,372,036,854,775,808 a 9,223,372,036,854,775,807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32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 cifre decimali ca</w:t>
            </w:r>
          </w:p>
        </w:tc>
      </w:tr>
      <w:tr>
        <w:trPr>
          <w:cantSplit w:val="0"/>
          <w:trHeight w:val="320.9252929687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64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15 cifre decimali ca</w:t>
            </w:r>
          </w:p>
        </w:tc>
      </w:tr>
      <w:tr>
        <w:trPr>
          <w:cantSplit w:val="0"/>
          <w:trHeight w:val="80.9252929687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16 bit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 carattere unicode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ND / 1 bit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 in java: </w:t>
      </w:r>
      <w:r w:rsidDel="00000000" w:rsidR="00000000" w:rsidRPr="00000000">
        <w:rPr>
          <w:b w:val="1"/>
          <w:rtl w:val="0"/>
        </w:rPr>
        <w:t xml:space="preserve">oggetti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reference type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gli oggetti possiedono </w:t>
      </w:r>
      <w:r w:rsidDel="00000000" w:rsidR="00000000" w:rsidRPr="00000000">
        <w:rPr>
          <w:b w:val="1"/>
          <w:rtl w:val="0"/>
        </w:rPr>
        <w:t xml:space="preserve">stato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proprietà.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es: oggetto: semaforo(proprietà colore; stato: acceso/spento)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 è importante fare uso dell’</w:t>
      </w:r>
      <w:r w:rsidDel="00000000" w:rsidR="00000000" w:rsidRPr="00000000">
        <w:rPr>
          <w:b w:val="1"/>
          <w:rtl w:val="0"/>
        </w:rPr>
        <w:t xml:space="preserve">astrazione </w:t>
      </w:r>
      <w:r w:rsidDel="00000000" w:rsidR="00000000" w:rsidRPr="00000000">
        <w:rPr>
          <w:rtl w:val="0"/>
        </w:rPr>
        <w:t xml:space="preserve">degli elementi che estrapoliamo dalla realtà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faremo uso di eclipse IDE </w:t>
      </w:r>
      <w:r w:rsidDel="00000000" w:rsidR="00000000" w:rsidRPr="00000000">
        <w:rPr>
          <w:rtl w:val="0"/>
        </w:rPr>
        <w:t xml:space="preserve">(integrated development environment)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prj0_HelloWorld.java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HelloWorld.java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prj0_HelloWorld;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occhio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uso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iniziali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maiuscole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minuscole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HelloWorld {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inizializzazione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main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saluto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saluto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"Hello World :)"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//System.out.print("Hello World!"); 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roba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nelle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parentesi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è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resto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nella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riga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è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Classe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saluto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prj01_LanciaDadi.java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Dado.java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gioco;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Dado {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proprietà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variabili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minuscolo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altrimenti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faiCosì (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ovvero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camelCase))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facce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6;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facciaUscita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metodi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azione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comando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operazione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lancia() {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facciaUscita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)(Math.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facce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)+1;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darà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forzatamente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intero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LanciaDAdi.java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gioco;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LanciaDadi {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creiamo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istanze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oggetto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istanza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classe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Dado();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creo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l'oggetto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Dado();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NUMERO_LANCI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1000000000;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versione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finale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quello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segue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ovvero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è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costante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convenzione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TUTTO_MAIUSC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vittorie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NUMERO_LANCI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.lancia();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.lancia();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System.out.println("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1 vale "+d1.facciaUscita);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System.out.println("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2 vale "+d2.facciaUscita);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shd w:fill="d4d4d4" w:val="clear"/>
          <w:rtl w:val="0"/>
        </w:rPr>
        <w:t xml:space="preserve">facciaUscita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shd w:fill="d4d4d4" w:val="clear"/>
          <w:rtl w:val="0"/>
        </w:rPr>
        <w:t xml:space="preserve">facciaUscita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vittorie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//System.out.println("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Hai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vinto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!!!");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"Hai giocato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NUMERO_LANCI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volte: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"Hai vinto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vittorie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volte: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percentuale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vittorie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NUMERO_LANCI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"La percentuale di vittorie è: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percentuale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"Il tempo impiegato nell'elaborazione è di: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millisecondi"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check: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https://github.com/maboglia/CorsoJava/tree/master/appunti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boglia/CorsoJava/tree/master/appu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