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Appropriation Strategy Lab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Teaching Guide for Business School Lecturers</w:t>
      </w:r>
    </w:p>
    <w:p>
      <w:pPr>
        <w:spacing w:after="600"/>
        <w:jc w:val="center"/>
      </w:pPr>
      <w:r>
        <w:rPr>
          <w:sz w:val="24"/>
          <w:szCs w:val="24"/>
        </w:rPr>
        <w:t xml:space="preserve">Ammon Salter</w:t>
      </w:r>
      <w:r>
        <w:rPr>
          <w:color w:val="666666"/>
          <w:sz w:val="22"/>
          <w:szCs w:val="22"/>
        </w:rPr>
        <w:t xml:space="preserve">
Warwick Business School, University of Warwick</w:t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t xml:space="preserve">Appropriation Strategy Lab is an interactive browser-based game that teaches students how firms capture value from their innovations. Through realistic scenarios spanning pharmaceuticals, software, food &amp; beverage, fashion, and more, students learn to apply appropriation mechanisms strategically.</w:t>
      </w:r>
    </w:p>
    <w:p>
      <w:pPr>
        <w:spacing w:after="200"/>
      </w:pPr>
      <w:r>
        <w:t xml:space="preserve">The game is based on David Teece's influential framework from "Profiting from Technological Innovation" (1986), which explores why innovating firms often fail to capture the economic returns from their innovations.</w:t>
      </w:r>
    </w:p>
    <w:p>
      <w:pPr>
        <w:pStyle w:val="Heading1"/>
      </w:pPr>
      <w:r>
        <w:t xml:space="preserve">2. Learning Objectives</w:t>
      </w:r>
    </w:p>
    <w:p>
      <w:pPr>
        <w:spacing w:after="100"/>
      </w:pPr>
      <w:r>
        <w:t xml:space="preserve">By the end of this activity, students will be able to:</w:t>
      </w:r>
    </w:p>
    <w:p>
      <w:pPr>
        <w:pStyle w:val="ListParagraph"/>
        <w:numPr>
          <w:ilvl w:val="0"/>
          <w:numId w:val="2"/>
        </w:numPr>
      </w:pPr>
      <w:r>
        <w:t xml:space="preserve">Distinguish between formal protection mechanisms (patents, trademarks, copyright) and informal methods (secrecy, lead time, complexity, community)</w:t>
      </w:r>
    </w:p>
    <w:p>
      <w:pPr>
        <w:pStyle w:val="ListParagraph"/>
        <w:numPr>
          <w:ilvl w:val="0"/>
          <w:numId w:val="2"/>
        </w:numPr>
      </w:pPr>
      <w:r>
        <w:t xml:space="preserve">Analyse how imitability and visibility affect protection strategy choices</w:t>
      </w:r>
    </w:p>
    <w:p>
      <w:pPr>
        <w:pStyle w:val="ListParagraph"/>
        <w:numPr>
          <w:ilvl w:val="0"/>
          <w:numId w:val="2"/>
        </w:numPr>
      </w:pPr>
      <w:r>
        <w:t xml:space="preserve">Evaluate the role of complementary assets in value capture</w:t>
      </w:r>
    </w:p>
    <w:p>
      <w:pPr>
        <w:pStyle w:val="ListParagraph"/>
        <w:numPr>
          <w:ilvl w:val="0"/>
          <w:numId w:val="2"/>
        </w:numPr>
      </w:pPr>
      <w:r>
        <w:t xml:space="preserve">Apply Teece's appropriability framework to real-world innovation scenarios</w:t>
      </w:r>
    </w:p>
    <w:p>
      <w:pPr>
        <w:pStyle w:val="ListParagraph"/>
        <w:numPr>
          <w:ilvl w:val="0"/>
          <w:numId w:val="2"/>
        </w:numPr>
      </w:pPr>
      <w:r>
        <w:t xml:space="preserve">Recognise that protection strategies must be tailored to context—there is no universal "best" approach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Understand the trade-offs between protection strength, cost, and strategic fit</w:t>
      </w:r>
    </w:p>
    <w:p>
      <w:pPr>
        <w:pStyle w:val="Heading1"/>
      </w:pPr>
      <w:r>
        <w:t xml:space="preserve">3. Key Concepts Covered</w:t>
      </w:r>
    </w:p>
    <w:p>
      <w:pPr>
        <w:pStyle w:val="Heading2"/>
      </w:pPr>
      <w:r>
        <w:t xml:space="preserve">Formal Protection Mechanisms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Patents</w:t>
      </w:r>
      <w:r>
        <w:t xml:space="preserve"> – Legal monopoly for novel, non-obvious inventions (requires disclosure)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Trade Marks</w:t>
      </w:r>
      <w:r>
        <w:t xml:space="preserve"> – Protection for brand names, logos, and distinctive identifiers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Copyright</w:t>
      </w:r>
      <w:r>
        <w:t xml:space="preserve"> – Automatic protection for creative works (code, text, images, music)</w:t>
      </w:r>
    </w:p>
    <w:p>
      <w:pPr>
        <w:pStyle w:val="Heading2"/>
      </w:pPr>
      <w:r>
        <w:t xml:space="preserve">Informal/Practical Methods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Secrecy (Trade Secrets)</w:t>
      </w:r>
      <w:r>
        <w:t xml:space="preserve"> – Keeping valuable know-how confidential (recipes, algorithms, processes)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Lead Time &amp; First-Mover Advantage</w:t>
      </w:r>
      <w:r>
        <w:t xml:space="preserve"> – Staying ahead through speed and continuous innovation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Complexity &amp; Tacit Skill</w:t>
      </w:r>
      <w:r>
        <w:t xml:space="preserve"> – Making replication difficult through embedded knowledge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Community &amp; Switching Costs</w:t>
      </w:r>
      <w:r>
        <w:t xml:space="preserve"> – Building user attachment and making exit painful</w:t>
      </w:r>
    </w:p>
    <w:p>
      <w:pPr>
        <w:pStyle w:val="Heading2"/>
      </w:pPr>
      <w:r>
        <w:t xml:space="preserve">Complementary Assets &amp; Contracts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Complementary Assets</w:t>
      </w:r>
      <w:r>
        <w:t xml:space="preserve"> – Manufacturing, distribution, sales, service, data, platforms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Contracts</w:t>
      </w:r>
      <w:r>
        <w:t xml:space="preserve"> – NDAs, exclusivity agreements, licensing terms, non-competes</w:t>
      </w:r>
    </w:p>
    <w:p>
      <w:pPr>
        <w:pStyle w:val="Heading1"/>
      </w:pPr>
      <w:r>
        <w:t xml:space="preserve">4. Suggested Session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Introduction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5–10 min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Brief overview of Teece's framework and game mechanics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Individual 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15–20 min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Students play through 10 scenarios independently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Small Group Discussion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10–15 min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Groups of 3–4 compare answers and discuss challenging scenarios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Class Debrief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15–20 min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Instructor-led discussion of key insights and framework application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45–65 min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Flexible timing based on class level and discussion depth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Pre-Session Preparation</w:t>
      </w:r>
    </w:p>
    <w:p>
      <w:pPr>
        <w:pStyle w:val="Heading2"/>
      </w:pPr>
      <w:r>
        <w:t xml:space="preserve">For Instructors</w:t>
      </w:r>
    </w:p>
    <w:p>
      <w:pPr>
        <w:pStyle w:val="ListParagraph"/>
        <w:numPr>
          <w:ilvl w:val="0"/>
          <w:numId w:val="4"/>
        </w:numPr>
      </w:pPr>
      <w:r>
        <w:t xml:space="preserve">Play through the game yourself to familiarise with scenarios and scoring</w:t>
      </w:r>
    </w:p>
    <w:p>
      <w:pPr>
        <w:pStyle w:val="ListParagraph"/>
        <w:numPr>
          <w:ilvl w:val="0"/>
          <w:numId w:val="4"/>
        </w:numPr>
      </w:pPr>
      <w:r>
        <w:t xml:space="preserve">Review Teece (1986) or prepare a brief summary of the appropriability framework</w:t>
      </w:r>
    </w:p>
    <w:p>
      <w:pPr>
        <w:pStyle w:val="ListParagraph"/>
        <w:numPr>
          <w:ilvl w:val="0"/>
          <w:numId w:val="4"/>
        </w:numPr>
      </w:pPr>
      <w:r>
        <w:t xml:space="preserve">Test the game URL works on classroom computers/student devices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Prepare 2–3 real-world examples to discuss (e.g., Coca-Cola's secrecy, Apple's ecosystem, pharmaceutical patents)</w:t>
      </w:r>
    </w:p>
    <w:p>
      <w:pPr>
        <w:pStyle w:val="Heading2"/>
      </w:pPr>
      <w:r>
        <w:t xml:space="preserve">For Students (Optional Pre-Reading)</w:t>
      </w:r>
    </w:p>
    <w:p>
      <w:pPr>
        <w:pStyle w:val="ListParagraph"/>
        <w:numPr>
          <w:ilvl w:val="0"/>
          <w:numId w:val="3"/>
        </w:numPr>
      </w:pPr>
      <w:r>
        <w:t xml:space="preserve">Teece, D.J. (1986). "Profiting from technological innovation." Research Policy, 15(6), 285-305.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Any introductory material on intellectual property and innovation strategy</w:t>
      </w:r>
    </w:p>
    <w:p>
      <w:pPr>
        <w:pStyle w:val="Heading1"/>
      </w:pPr>
      <w:r>
        <w:t xml:space="preserve">6. Running the Session</w:t>
      </w:r>
    </w:p>
    <w:p>
      <w:pPr>
        <w:pStyle w:val="Heading2"/>
      </w:pPr>
      <w:r>
        <w:t xml:space="preserve">Introduction (5–10 minutes)</w:t>
      </w:r>
    </w:p>
    <w:p>
      <w:pPr>
        <w:pStyle w:val="ListParagraph"/>
        <w:numPr>
          <w:ilvl w:val="0"/>
          <w:numId w:val="5"/>
        </w:numPr>
      </w:pPr>
      <w:r>
        <w:t xml:space="preserve">Frame the central question: "Why do innovating firms often fail to capture value from their innovations?"</w:t>
      </w:r>
    </w:p>
    <w:p>
      <w:pPr>
        <w:pStyle w:val="ListParagraph"/>
        <w:numPr>
          <w:ilvl w:val="0"/>
          <w:numId w:val="5"/>
        </w:numPr>
      </w:pPr>
      <w:r>
        <w:t xml:space="preserve">Briefly introduce the protection toolkit (patents, secrecy, trademarks, etc.)</w:t>
      </w:r>
    </w:p>
    <w:p>
      <w:pPr>
        <w:pStyle w:val="ListParagraph"/>
        <w:numPr>
          <w:ilvl w:val="0"/>
          <w:numId w:val="5"/>
        </w:numPr>
      </w:pPr>
      <w:r>
        <w:t xml:space="preserve">Explain the game mechanics: 10 scenarios, choose the best protection strategy, aim for high profit efficiency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Emphasise there's no single "right" answer—context matters</w:t>
      </w:r>
    </w:p>
    <w:p>
      <w:pPr>
        <w:pStyle w:val="Heading2"/>
      </w:pPr>
      <w:r>
        <w:t xml:space="preserve">Individual Play (15–20 minutes)</w:t>
      </w:r>
    </w:p>
    <w:p>
      <w:pPr>
        <w:pStyle w:val="ListParagraph"/>
        <w:numPr>
          <w:ilvl w:val="0"/>
          <w:numId w:val="3"/>
        </w:numPr>
      </w:pPr>
      <w:r>
        <w:t xml:space="preserve">Students access the game on their devices</w:t>
      </w:r>
    </w:p>
    <w:p>
      <w:pPr>
        <w:pStyle w:val="ListParagraph"/>
        <w:numPr>
          <w:ilvl w:val="0"/>
          <w:numId w:val="3"/>
        </w:numPr>
      </w:pPr>
      <w:r>
        <w:t xml:space="preserve">Circulate to observe common misconceptions</w:t>
      </w:r>
    </w:p>
    <w:p>
      <w:pPr>
        <w:pStyle w:val="ListParagraph"/>
        <w:numPr>
          <w:ilvl w:val="0"/>
          <w:numId w:val="3"/>
        </w:numPr>
      </w:pPr>
      <w:r>
        <w:t xml:space="preserve">Note which scenarios generate most uncertainty for later discussion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 bonus mini-game ("Value Drop") may appear—this reinforces the same concepts in an arcade format</w:t>
      </w:r>
    </w:p>
    <w:p>
      <w:pPr>
        <w:pStyle w:val="Heading2"/>
      </w:pPr>
      <w:r>
        <w:t xml:space="preserve">Small Group Discussion (10–15 minutes)</w:t>
      </w:r>
    </w:p>
    <w:p>
      <w:pPr>
        <w:spacing w:after="100"/>
      </w:pPr>
      <w:r>
        <w:t xml:space="preserve">Prompt questions for groups:</w:t>
      </w:r>
    </w:p>
    <w:p>
      <w:pPr>
        <w:pStyle w:val="ListParagraph"/>
        <w:numPr>
          <w:ilvl w:val="0"/>
          <w:numId w:val="6"/>
        </w:numPr>
      </w:pPr>
      <w:r>
        <w:t xml:space="preserve">Which scenarios did you find most challenging? Why?</w:t>
      </w:r>
    </w:p>
    <w:p>
      <w:pPr>
        <w:pStyle w:val="ListParagraph"/>
        <w:numPr>
          <w:ilvl w:val="0"/>
          <w:numId w:val="6"/>
        </w:numPr>
      </w:pPr>
      <w:r>
        <w:t xml:space="preserve">Did anyone choose differently? What was your reasoning?</w:t>
      </w:r>
    </w:p>
    <w:p>
      <w:pPr>
        <w:pStyle w:val="ListParagraph"/>
        <w:numPr>
          <w:ilvl w:val="0"/>
          <w:numId w:val="6"/>
        </w:numPr>
      </w:pPr>
      <w:r>
        <w:t xml:space="preserve">What patterns do you notice across scenarios where patents work well vs. where secrecy is better?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How did complementary assets influence your choices?</w:t>
      </w:r>
    </w:p>
    <w:p>
      <w:pPr>
        <w:pStyle w:val="Heading2"/>
      </w:pPr>
      <w:r>
        <w:t xml:space="preserve">Class Debrief (15–20 minutes)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Surface patterns: </w:t>
      </w:r>
      <w:r>
        <w:t xml:space="preserve">Ask groups to share insights. What distinguishes scenarios where formal IP works vs. informal methods?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Introduce Teece's framework: </w:t>
      </w:r>
      <w:r>
        <w:t xml:space="preserve">Connect observations to appropriability regime (strong/weak) and complementary assets (specialised/generic)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Discuss real examples: </w:t>
      </w:r>
      <w:r>
        <w:t xml:space="preserve">How do Apple, Coca-Cola, or pharmaceutical companies apply these concepts?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b/>
          <w:bCs/>
        </w:rPr>
        <w:t xml:space="preserve">Address the "it depends" reality: </w:t>
      </w:r>
      <w:r>
        <w:t xml:space="preserve">Effective strategy depends on visibility, imitability, industry norms, and complementary assets</w:t>
      </w:r>
    </w:p>
    <w:p>
      <w:pPr>
        <w:pStyle w:val="Heading1"/>
      </w:pPr>
      <w:r>
        <w:t xml:space="preserve">7. Discussion Questions</w:t>
      </w:r>
    </w:p>
    <w:p>
      <w:pPr>
        <w:pStyle w:val="Heading2"/>
      </w:pPr>
      <w:r>
        <w:t xml:space="preserve">Foundational Questions</w:t>
      </w:r>
    </w:p>
    <w:p>
      <w:pPr>
        <w:pStyle w:val="ListParagraph"/>
        <w:numPr>
          <w:ilvl w:val="0"/>
          <w:numId w:val="6"/>
        </w:numPr>
      </w:pPr>
      <w:r>
        <w:t xml:space="preserve">Why might a firm choose secrecy over patents, even when patents are available?</w:t>
      </w:r>
    </w:p>
    <w:p>
      <w:pPr>
        <w:pStyle w:val="ListParagraph"/>
        <w:numPr>
          <w:ilvl w:val="0"/>
          <w:numId w:val="6"/>
        </w:numPr>
      </w:pPr>
      <w:r>
        <w:t xml:space="preserve">When do complementary assets matter more than formal IP protection?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How does the visibility of an innovation affect protection strategy?</w:t>
      </w:r>
    </w:p>
    <w:p>
      <w:pPr>
        <w:pStyle w:val="Heading2"/>
      </w:pPr>
      <w:r>
        <w:t xml:space="preserve">Application Questions</w:t>
      </w:r>
    </w:p>
    <w:p>
      <w:pPr>
        <w:pStyle w:val="ListParagraph"/>
        <w:numPr>
          <w:ilvl w:val="0"/>
          <w:numId w:val="6"/>
        </w:numPr>
      </w:pPr>
      <w:r>
        <w:t xml:space="preserve">Think of a startup you know—how should they protect their core innovation?</w:t>
      </w:r>
    </w:p>
    <w:p>
      <w:pPr>
        <w:pStyle w:val="ListParagraph"/>
        <w:numPr>
          <w:ilvl w:val="0"/>
          <w:numId w:val="6"/>
        </w:numPr>
      </w:pPr>
      <w:r>
        <w:t xml:space="preserve">How might protection strategies differ between a B2B industrial product and a consumer app?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What happens when a firm's protection strategy doesn't match their innovation type?</w:t>
      </w:r>
    </w:p>
    <w:p>
      <w:pPr>
        <w:pStyle w:val="Heading2"/>
      </w:pPr>
      <w:r>
        <w:t xml:space="preserve">Advanced Questions</w:t>
      </w:r>
    </w:p>
    <w:p>
      <w:pPr>
        <w:pStyle w:val="ListParagraph"/>
        <w:numPr>
          <w:ilvl w:val="0"/>
          <w:numId w:val="6"/>
        </w:numPr>
      </w:pPr>
      <w:r>
        <w:t xml:space="preserve">How do network effects and platform dynamics change the appropriability calculus?</w:t>
      </w:r>
    </w:p>
    <w:p>
      <w:pPr>
        <w:pStyle w:val="ListParagraph"/>
        <w:numPr>
          <w:ilvl w:val="0"/>
          <w:numId w:val="6"/>
        </w:numPr>
      </w:pPr>
      <w:r>
        <w:t xml:space="preserve">What role do standards and interoperability play in value capture?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How should appropriation strategy evolve as an industry matures?</w:t>
      </w:r>
    </w:p>
    <w:p>
      <w:pPr>
        <w:pStyle w:val="Heading1"/>
      </w:pPr>
      <w:r>
        <w:t xml:space="preserve">8. Variations for Different Contexts</w:t>
      </w:r>
    </w:p>
    <w:p>
      <w:pPr>
        <w:pStyle w:val="Heading2"/>
      </w:pPr>
      <w:r>
        <w:t xml:space="preserve">For Undergraduate Students</w:t>
      </w:r>
    </w:p>
    <w:p>
      <w:pPr>
        <w:pStyle w:val="ListParagraph"/>
        <w:numPr>
          <w:ilvl w:val="0"/>
          <w:numId w:val="8"/>
        </w:numPr>
      </w:pPr>
      <w:r>
        <w:t xml:space="preserve">Focus on the basic distinction between formal and informal protection</w:t>
      </w:r>
    </w:p>
    <w:p>
      <w:pPr>
        <w:pStyle w:val="ListParagraph"/>
        <w:numPr>
          <w:ilvl w:val="0"/>
          <w:numId w:val="8"/>
        </w:numPr>
      </w:pPr>
      <w:r>
        <w:t xml:space="preserve">Use more guided discussion with specific scenario examples</w:t>
      </w:r>
    </w:p>
    <w:p>
      <w:pPr>
        <w:pStyle w:val="ListParagraph"/>
        <w:numPr>
          <w:ilvl w:val="0"/>
          <w:numId w:val="8"/>
        </w:numPr>
        <w:spacing w:after="200"/>
      </w:pPr>
      <w:r>
        <w:t xml:space="preserve">Allow replay to improve scores and reinforce learning</w:t>
      </w:r>
    </w:p>
    <w:p>
      <w:pPr>
        <w:pStyle w:val="Heading2"/>
      </w:pPr>
      <w:r>
        <w:t xml:space="preserve">For MBA/Executive Students</w:t>
      </w:r>
    </w:p>
    <w:p>
      <w:pPr>
        <w:pStyle w:val="ListParagraph"/>
        <w:numPr>
          <w:ilvl w:val="0"/>
          <w:numId w:val="8"/>
        </w:numPr>
      </w:pPr>
      <w:r>
        <w:t xml:space="preserve">Emphasise strategic trade-offs and real-world complexity</w:t>
      </w:r>
    </w:p>
    <w:p>
      <w:pPr>
        <w:pStyle w:val="ListParagraph"/>
        <w:numPr>
          <w:ilvl w:val="0"/>
          <w:numId w:val="8"/>
        </w:numPr>
      </w:pPr>
      <w:r>
        <w:t xml:space="preserve">Have students apply the framework to their own companies/industries</w:t>
      </w:r>
    </w:p>
    <w:p>
      <w:pPr>
        <w:pStyle w:val="ListParagraph"/>
        <w:numPr>
          <w:ilvl w:val="0"/>
          <w:numId w:val="8"/>
        </w:numPr>
        <w:spacing w:after="200"/>
      </w:pPr>
      <w:r>
        <w:t xml:space="preserve">Extend discussion to include appropriation strategy evolution over time</w:t>
      </w:r>
    </w:p>
    <w:p>
      <w:pPr>
        <w:pStyle w:val="Heading2"/>
      </w:pPr>
      <w:r>
        <w:t xml:space="preserve">For Large Classes</w:t>
      </w:r>
    </w:p>
    <w:p>
      <w:pPr>
        <w:pStyle w:val="ListParagraph"/>
        <w:numPr>
          <w:ilvl w:val="0"/>
          <w:numId w:val="8"/>
        </w:numPr>
      </w:pPr>
      <w:r>
        <w:t xml:space="preserve">Use polling to aggregate class responses and show patterns</w:t>
      </w:r>
    </w:p>
    <w:p>
      <w:pPr>
        <w:pStyle w:val="ListParagraph"/>
        <w:numPr>
          <w:ilvl w:val="0"/>
          <w:numId w:val="8"/>
        </w:numPr>
      </w:pPr>
      <w:r>
        <w:t xml:space="preserve">Have TAs facilitate small group discussions</w:t>
      </w:r>
    </w:p>
    <w:p>
      <w:pPr>
        <w:pStyle w:val="ListParagraph"/>
        <w:numPr>
          <w:ilvl w:val="0"/>
          <w:numId w:val="8"/>
        </w:numPr>
        <w:spacing w:after="200"/>
      </w:pPr>
      <w:r>
        <w:t xml:space="preserve">Focus debrief on 3–4 most illuminating scenarios</w:t>
      </w:r>
    </w:p>
    <w:p>
      <w:pPr>
        <w:pStyle w:val="Heading2"/>
      </w:pPr>
      <w:r>
        <w:t xml:space="preserve">As a Pre-Work Assignment</w:t>
      </w:r>
    </w:p>
    <w:p>
      <w:pPr>
        <w:pStyle w:val="ListParagraph"/>
        <w:numPr>
          <w:ilvl w:val="0"/>
          <w:numId w:val="8"/>
        </w:numPr>
      </w:pPr>
      <w:r>
        <w:t xml:space="preserve">Assign the game before class; use session time for deeper discussion</w:t>
      </w:r>
    </w:p>
    <w:p>
      <w:pPr>
        <w:pStyle w:val="ListParagraph"/>
        <w:numPr>
          <w:ilvl w:val="0"/>
          <w:numId w:val="8"/>
        </w:numPr>
      </w:pPr>
      <w:r>
        <w:t xml:space="preserve">Ask students to submit a brief reflection on their most surprising scenario</w:t>
      </w:r>
    </w:p>
    <w:p>
      <w:pPr>
        <w:pStyle w:val="ListParagraph"/>
        <w:numPr>
          <w:ilvl w:val="0"/>
          <w:numId w:val="8"/>
        </w:numPr>
        <w:spacing w:after="200"/>
      </w:pPr>
      <w:r>
        <w:t xml:space="preserve">Use class time to apply framework to a detailed case study</w:t>
      </w:r>
    </w:p>
    <w:p>
      <w:pPr>
        <w:pStyle w:val="Heading1"/>
      </w:pPr>
      <w:r>
        <w:t xml:space="preserve">9. Assessment Ideas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Reflection Paper: </w:t>
      </w:r>
      <w:r>
        <w:t xml:space="preserve">Students write 500 words analysing one scenario they found challenging, applying Teece's framework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Company Analysis: </w:t>
      </w:r>
      <w:r>
        <w:t xml:space="preserve">Students identify a real firm's appropriation strategy and evaluate its fit with their innovation type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Strategy Proposal: </w:t>
      </w:r>
      <w:r>
        <w:t xml:space="preserve">Given a new innovation scenario, students propose and justify a complete protection strategy</w:t>
      </w:r>
    </w:p>
    <w:p>
      <w:pPr>
        <w:pStyle w:val="ListParagraph"/>
        <w:numPr>
          <w:ilvl w:val="0"/>
          <w:numId w:val="9"/>
        </w:numPr>
        <w:spacing w:after="200"/>
      </w:pPr>
      <w:r>
        <w:rPr>
          <w:b/>
          <w:bCs/>
        </w:rPr>
        <w:t xml:space="preserve">Peer Teaching: </w:t>
      </w:r>
      <w:r>
        <w:t xml:space="preserve">Students explain one protection mechanism to classmates with a real-world example</w:t>
      </w:r>
    </w:p>
    <w:p>
      <w:pPr>
        <w:pStyle w:val="Heading1"/>
      </w:pPr>
      <w:r>
        <w:t xml:space="preserve">10. Tips for Success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Embrace ambiguity: </w:t>
      </w:r>
      <w:r>
        <w:t xml:space="preserve">Some scenarios have legitimate debates—use these to illustrate that strategy is contextual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Connect to current events: </w:t>
      </w:r>
      <w:r>
        <w:t xml:space="preserve">Mention recent IP disputes, patent wars, or trade secret cases in the news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Highlight failures: </w:t>
      </w:r>
      <w:r>
        <w:t xml:space="preserve">Discuss cases where firms had great innovations but failed to capture value (Xerox PARC, Kodak digital)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Make it personal: </w:t>
      </w:r>
      <w:r>
        <w:t xml:space="preserve">Ask students how they might protect their own business ideas</w:t>
      </w:r>
    </w:p>
    <w:p>
      <w:pPr>
        <w:pStyle w:val="ListParagraph"/>
        <w:numPr>
          <w:ilvl w:val="0"/>
          <w:numId w:val="10"/>
        </w:numPr>
        <w:spacing w:after="200"/>
      </w:pPr>
      <w:r>
        <w:rPr>
          <w:b/>
          <w:bCs/>
        </w:rPr>
        <w:t xml:space="preserve">Celebrate learning: </w:t>
      </w:r>
      <w:r>
        <w:t xml:space="preserve">The game's supportive end screen is designed to encourage growth mindset—reinforce this in debrief</w:t>
      </w:r>
    </w:p>
    <w:p>
      <w:pPr>
        <w:pStyle w:val="Heading1"/>
      </w:pPr>
      <w:r>
        <w:t xml:space="preserve">11. Additional Resources</w:t>
      </w:r>
    </w:p>
    <w:p>
      <w:pPr>
        <w:pStyle w:val="Heading2"/>
      </w:pPr>
      <w:r>
        <w:t xml:space="preserve">Key Reading</w:t>
      </w:r>
    </w:p>
    <w:p>
      <w:pPr>
        <w:pStyle w:val="ListParagraph"/>
        <w:numPr>
          <w:ilvl w:val="0"/>
          <w:numId w:val="11"/>
        </w:numPr>
      </w:pPr>
      <w:r>
        <w:t xml:space="preserve">Teece, D.J. (1986). Profiting from technological innovation. </w:t>
      </w:r>
      <w:r>
        <w:rPr>
          <w:i/>
          <w:iCs/>
        </w:rPr>
        <w:t xml:space="preserve">Research Policy</w:t>
      </w:r>
      <w:r>
        <w:t xml:space="preserve">, 15(6), 285-305.</w:t>
      </w:r>
    </w:p>
    <w:p>
      <w:pPr>
        <w:pStyle w:val="ListParagraph"/>
        <w:numPr>
          <w:ilvl w:val="0"/>
          <w:numId w:val="11"/>
        </w:numPr>
      </w:pPr>
      <w:r>
        <w:t xml:space="preserve">Teece, D.J. (2006). Reflections on "Profiting from Innovation". </w:t>
      </w:r>
      <w:r>
        <w:rPr>
          <w:i/>
          <w:iCs/>
        </w:rPr>
        <w:t xml:space="preserve">Research Policy</w:t>
      </w:r>
      <w:r>
        <w:t xml:space="preserve">, 35(8), 1131-1146.</w:t>
      </w:r>
    </w:p>
    <w:p>
      <w:pPr>
        <w:pStyle w:val="ListParagraph"/>
        <w:numPr>
          <w:ilvl w:val="0"/>
          <w:numId w:val="11"/>
        </w:numPr>
        <w:spacing w:after="200"/>
      </w:pPr>
      <w:r>
        <w:t xml:space="preserve">Pisano, G.P. &amp; Teece, D.J. (2007). How to capture value from innovation. </w:t>
      </w:r>
      <w:r>
        <w:rPr>
          <w:i/>
          <w:iCs/>
        </w:rPr>
        <w:t xml:space="preserve">California Management Review</w:t>
      </w:r>
      <w:r>
        <w:t xml:space="preserve">, 50(1), 278-296.</w:t>
      </w:r>
    </w:p>
    <w:p>
      <w:pPr>
        <w:pStyle w:val="Heading2"/>
      </w:pPr>
      <w:r>
        <w:t xml:space="preserve">Case Studies for Extension</w:t>
      </w:r>
    </w:p>
    <w:p>
      <w:pPr>
        <w:pStyle w:val="ListParagraph"/>
        <w:numPr>
          <w:ilvl w:val="0"/>
          <w:numId w:val="11"/>
        </w:numPr>
      </w:pPr>
      <w:r>
        <w:t xml:space="preserve">Apple's integrated ecosystem (complementary assets + design IP)</w:t>
      </w:r>
    </w:p>
    <w:p>
      <w:pPr>
        <w:pStyle w:val="ListParagraph"/>
        <w:numPr>
          <w:ilvl w:val="0"/>
          <w:numId w:val="11"/>
        </w:numPr>
      </w:pPr>
      <w:r>
        <w:t xml:space="preserve">Coca-Cola's trade secret strategy (130+ years of secrecy)</w:t>
      </w:r>
    </w:p>
    <w:p>
      <w:pPr>
        <w:pStyle w:val="ListParagraph"/>
        <w:numPr>
          <w:ilvl w:val="0"/>
          <w:numId w:val="11"/>
        </w:numPr>
      </w:pPr>
      <w:r>
        <w:t xml:space="preserve">Dyson's patent portfolio evolution (from protection to licensing)</w:t>
      </w:r>
    </w:p>
    <w:p>
      <w:pPr>
        <w:pStyle w:val="ListParagraph"/>
        <w:numPr>
          <w:ilvl w:val="0"/>
          <w:numId w:val="11"/>
        </w:numPr>
        <w:spacing w:after="400"/>
      </w:pPr>
      <w:r>
        <w:t xml:space="preserve">Tesla's open-source patents (strategic openness)</w:t>
      </w:r>
    </w:p>
    <w:p>
      <w:pPr>
        <w:spacing w:before="400"/>
      </w:pPr>
      <w:r>
        <w:rPr>
          <w:color w:val="CCCCCC"/>
        </w:rPr>
        <w:t xml:space="preserve">———</w:t>
      </w:r>
    </w:p>
    <w:p>
      <w:pPr>
        <w:spacing w:after="100"/>
      </w:pPr>
      <w:r>
        <w:rPr>
          <w:color w:val="666666"/>
          <w:sz w:val="22"/>
          <w:szCs w:val="22"/>
        </w:rPr>
        <w:t xml:space="preserve">Developed by </w:t>
      </w:r>
      <w:r>
        <w:rPr>
          <w:b/>
          <w:bCs/>
          <w:sz w:val="22"/>
          <w:szCs w:val="22"/>
        </w:rPr>
        <w:t xml:space="preserve">Ammon Salter</w:t>
      </w:r>
      <w:r>
        <w:rPr>
          <w:color w:val="666666"/>
          <w:sz w:val="22"/>
          <w:szCs w:val="22"/>
        </w:rPr>
        <w:t xml:space="preserve">, Warwick Business School, University of Warwick</w:t>
      </w:r>
    </w:p>
    <w:p>
      <w:pPr>
        <w:spacing w:after="100"/>
      </w:pPr>
      <w:r>
        <w:rPr>
          <w:color w:val="666666"/>
          <w:sz w:val="22"/>
          <w:szCs w:val="22"/>
        </w:rPr>
        <w:t xml:space="preserve">Contributors: Federico Bignone, Paola Criscuolo, Almantas Palubinskas</w:t>
      </w:r>
    </w:p>
    <w:p>
      <w:r>
        <w:rPr>
          <w:color w:val="999999"/>
          <w:sz w:val="20"/>
          <w:szCs w:val="20"/>
        </w:rPr>
        <w:t xml:space="preserve">Licensed under </w:t>
      </w:r>
      <w:hyperlink w:history="1" r:id="rId_sry4s0hjxdmlbflkalp8">
        <w:r>
          <w:rPr>
            <w:color w:val="16a34a"/>
            <w:sz w:val="20"/>
            <w:szCs w:val="20"/>
            <w:u w:val="single"/>
          </w:rPr>
          <w:t xml:space="preserve">CC BY-NC-SA 4.0</w:t>
        </w:r>
      </w:hyperlink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Teaching Guide: Appropriation Strategy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501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_sry4s0hjxdmlbflkalp8" Type="http://schemas.openxmlformats.org/officeDocument/2006/relationships/hyperlink" Target="https://creativecommons.org/licenses/by-nc-sa/4.0/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2025-12-09T16:59:23.798Z</dcterms:created>
  <dcterms:modified xsi:type="dcterms:W3CDTF">2025-12-09T16:59:23.799Z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