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The Slingshot</w:t>
      </w:r>
    </w:p>
    <w:p>
      <w:pPr>
        <w:pStyle w:val="Heading3"/>
        <w:jc w:val="center"/>
      </w:pPr>
      <w:r>
        <w:t>An AI Startup Simulation</w:t>
      </w:r>
    </w:p>
    <w:p>
      <w:pPr>
        <w:spacing w:before="200" w:after="400"/>
        <w:jc w:val="center"/>
      </w:pPr>
      <w:r>
        <w:rPr>
          <w:color w:val="4a5568"/>
          <w:sz w:val="32"/>
          <w:szCs w:val="32"/>
        </w:rPr>
        <w:t xml:space="preserve">Teaching Guide for Course Leaders</w:t>
      </w:r>
    </w:p>
    <w:p>
      <w:pPr>
        <w:spacing w:before="1200"/>
      </w:pPr>
    </w:p>
    <w:p>
      <w:pPr>
        <w:jc w:val="center"/>
      </w:pPr>
      <w:r>
        <w:rPr>
          <w:sz w:val="24"/>
          <w:szCs w:val="24"/>
        </w:rPr>
        <w:t xml:space="preserve">Ammon Salter, Stefano Baruffaldi &amp; Federico Bignone</w:t>
      </w:r>
    </w:p>
    <w:p>
      <w:pPr>
        <w:spacing w:before="100"/>
        <w:jc w:val="center"/>
      </w:pPr>
      <w:r>
        <w:rPr>
          <w:color w:val="666666"/>
          <w:sz w:val="20"/>
          <w:szCs w:val="20"/>
        </w:rPr>
        <w:t xml:space="preserve">© 2025 · CC BY-NC-SA 4.0</w:t>
      </w:r>
    </w:p>
    <w:p>
      <w:pPr>
        <w:spacing w:before="200"/>
        <w:jc w:val="center"/>
      </w:pPr>
      <w:r>
        <w:rPr>
          <w:i/>
          <w:iCs/>
          <w:color w:val="666666"/>
          <w:sz w:val="20"/>
          <w:szCs w:val="20"/>
        </w:rPr>
        <w:t xml:space="preserve">ESRC Project: "Profiting from Science" (ES/X003949/1)</w:t>
      </w:r>
    </w:p>
    <w:p>
      <w:pPr>
        <w:spacing w:before="200"/>
        <w:jc w:val="center"/>
      </w:pPr>
      <w:r>
        <w:rPr>
          <w:color w:val="4a5568"/>
          <w:sz w:val="20"/>
          <w:szCs w:val="20"/>
        </w:rPr>
        <w:t xml:space="preserve">https://github.com/AI-Startup-Game</w:t>
      </w:r>
    </w:p>
    <w:p>
      <w:r>
        <w:br w:type="page"/>
      </w:r>
    </w:p>
    <w:p>
      <w:pPr>
        <w:pStyle w:val="Heading1"/>
      </w:pPr>
      <w:r>
        <w:t xml:space="preserve">Part 1: Why This Game?</w:t>
      </w:r>
    </w:p>
    <w:p>
      <w:pPr>
        <w:pStyle w:val="Heading2"/>
      </w:pPr>
      <w:r>
        <w:t xml:space="preserve">The Challenge of Teaching Entrepreneurship</w:t>
      </w:r>
    </w:p>
    <w:p>
      <w:pPr>
        <w:spacing w:after="200"/>
      </w:pPr>
      <w:r>
        <w:t xml:space="preserve">Teaching entrepreneurship faces a fundamental problem: the real lessons are experiential. Students can read that startups face resource constraints, but until they've felt the tension of choosing between investing in research or shipping a product—knowing both matter—the lesson remains abstract.</w:t>
      </w:r>
    </w:p>
    <w:p>
      <w:pPr>
        <w:spacing w:after="200"/>
      </w:pPr>
      <w:r>
        <w:t>The Slingshot: An AI Startup Simulation creates a 'magic circle'—a safe space where failure carries no real-world consequences but feels meaningful enough to drive genuine engagement. Students take risks they would never take in reality, learn from mistakes without lasting damage, and develop pattern recognition through repeated play.</w:t>
      </w:r>
    </w:p>
    <w:p>
      <w:pPr>
        <w:pStyle w:val="Heading2"/>
      </w:pPr>
      <w:r>
        <w:t xml:space="preserve">Learning Through Failure</w:t>
      </w:r>
    </w:p>
    <w:p>
      <w:pPr>
        <w:spacing w:after="200"/>
      </w:pPr>
      <w:r>
        <w:rPr>
          <w:b/>
          <w:bCs/>
        </w:rPr>
        <w:t xml:space="preserve">Most students will not succeed on their first playthrough—and that's by design. </w:t>
      </w:r>
      <w:r>
        <w:t xml:space="preserve">The game rewards learning from failure. A first attempt teaches the mechanics; subsequent attempts allow strategic experimentation. Students often report that their second or third playthrough feels fundamentally different as they apply lessons learned.</w:t>
      </w:r>
    </w:p>
    <w:p>
      <w:pPr>
        <w:spacing w:after="200"/>
      </w:pPr>
      <w:r>
        <w:t xml:space="preserve">Encourage students to replay with different choices: What happens if they prioritise research over sales? Take VC money versus bootstrapping? Hire aggressively versus staying lean? The ability to rerun decisions with different choices creates natural counterfactual analysis.</w:t>
      </w:r>
    </w:p>
    <w:p>
      <w:pPr>
        <w:pStyle w:val="Heading2"/>
      </w:pPr>
      <w:r>
        <w:t xml:space="preserve">The Role of Luck</w:t>
      </w:r>
    </w:p>
    <w:p>
      <w:pPr>
        <w:spacing w:after="200"/>
      </w:pPr>
      <w:r>
        <w:t xml:space="preserve">The game deliberately includes randomness—just like real entrepreneurship. Life events may boost or drain resources unexpectedly. Market shocks disrupt plans. Some negotiations succeed or fail based partly on chance.</w:t>
      </w:r>
    </w:p>
    <w:p>
      <w:pPr>
        <w:spacing w:after="200"/>
      </w:pPr>
      <w:r>
        <w:rPr>
          <w:b/>
          <w:bCs/>
        </w:rPr>
        <w:t xml:space="preserve">Good decisions improve odds but don't guarantee success. </w:t>
      </w:r>
      <w:r>
        <w:t xml:space="preserve">This mirrors entrepreneurship itself: founders cannot control everything. Learning to make good decisions despite uncertainty—and developing resilience when luck doesn't cooperate—is part of what the game teaches. When students fail due to a market shock or bad timing, they experience the reality that startup success is never entirely within the founder's control.</w:t>
      </w:r>
    </w:p>
    <w:p>
      <w:r>
        <w:br w:type="page"/>
      </w:r>
    </w:p>
    <w:p>
      <w:pPr>
        <w:pStyle w:val="Heading1"/>
      </w:pPr>
      <w:r>
        <w:t xml:space="preserve">Part 2: How the Game Works</w:t>
      </w:r>
    </w:p>
    <w:p>
      <w:pPr>
        <w:pStyle w:val="Heading2"/>
      </w:pPr>
      <w:r>
        <w:t xml:space="preserve">Core Structure</w:t>
      </w:r>
    </w:p>
    <w:p>
      <w:pPr>
        <w:spacing w:after="200"/>
      </w:pPr>
      <w:r>
        <w:t xml:space="preserve">Players run an AI startup for 16 quarters (4 years). The goal is to complete three progressively challenging milestones before running out of cash or missing deadlines. Each milestone represents a major stage: proving the technology works (M1), achieving product-market fit (M2), and scaling the business (M3).</w:t>
      </w:r>
    </w:p>
    <w:p>
      <w:pPr>
        <w:spacing w:after="200"/>
      </w:pPr>
      <w:r>
        <w:t xml:space="preserve">Players compete against three AI-controlled rival startups racing toward the same milestones. Rivals that complete milestones first trigger 'market shift' events—forcing players to respond strategically by either competing head-on or pivoting to a new direction.</w:t>
      </w:r>
    </w:p>
    <w:p>
      <w:r>
        <w:t>In the current version, players can also initiate a Strategic Review (a proactive pivot) once they have completed their first milestone, or later if a rival pulls ahead. This mirrors real startups: sometimes you pivot not because you are failing, but because the competitive context changes.</w:t>
      </w:r>
    </w:p>
    <w:p>
      <w:pPr>
        <w:pStyle w:val="Heading2"/>
      </w:pPr>
      <w:r>
        <w:t>Mini-games and Special Moments</w:t>
      </w:r>
    </w:p>
    <w:p>
      <w:r>
        <w:t>After each milestone, players complete a short, skill-based mini-game that can generate extra rewards. These moments add variety and create natural prompts for reflection on how founders communicate, sell, and build legitimacy.</w:t>
      </w:r>
    </w:p>
    <w:p>
      <w:pPr>
        <w:pStyle w:val="ListParagraph"/>
        <w:numPr>
          <w:ilvl w:val="0"/>
          <w:numId w:val="2"/>
        </w:numPr>
      </w:pPr>
      <w:r>
        <w:t>Conference mini-game (after Milestone 1): 45-second trade-show challenge to win leads and connections.</w:t>
      </w:r>
    </w:p>
    <w:p>
      <w:pPr>
        <w:pStyle w:val="ListParagraph"/>
        <w:numPr>
          <w:ilvl w:val="0"/>
          <w:numId w:val="2"/>
        </w:numPr>
      </w:pPr>
      <w:r>
        <w:t>Investor pitch (after Milestone 2): 30-second pitch where players balance story, data, and attention.</w:t>
      </w:r>
    </w:p>
    <w:p>
      <w:pPr>
        <w:pStyle w:val="ListParagraph"/>
        <w:numPr>
          <w:ilvl w:val="0"/>
          <w:numId w:val="2"/>
        </w:numPr>
      </w:pPr>
      <w:r>
        <w:t>Demo Day (after Milestone 3): 60-second booth-management challenge to qualify and convert visitors.</w:t>
      </w:r>
    </w:p>
    <w:p>
      <w:pPr>
        <w:pStyle w:val="Heading2"/>
      </w:pPr>
      <w:r>
        <w:t xml:space="preserve">The Eight Sectors</w:t>
      </w:r>
    </w:p>
    <w:p>
      <w:pPr>
        <w:spacing w:after="100"/>
      </w:pPr>
      <w:r>
        <w:t xml:space="preserve">Each sector presents distinct challenges that create different learning experiences: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Borders>
              <w:top w:val="single" w:color="CCCCCC" w:sz="1"/>
              <w:left w:val="single" w:color="CCCCCC" w:sz="1"/>
              <w:bottom w:val="single" w:color="CCCCCC" w:sz="1"/>
              <w:right w:val="single" w:color="CCCCCC" w:sz="1"/>
            </w:tcBorders>
            <w:shd w:fill="1e3a5f" w:val="clear"/>
          </w:tcPr>
          <w:p>
            <w:r>
              <w:rPr>
                <w:b/>
                <w:bCs/>
                <w:color w:val="FFFFFF"/>
              </w:rPr>
              <w:t xml:space="preserve">Sector / Company</w:t>
            </w:r>
          </w:p>
        </w:tc>
        <w:tc>
          <w:tcPr>
            <w:tcBorders>
              <w:top w:val="single" w:color="CCCCCC" w:sz="1"/>
              <w:left w:val="single" w:color="CCCCCC" w:sz="1"/>
              <w:bottom w:val="single" w:color="CCCCCC" w:sz="1"/>
              <w:right w:val="single" w:color="CCCCCC" w:sz="1"/>
            </w:tcBorders>
            <w:shd w:fill="1e3a5f" w:val="clear"/>
          </w:tcPr>
          <w:p>
            <w:r>
              <w:rPr>
                <w:b/>
                <w:bCs/>
                <w:color w:val="FFFFFF"/>
              </w:rPr>
              <w:t xml:space="preserve">Key Concepts</w:t>
            </w:r>
          </w:p>
        </w:tc>
        <w:tc>
          <w:tcPr>
            <w:tcBorders>
              <w:top w:val="single" w:color="CCCCCC" w:sz="1"/>
              <w:left w:val="single" w:color="CCCCCC" w:sz="1"/>
              <w:bottom w:val="single" w:color="CCCCCC" w:sz="1"/>
              <w:right w:val="single" w:color="CCCCCC" w:sz="1"/>
            </w:tcBorders>
            <w:shd w:fill="1e3a5f" w:val="clear"/>
          </w:tcPr>
          <w:p>
            <w:r>
              <w:rPr>
                <w:b/>
                <w:bCs/>
                <w:color w:val="FFFFFF"/>
              </w:rPr>
              <w:t xml:space="preserve">Central Tensions</w:t>
            </w:r>
          </w:p>
        </w:tc>
      </w:tr>
      <w:tr>
        <w:tc>
          <w:tcPr>
            <w:tcBorders>
              <w:top w:val="single" w:color="CCCCCC" w:sz="1"/>
              <w:left w:val="single" w:color="CCCCCC" w:sz="1"/>
              <w:bottom w:val="single" w:color="CCCCCC" w:sz="1"/>
              <w:right w:val="single" w:color="CCCCCC" w:sz="1"/>
            </w:tcBorders>
          </w:tcPr>
          <w:p>
            <w:r>
              <w:rPr>
                <w:b/>
                <w:bCs/>
              </w:rPr>
              <w:t xml:space="preserve">Healthcare AI</w:t>
            </w:r>
            <w:r>
              <w:t xml:space="preserve">
Aether BioLabs</w:t>
            </w:r>
          </w:p>
        </w:tc>
        <w:tc>
          <w:tcPr>
            <w:tcBorders>
              <w:top w:val="single" w:color="CCCCCC" w:sz="1"/>
              <w:left w:val="single" w:color="CCCCCC" w:sz="1"/>
              <w:bottom w:val="single" w:color="CCCCCC" w:sz="1"/>
              <w:right w:val="single" w:color="CCCCCC" w:sz="1"/>
            </w:tcBorders>
          </w:tcPr>
          <w:p>
            <w:r>
              <w:t xml:space="preserve">Regulatory strategy, clinical validation</w:t>
            </w:r>
          </w:p>
        </w:tc>
        <w:tc>
          <w:tcPr>
            <w:tcBorders>
              <w:top w:val="single" w:color="CCCCCC" w:sz="1"/>
              <w:left w:val="single" w:color="CCCCCC" w:sz="1"/>
              <w:bottom w:val="single" w:color="CCCCCC" w:sz="1"/>
              <w:right w:val="single" w:color="CCCCCC" w:sz="1"/>
            </w:tcBorders>
          </w:tcPr>
          <w:p>
            <w:r>
              <w:t xml:space="preserve">Scientific rigour vs speed to market; NHS procurement complexity</w:t>
            </w:r>
          </w:p>
        </w:tc>
      </w:tr>
      <w:tr>
        <w:tc>
          <w:tcPr>
            <w:tcBorders>
              <w:top w:val="single" w:color="CCCCCC" w:sz="1"/>
              <w:left w:val="single" w:color="CCCCCC" w:sz="1"/>
              <w:bottom w:val="single" w:color="CCCCCC" w:sz="1"/>
              <w:right w:val="single" w:color="CCCCCC" w:sz="1"/>
            </w:tcBorders>
          </w:tcPr>
          <w:p>
            <w:r>
              <w:rPr>
                <w:b/>
                <w:bCs/>
              </w:rPr>
              <w:t xml:space="preserve">Industrial Robotics</w:t>
            </w:r>
            <w:r>
              <w:t xml:space="preserve">
Vanguard Robotics</w:t>
            </w:r>
          </w:p>
        </w:tc>
        <w:tc>
          <w:tcPr>
            <w:tcBorders>
              <w:top w:val="single" w:color="CCCCCC" w:sz="1"/>
              <w:left w:val="single" w:color="CCCCCC" w:sz="1"/>
              <w:bottom w:val="single" w:color="CCCCCC" w:sz="1"/>
              <w:right w:val="single" w:color="CCCCCC" w:sz="1"/>
            </w:tcBorders>
          </w:tcPr>
          <w:p>
            <w:r>
              <w:t xml:space="preserve">Hardware-software integration, safety</w:t>
            </w:r>
          </w:p>
        </w:tc>
        <w:tc>
          <w:tcPr>
            <w:tcBorders>
              <w:top w:val="single" w:color="CCCCCC" w:sz="1"/>
              <w:left w:val="single" w:color="CCCCCC" w:sz="1"/>
              <w:bottom w:val="single" w:color="CCCCCC" w:sz="1"/>
              <w:right w:val="single" w:color="CCCCCC" w:sz="1"/>
            </w:tcBorders>
          </w:tcPr>
          <w:p>
            <w:r>
              <w:t xml:space="preserve">Capital intensity; enterprise sales cycles; safety certification costs</w:t>
            </w:r>
          </w:p>
        </w:tc>
      </w:tr>
      <w:tr>
        <w:tc>
          <w:tcPr>
            <w:tcBorders>
              <w:top w:val="single" w:color="CCCCCC" w:sz="1"/>
              <w:left w:val="single" w:color="CCCCCC" w:sz="1"/>
              <w:bottom w:val="single" w:color="CCCCCC" w:sz="1"/>
              <w:right w:val="single" w:color="CCCCCC" w:sz="1"/>
            </w:tcBorders>
          </w:tcPr>
          <w:p>
            <w:r>
              <w:rPr>
                <w:b/>
                <w:bCs/>
              </w:rPr>
              <w:t xml:space="preserve">Financial AI</w:t>
            </w:r>
            <w:r>
              <w:t xml:space="preserve">
QuantFlow Systems</w:t>
            </w:r>
          </w:p>
        </w:tc>
        <w:tc>
          <w:tcPr>
            <w:tcBorders>
              <w:top w:val="single" w:color="CCCCCC" w:sz="1"/>
              <w:left w:val="single" w:color="CCCCCC" w:sz="1"/>
              <w:bottom w:val="single" w:color="CCCCCC" w:sz="1"/>
              <w:right w:val="single" w:color="CCCCCC" w:sz="1"/>
            </w:tcBorders>
          </w:tcPr>
          <w:p>
            <w:r>
              <w:t xml:space="preserve">FCA compliance, explainability</w:t>
            </w:r>
          </w:p>
        </w:tc>
        <w:tc>
          <w:tcPr>
            <w:tcBorders>
              <w:top w:val="single" w:color="CCCCCC" w:sz="1"/>
              <w:left w:val="single" w:color="CCCCCC" w:sz="1"/>
              <w:bottom w:val="single" w:color="CCCCCC" w:sz="1"/>
              <w:right w:val="single" w:color="CCCCCC" w:sz="1"/>
            </w:tcBorders>
          </w:tcPr>
          <w:p>
            <w:r>
              <w:t xml:space="preserve">Black-box algorithms vs regulatory demands; competitive secrecy</w:t>
            </w:r>
          </w:p>
        </w:tc>
      </w:tr>
      <w:tr>
        <w:tc>
          <w:tcPr>
            <w:tcBorders>
              <w:top w:val="single" w:color="CCCCCC" w:sz="1"/>
              <w:left w:val="single" w:color="CCCCCC" w:sz="1"/>
              <w:bottom w:val="single" w:color="CCCCCC" w:sz="1"/>
              <w:right w:val="single" w:color="CCCCCC" w:sz="1"/>
            </w:tcBorders>
          </w:tcPr>
          <w:p>
            <w:r>
              <w:rPr>
                <w:b/>
                <w:bCs/>
              </w:rPr>
              <w:t xml:space="preserve">Creative AI</w:t>
            </w:r>
            <w:r>
              <w:t xml:space="preserve">
DreamScape Studios</w:t>
            </w:r>
          </w:p>
        </w:tc>
        <w:tc>
          <w:tcPr>
            <w:tcBorders>
              <w:top w:val="single" w:color="CCCCCC" w:sz="1"/>
              <w:left w:val="single" w:color="CCCCCC" w:sz="1"/>
              <w:bottom w:val="single" w:color="CCCCCC" w:sz="1"/>
              <w:right w:val="single" w:color="CCCCCC" w:sz="1"/>
            </w:tcBorders>
          </w:tcPr>
          <w:p>
            <w:r>
              <w:t xml:space="preserve">IP, creator relations, virality</w:t>
            </w:r>
          </w:p>
        </w:tc>
        <w:tc>
          <w:tcPr>
            <w:tcBorders>
              <w:top w:val="single" w:color="CCCCCC" w:sz="1"/>
              <w:left w:val="single" w:color="CCCCCC" w:sz="1"/>
              <w:bottom w:val="single" w:color="CCCCCC" w:sz="1"/>
              <w:right w:val="single" w:color="CCCCCC" w:sz="1"/>
            </w:tcBorders>
          </w:tcPr>
          <w:p>
            <w:r>
              <w:t xml:space="preserve">Copyright ambiguity; creator backlash; rapid commoditisation</w:t>
            </w:r>
          </w:p>
        </w:tc>
      </w:tr>
      <w:tr>
        <w:tc>
          <w:tcPr>
            <w:tcBorders>
              <w:top w:val="single" w:color="CCCCCC" w:sz="1"/>
              <w:left w:val="single" w:color="CCCCCC" w:sz="1"/>
              <w:bottom w:val="single" w:color="CCCCCC" w:sz="1"/>
              <w:right w:val="single" w:color="CCCCCC" w:sz="1"/>
            </w:tcBorders>
          </w:tcPr>
          <w:p>
            <w:r>
              <w:rPr>
                <w:b/>
                <w:bCs/>
              </w:rPr>
              <w:t xml:space="preserve">Cybersecurity</w:t>
            </w:r>
            <w:r>
              <w:t xml:space="preserve">
CyberShield AI</w:t>
            </w:r>
          </w:p>
        </w:tc>
        <w:tc>
          <w:tcPr>
            <w:tcBorders>
              <w:top w:val="single" w:color="CCCCCC" w:sz="1"/>
              <w:left w:val="single" w:color="CCCCCC" w:sz="1"/>
              <w:bottom w:val="single" w:color="CCCCCC" w:sz="1"/>
              <w:right w:val="single" w:color="CCCCCC" w:sz="1"/>
            </w:tcBorders>
          </w:tcPr>
          <w:p>
            <w:r>
              <w:t xml:space="preserve">Security clearances, trust</w:t>
            </w:r>
          </w:p>
        </w:tc>
        <w:tc>
          <w:tcPr>
            <w:tcBorders>
              <w:top w:val="single" w:color="CCCCCC" w:sz="1"/>
              <w:left w:val="single" w:color="CCCCCC" w:sz="1"/>
              <w:bottom w:val="single" w:color="CCCCCC" w:sz="1"/>
              <w:right w:val="single" w:color="CCCCCC" w:sz="1"/>
            </w:tcBorders>
          </w:tcPr>
          <w:p>
            <w:r>
              <w:t xml:space="preserve">Government sales processes; demonstrating value without disclosure</w:t>
            </w:r>
          </w:p>
        </w:tc>
      </w:tr>
      <w:tr>
        <w:tc>
          <w:tcPr>
            <w:tcBorders>
              <w:top w:val="single" w:color="CCCCCC" w:sz="1"/>
              <w:left w:val="single" w:color="CCCCCC" w:sz="1"/>
              <w:bottom w:val="single" w:color="CCCCCC" w:sz="1"/>
              <w:right w:val="single" w:color="CCCCCC" w:sz="1"/>
            </w:tcBorders>
          </w:tcPr>
          <w:p>
            <w:r>
              <w:rPr>
                <w:b/>
                <w:bCs/>
              </w:rPr>
              <w:t xml:space="preserve">Climate Tech</w:t>
            </w:r>
            <w:r>
              <w:t xml:space="preserve">
TerraMind Analytics</w:t>
            </w:r>
          </w:p>
        </w:tc>
        <w:tc>
          <w:tcPr>
            <w:tcBorders>
              <w:top w:val="single" w:color="CCCCCC" w:sz="1"/>
              <w:left w:val="single" w:color="CCCCCC" w:sz="1"/>
              <w:bottom w:val="single" w:color="CCCCCC" w:sz="1"/>
              <w:right w:val="single" w:color="CCCCCC" w:sz="1"/>
            </w:tcBorders>
          </w:tcPr>
          <w:p>
            <w:r>
              <w:t xml:space="preserve">Mission-driven strategy, grants</w:t>
            </w:r>
          </w:p>
        </w:tc>
        <w:tc>
          <w:tcPr>
            <w:tcBorders>
              <w:top w:val="single" w:color="CCCCCC" w:sz="1"/>
              <w:left w:val="single" w:color="CCCCCC" w:sz="1"/>
              <w:bottom w:val="single" w:color="CCCCCC" w:sz="1"/>
              <w:right w:val="single" w:color="CCCCCC" w:sz="1"/>
            </w:tcBorders>
          </w:tcPr>
          <w:p>
            <w:r>
              <w:t xml:space="preserve">Mission vs commercial sustainability; long sales cycles; grant dependency</w:t>
            </w:r>
          </w:p>
        </w:tc>
      </w:tr>
      <w:tr>
        <w:tc>
          <w:tcPr>
            <w:tcBorders>
              <w:top w:val="single" w:color="CCCCCC" w:sz="1"/>
              <w:left w:val="single" w:color="CCCCCC" w:sz="1"/>
              <w:bottom w:val="single" w:color="CCCCCC" w:sz="1"/>
              <w:right w:val="single" w:color="CCCCCC" w:sz="1"/>
            </w:tcBorders>
          </w:tcPr>
          <w:p>
            <w:r>
              <w:rPr>
                <w:b/>
                <w:bCs/>
              </w:rPr>
              <w:t xml:space="preserve">Legal Tech</w:t>
            </w:r>
            <w:r>
              <w:t xml:space="preserve">
LegalMind AI</w:t>
            </w:r>
          </w:p>
        </w:tc>
        <w:tc>
          <w:tcPr>
            <w:tcBorders>
              <w:top w:val="single" w:color="CCCCCC" w:sz="1"/>
              <w:left w:val="single" w:color="CCCCCC" w:sz="1"/>
              <w:bottom w:val="single" w:color="CCCCCC" w:sz="1"/>
              <w:right w:val="single" w:color="CCCCCC" w:sz="1"/>
            </w:tcBorders>
          </w:tcPr>
          <w:p>
            <w:r>
              <w:t xml:space="preserve">Conservative buyers, partnerships</w:t>
            </w:r>
          </w:p>
        </w:tc>
        <w:tc>
          <w:tcPr>
            <w:tcBorders>
              <w:top w:val="single" w:color="CCCCCC" w:sz="1"/>
              <w:left w:val="single" w:color="CCCCCC" w:sz="1"/>
              <w:bottom w:val="single" w:color="CCCCCC" w:sz="1"/>
              <w:right w:val="single" w:color="CCCCCC" w:sz="1"/>
            </w:tcBorders>
          </w:tcPr>
          <w:p>
            <w:r>
              <w:t xml:space="preserve">Disrupting entrenched incumbents; risk-averse buyer psychology</w:t>
            </w:r>
          </w:p>
        </w:tc>
      </w:tr>
      <w:tr>
        <w:tc>
          <w:tcPr>
            <w:tcBorders>
              <w:top w:val="single" w:color="CCCCCC" w:sz="1"/>
              <w:left w:val="single" w:color="CCCCCC" w:sz="1"/>
              <w:bottom w:val="single" w:color="CCCCCC" w:sz="1"/>
              <w:right w:val="single" w:color="CCCCCC" w:sz="1"/>
            </w:tcBorders>
          </w:tcPr>
          <w:p>
            <w:r>
              <w:rPr>
                <w:b/>
                <w:bCs/>
              </w:rPr>
              <w:t xml:space="preserve">Education Tech</w:t>
            </w:r>
            <w:r>
              <w:t xml:space="preserve">
EduSpark AI</w:t>
            </w:r>
          </w:p>
        </w:tc>
        <w:tc>
          <w:tcPr>
            <w:tcBorders>
              <w:top w:val="single" w:color="CCCCCC" w:sz="1"/>
              <w:left w:val="single" w:color="CCCCCC" w:sz="1"/>
              <w:bottom w:val="single" w:color="CCCCCC" w:sz="1"/>
              <w:right w:val="single" w:color="CCCCCC" w:sz="1"/>
            </w:tcBorders>
          </w:tcPr>
          <w:p>
            <w:r>
              <w:t xml:space="preserve">Efficacy evidence, adoption</w:t>
            </w:r>
          </w:p>
        </w:tc>
        <w:tc>
          <w:tcPr>
            <w:tcBorders>
              <w:top w:val="single" w:color="CCCCCC" w:sz="1"/>
              <w:left w:val="single" w:color="CCCCCC" w:sz="1"/>
              <w:bottom w:val="single" w:color="CCCCCC" w:sz="1"/>
              <w:right w:val="single" w:color="CCCCCC" w:sz="1"/>
            </w:tcBorders>
          </w:tcPr>
          <w:p>
            <w:r>
              <w:t xml:space="preserve">School procurement; proving learning outcomes; teacher resistance</w:t>
            </w:r>
          </w:p>
        </w:tc>
      </w:tr>
    </w:tbl>
    <w:p>
      <w:pPr>
        <w:pStyle w:val="Heading2"/>
        <w:spacing w:before="200"/>
      </w:pPr>
      <w:r>
        <w:t xml:space="preserve">The Twelve Founder Types</w:t>
      </w:r>
    </w:p>
    <w:p>
      <w:pPr>
        <w:spacing w:after="100"/>
      </w:pPr>
      <w:r>
        <w:t xml:space="preserve">Each founder archetype starts with different capabilities and faces different challenges, teaching that founder-market fit matters: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Borders>
              <w:top w:val="single" w:color="CCCCCC" w:sz="1"/>
              <w:left w:val="single" w:color="CCCCCC" w:sz="1"/>
              <w:bottom w:val="single" w:color="CCCCCC" w:sz="1"/>
              <w:right w:val="single" w:color="CCCCCC" w:sz="1"/>
            </w:tcBorders>
            <w:shd w:fill="1e3a5f" w:val="clear"/>
          </w:tcPr>
          <w:p>
            <w:r>
              <w:rPr>
                <w:b/>
                <w:bCs/>
                <w:color w:val="FFFFFF"/>
              </w:rPr>
              <w:t xml:space="preserve">Founder Type</w:t>
            </w:r>
          </w:p>
        </w:tc>
        <w:tc>
          <w:tcPr>
            <w:tcBorders>
              <w:top w:val="single" w:color="CCCCCC" w:sz="1"/>
              <w:left w:val="single" w:color="CCCCCC" w:sz="1"/>
              <w:bottom w:val="single" w:color="CCCCCC" w:sz="1"/>
              <w:right w:val="single" w:color="CCCCCC" w:sz="1"/>
            </w:tcBorders>
            <w:shd w:fill="1e3a5f" w:val="clear"/>
          </w:tcPr>
          <w:p>
            <w:r>
              <w:rPr>
                <w:b/>
                <w:bCs/>
                <w:color w:val="FFFFFF"/>
              </w:rPr>
              <w:t xml:space="preserve">Strengths</w:t>
            </w:r>
          </w:p>
        </w:tc>
        <w:tc>
          <w:tcPr>
            <w:tcBorders>
              <w:top w:val="single" w:color="CCCCCC" w:sz="1"/>
              <w:left w:val="single" w:color="CCCCCC" w:sz="1"/>
              <w:bottom w:val="single" w:color="CCCCCC" w:sz="1"/>
              <w:right w:val="single" w:color="CCCCCC" w:sz="1"/>
            </w:tcBorders>
            <w:shd w:fill="1e3a5f" w:val="clear"/>
          </w:tcPr>
          <w:p>
            <w:r>
              <w:rPr>
                <w:b/>
                <w:bCs/>
                <w:color w:val="FFFFFF"/>
              </w:rPr>
              <w:t xml:space="preserve">Challenges</w:t>
            </w:r>
          </w:p>
        </w:tc>
      </w:tr>
      <w:tr>
        <w:tc>
          <w:tcPr>
            <w:tcBorders>
              <w:top w:val="single" w:color="CCCCCC" w:sz="1"/>
              <w:left w:val="single" w:color="CCCCCC" w:sz="1"/>
              <w:bottom w:val="single" w:color="CCCCCC" w:sz="1"/>
              <w:right w:val="single" w:color="CCCCCC" w:sz="1"/>
            </w:tcBorders>
          </w:tcPr>
          <w:p>
            <w:r>
              <w:t xml:space="preserve">🎓 The Academic</w:t>
            </w:r>
          </w:p>
        </w:tc>
        <w:tc>
          <w:tcPr>
            <w:tcBorders>
              <w:top w:val="single" w:color="CCCCCC" w:sz="1"/>
              <w:left w:val="single" w:color="CCCCCC" w:sz="1"/>
              <w:bottom w:val="single" w:color="CCCCCC" w:sz="1"/>
              <w:right w:val="single" w:color="CCCCCC" w:sz="1"/>
            </w:tcBorders>
          </w:tcPr>
          <w:p>
            <w:r>
              <w:t xml:space="preserve">Technical credibility, research networks</w:t>
            </w:r>
          </w:p>
        </w:tc>
        <w:tc>
          <w:tcPr>
            <w:tcBorders>
              <w:top w:val="single" w:color="CCCCCC" w:sz="1"/>
              <w:left w:val="single" w:color="CCCCCC" w:sz="1"/>
              <w:bottom w:val="single" w:color="CCCCCC" w:sz="1"/>
              <w:right w:val="single" w:color="CCCCCC" w:sz="1"/>
            </w:tcBorders>
          </w:tcPr>
          <w:p>
            <w:r>
              <w:t xml:space="preserve">Commercial instincts, startup speed</w:t>
            </w:r>
          </w:p>
        </w:tc>
      </w:tr>
      <w:tr>
        <w:tc>
          <w:tcPr>
            <w:tcBorders>
              <w:top w:val="single" w:color="CCCCCC" w:sz="1"/>
              <w:left w:val="single" w:color="CCCCCC" w:sz="1"/>
              <w:bottom w:val="single" w:color="CCCCCC" w:sz="1"/>
              <w:right w:val="single" w:color="CCCCCC" w:sz="1"/>
            </w:tcBorders>
          </w:tcPr>
          <w:p>
            <w:r>
              <w:t xml:space="preserve">🔄 The Serial Founder</w:t>
            </w:r>
          </w:p>
        </w:tc>
        <w:tc>
          <w:tcPr>
            <w:tcBorders>
              <w:top w:val="single" w:color="CCCCCC" w:sz="1"/>
              <w:left w:val="single" w:color="CCCCCC" w:sz="1"/>
              <w:bottom w:val="single" w:color="CCCCCC" w:sz="1"/>
              <w:right w:val="single" w:color="CCCCCC" w:sz="1"/>
            </w:tcBorders>
          </w:tcPr>
          <w:p>
            <w:r>
              <w:t xml:space="preserve">Pattern recognition, crisis management</w:t>
            </w:r>
          </w:p>
        </w:tc>
        <w:tc>
          <w:tcPr>
            <w:tcBorders>
              <w:top w:val="single" w:color="CCCCCC" w:sz="1"/>
              <w:left w:val="single" w:color="CCCCCC" w:sz="1"/>
              <w:bottom w:val="single" w:color="CCCCCC" w:sz="1"/>
              <w:right w:val="single" w:color="CCCCCC" w:sz="1"/>
            </w:tcBorders>
          </w:tcPr>
          <w:p>
            <w:r>
              <w:t xml:space="preserve">Avoiding old playbooks, staying humble</w:t>
            </w:r>
          </w:p>
        </w:tc>
      </w:tr>
      <w:tr>
        <w:tc>
          <w:tcPr>
            <w:tcBorders>
              <w:top w:val="single" w:color="CCCCCC" w:sz="1"/>
              <w:left w:val="single" w:color="CCCCCC" w:sz="1"/>
              <w:bottom w:val="single" w:color="CCCCCC" w:sz="1"/>
              <w:right w:val="single" w:color="CCCCCC" w:sz="1"/>
            </w:tcBorders>
          </w:tcPr>
          <w:p>
            <w:r>
              <w:t xml:space="preserve">🏢 The Corporate Escapee</w:t>
            </w:r>
          </w:p>
        </w:tc>
        <w:tc>
          <w:tcPr>
            <w:tcBorders>
              <w:top w:val="single" w:color="CCCCCC" w:sz="1"/>
              <w:left w:val="single" w:color="CCCCCC" w:sz="1"/>
              <w:bottom w:val="single" w:color="CCCCCC" w:sz="1"/>
              <w:right w:val="single" w:color="CCCCCC" w:sz="1"/>
            </w:tcBorders>
          </w:tcPr>
          <w:p>
            <w:r>
              <w:t xml:space="preserve">Operational excellence, enterprise sales</w:t>
            </w:r>
          </w:p>
        </w:tc>
        <w:tc>
          <w:tcPr>
            <w:tcBorders>
              <w:top w:val="single" w:color="CCCCCC" w:sz="1"/>
              <w:left w:val="single" w:color="CCCCCC" w:sz="1"/>
              <w:bottom w:val="single" w:color="CCCCCC" w:sz="1"/>
              <w:right w:val="single" w:color="CCCCCC" w:sz="1"/>
            </w:tcBorders>
          </w:tcPr>
          <w:p>
            <w:r>
              <w:t xml:space="preserve">Scrappy execution, ambiguity tolerance</w:t>
            </w:r>
          </w:p>
        </w:tc>
      </w:tr>
      <w:tr>
        <w:tc>
          <w:tcPr>
            <w:tcBorders>
              <w:top w:val="single" w:color="CCCCCC" w:sz="1"/>
              <w:left w:val="single" w:color="CCCCCC" w:sz="1"/>
              <w:bottom w:val="single" w:color="CCCCCC" w:sz="1"/>
              <w:right w:val="single" w:color="CCCCCC" w:sz="1"/>
            </w:tcBorders>
          </w:tcPr>
          <w:p>
            <w:r>
              <w:t xml:space="preserve">💡 The Technical Prodigy</w:t>
            </w:r>
          </w:p>
        </w:tc>
        <w:tc>
          <w:tcPr>
            <w:tcBorders>
              <w:top w:val="single" w:color="CCCCCC" w:sz="1"/>
              <w:left w:val="single" w:color="CCCCCC" w:sz="1"/>
              <w:bottom w:val="single" w:color="CCCCCC" w:sz="1"/>
              <w:right w:val="single" w:color="CCCCCC" w:sz="1"/>
            </w:tcBorders>
          </w:tcPr>
          <w:p>
            <w:r>
              <w:t xml:space="preserve">Technical excellence, product intuition</w:t>
            </w:r>
          </w:p>
        </w:tc>
        <w:tc>
          <w:tcPr>
            <w:tcBorders>
              <w:top w:val="single" w:color="CCCCCC" w:sz="1"/>
              <w:left w:val="single" w:color="CCCCCC" w:sz="1"/>
              <w:bottom w:val="single" w:color="CCCCCC" w:sz="1"/>
              <w:right w:val="single" w:color="CCCCCC" w:sz="1"/>
            </w:tcBorders>
          </w:tcPr>
          <w:p>
            <w:r>
              <w:t xml:space="preserve">Delegation, commercial focus</w:t>
            </w:r>
          </w:p>
        </w:tc>
      </w:tr>
      <w:tr>
        <w:tc>
          <w:tcPr>
            <w:tcBorders>
              <w:top w:val="single" w:color="CCCCCC" w:sz="1"/>
              <w:left w:val="single" w:color="CCCCCC" w:sz="1"/>
              <w:bottom w:val="single" w:color="CCCCCC" w:sz="1"/>
              <w:right w:val="single" w:color="CCCCCC" w:sz="1"/>
            </w:tcBorders>
          </w:tcPr>
          <w:p>
            <w:r>
              <w:t xml:space="preserve">🤝 The Dealmaker</w:t>
            </w:r>
          </w:p>
        </w:tc>
        <w:tc>
          <w:tcPr>
            <w:tcBorders>
              <w:top w:val="single" w:color="CCCCCC" w:sz="1"/>
              <w:left w:val="single" w:color="CCCCCC" w:sz="1"/>
              <w:bottom w:val="single" w:color="CCCCCC" w:sz="1"/>
              <w:right w:val="single" w:color="CCCCCC" w:sz="1"/>
            </w:tcBorders>
          </w:tcPr>
          <w:p>
            <w:r>
              <w:t xml:space="preserve">Customer acquisition, fundraising</w:t>
            </w:r>
          </w:p>
        </w:tc>
        <w:tc>
          <w:tcPr>
            <w:tcBorders>
              <w:top w:val="single" w:color="CCCCCC" w:sz="1"/>
              <w:left w:val="single" w:color="CCCCCC" w:sz="1"/>
              <w:bottom w:val="single" w:color="CCCCCC" w:sz="1"/>
              <w:right w:val="single" w:color="CCCCCC" w:sz="1"/>
            </w:tcBorders>
          </w:tcPr>
          <w:p>
            <w:r>
              <w:t xml:space="preserve">Technical judgment, product details</w:t>
            </w:r>
          </w:p>
        </w:tc>
      </w:tr>
      <w:tr>
        <w:tc>
          <w:tcPr>
            <w:tcBorders>
              <w:top w:val="single" w:color="CCCCCC" w:sz="1"/>
              <w:left w:val="single" w:color="CCCCCC" w:sz="1"/>
              <w:bottom w:val="single" w:color="CCCCCC" w:sz="1"/>
              <w:right w:val="single" w:color="CCCCCC" w:sz="1"/>
            </w:tcBorders>
          </w:tcPr>
          <w:p>
            <w:r>
              <w:t xml:space="preserve">⚙️ The Operator</w:t>
            </w:r>
          </w:p>
        </w:tc>
        <w:tc>
          <w:tcPr>
            <w:tcBorders>
              <w:top w:val="single" w:color="CCCCCC" w:sz="1"/>
              <w:left w:val="single" w:color="CCCCCC" w:sz="1"/>
              <w:bottom w:val="single" w:color="CCCCCC" w:sz="1"/>
              <w:right w:val="single" w:color="CCCCCC" w:sz="1"/>
            </w:tcBorders>
          </w:tcPr>
          <w:p>
            <w:r>
              <w:t xml:space="preserve">Efficient scaling, team management</w:t>
            </w:r>
          </w:p>
        </w:tc>
        <w:tc>
          <w:tcPr>
            <w:tcBorders>
              <w:top w:val="single" w:color="CCCCCC" w:sz="1"/>
              <w:left w:val="single" w:color="CCCCCC" w:sz="1"/>
              <w:bottom w:val="single" w:color="CCCCCC" w:sz="1"/>
              <w:right w:val="single" w:color="CCCCCC" w:sz="1"/>
            </w:tcBorders>
          </w:tcPr>
          <w:p>
            <w:r>
              <w:t xml:space="preserve">Vision-setting, external storytelling</w:t>
            </w:r>
          </w:p>
        </w:tc>
      </w:tr>
      <w:tr>
        <w:tc>
          <w:tcPr>
            <w:tcBorders>
              <w:top w:val="single" w:color="CCCCCC" w:sz="1"/>
              <w:left w:val="single" w:color="CCCCCC" w:sz="1"/>
              <w:bottom w:val="single" w:color="CCCCCC" w:sz="1"/>
              <w:right w:val="single" w:color="CCCCCC" w:sz="1"/>
            </w:tcBorders>
          </w:tcPr>
          <w:p>
            <w:r>
              <w:t xml:space="preserve">🏆 The Domain Expert</w:t>
            </w:r>
          </w:p>
        </w:tc>
        <w:tc>
          <w:tcPr>
            <w:tcBorders>
              <w:top w:val="single" w:color="CCCCCC" w:sz="1"/>
              <w:left w:val="single" w:color="CCCCCC" w:sz="1"/>
              <w:bottom w:val="single" w:color="CCCCCC" w:sz="1"/>
              <w:right w:val="single" w:color="CCCCCC" w:sz="1"/>
            </w:tcBorders>
          </w:tcPr>
          <w:p>
            <w:r>
              <w:t xml:space="preserve">Customer insight, industry credibility</w:t>
            </w:r>
          </w:p>
        </w:tc>
        <w:tc>
          <w:tcPr>
            <w:tcBorders>
              <w:top w:val="single" w:color="CCCCCC" w:sz="1"/>
              <w:left w:val="single" w:color="CCCCCC" w:sz="1"/>
              <w:bottom w:val="single" w:color="CCCCCC" w:sz="1"/>
              <w:right w:val="single" w:color="CCCCCC" w:sz="1"/>
            </w:tcBorders>
          </w:tcPr>
          <w:p>
            <w:r>
              <w:t xml:space="preserve">Technical trends, startup culture</w:t>
            </w:r>
          </w:p>
        </w:tc>
      </w:tr>
      <w:tr>
        <w:tc>
          <w:tcPr>
            <w:tcBorders>
              <w:top w:val="single" w:color="CCCCCC" w:sz="1"/>
              <w:left w:val="single" w:color="CCCCCC" w:sz="1"/>
              <w:bottom w:val="single" w:color="CCCCCC" w:sz="1"/>
              <w:right w:val="single" w:color="CCCCCC" w:sz="1"/>
            </w:tcBorders>
          </w:tcPr>
          <w:p>
            <w:r>
              <w:t xml:space="preserve">🌱 The First-Timer</w:t>
            </w:r>
          </w:p>
        </w:tc>
        <w:tc>
          <w:tcPr>
            <w:tcBorders>
              <w:top w:val="single" w:color="CCCCCC" w:sz="1"/>
              <w:left w:val="single" w:color="CCCCCC" w:sz="1"/>
              <w:bottom w:val="single" w:color="CCCCCC" w:sz="1"/>
              <w:right w:val="single" w:color="CCCCCC" w:sz="1"/>
            </w:tcBorders>
          </w:tcPr>
          <w:p>
            <w:r>
              <w:t xml:space="preserve">Open-minded learning, adaptability</w:t>
            </w:r>
          </w:p>
        </w:tc>
        <w:tc>
          <w:tcPr>
            <w:tcBorders>
              <w:top w:val="single" w:color="CCCCCC" w:sz="1"/>
              <w:left w:val="single" w:color="CCCCCC" w:sz="1"/>
              <w:bottom w:val="single" w:color="CCCCCC" w:sz="1"/>
              <w:right w:val="single" w:color="CCCCCC" w:sz="1"/>
            </w:tcBorders>
          </w:tcPr>
          <w:p>
            <w:r>
              <w:t xml:space="preserve">Everything is new, limited network</w:t>
            </w:r>
          </w:p>
        </w:tc>
      </w:tr>
      <w:tr>
        <w:tc>
          <w:tcPr>
            <w:tcBorders>
              <w:top w:val="single" w:color="CCCCCC" w:sz="1"/>
              <w:left w:val="single" w:color="CCCCCC" w:sz="1"/>
              <w:bottom w:val="single" w:color="CCCCCC" w:sz="1"/>
              <w:right w:val="single" w:color="CCCCCC" w:sz="1"/>
            </w:tcBorders>
          </w:tcPr>
          <w:p>
            <w:r>
              <w:t xml:space="preserve">🔮 The Visionary</w:t>
            </w:r>
          </w:p>
        </w:tc>
        <w:tc>
          <w:tcPr>
            <w:tcBorders>
              <w:top w:val="single" w:color="CCCCCC" w:sz="1"/>
              <w:left w:val="single" w:color="CCCCCC" w:sz="1"/>
              <w:bottom w:val="single" w:color="CCCCCC" w:sz="1"/>
              <w:right w:val="single" w:color="CCCCCC" w:sz="1"/>
            </w:tcBorders>
          </w:tcPr>
          <w:p>
            <w:r>
              <w:t xml:space="preserve">Inspiring leadership, strategic clarity</w:t>
            </w:r>
          </w:p>
        </w:tc>
        <w:tc>
          <w:tcPr>
            <w:tcBorders>
              <w:top w:val="single" w:color="CCCCCC" w:sz="1"/>
              <w:left w:val="single" w:color="CCCCCC" w:sz="1"/>
              <w:bottom w:val="single" w:color="CCCCCC" w:sz="1"/>
              <w:right w:val="single" w:color="CCCCCC" w:sz="1"/>
            </w:tcBorders>
          </w:tcPr>
          <w:p>
            <w:r>
              <w:t xml:space="preserve">Operational details, patience</w:t>
            </w:r>
          </w:p>
        </w:tc>
      </w:tr>
      <w:tr>
        <w:tc>
          <w:tcPr>
            <w:tcBorders>
              <w:top w:val="single" w:color="CCCCCC" w:sz="1"/>
              <w:left w:val="single" w:color="CCCCCC" w:sz="1"/>
              <w:bottom w:val="single" w:color="CCCCCC" w:sz="1"/>
              <w:right w:val="single" w:color="CCCCCC" w:sz="1"/>
            </w:tcBorders>
          </w:tcPr>
          <w:p>
            <w:r>
              <w:t xml:space="preserve">💰 The Bootstrapper</w:t>
            </w:r>
          </w:p>
        </w:tc>
        <w:tc>
          <w:tcPr>
            <w:tcBorders>
              <w:top w:val="single" w:color="CCCCCC" w:sz="1"/>
              <w:left w:val="single" w:color="CCCCCC" w:sz="1"/>
              <w:bottom w:val="single" w:color="CCCCCC" w:sz="1"/>
              <w:right w:val="single" w:color="CCCCCC" w:sz="1"/>
            </w:tcBorders>
          </w:tcPr>
          <w:p>
            <w:r>
              <w:t xml:space="preserve">Cash efficiency, sustainable growth</w:t>
            </w:r>
          </w:p>
        </w:tc>
        <w:tc>
          <w:tcPr>
            <w:tcBorders>
              <w:top w:val="single" w:color="CCCCCC" w:sz="1"/>
              <w:left w:val="single" w:color="CCCCCC" w:sz="1"/>
              <w:bottom w:val="single" w:color="CCCCCC" w:sz="1"/>
              <w:right w:val="single" w:color="CCCCCC" w:sz="1"/>
            </w:tcBorders>
          </w:tcPr>
          <w:p>
            <w:r>
              <w:t xml:space="preserve">Scaling fast enough, competing with funded rivals</w:t>
            </w:r>
          </w:p>
        </w:tc>
      </w:tr>
      <w:tr>
        <w:tc>
          <w:tcPr>
            <w:tcBorders>
              <w:top w:val="single" w:color="CCCCCC" w:sz="1"/>
              <w:left w:val="single" w:color="CCCCCC" w:sz="1"/>
              <w:bottom w:val="single" w:color="CCCCCC" w:sz="1"/>
              <w:right w:val="single" w:color="CCCCCC" w:sz="1"/>
            </w:tcBorders>
          </w:tcPr>
          <w:p>
            <w:r>
              <w:t xml:space="preserve">🌐 The Community Builder</w:t>
            </w:r>
          </w:p>
        </w:tc>
        <w:tc>
          <w:tcPr>
            <w:tcBorders>
              <w:top w:val="single" w:color="CCCCCC" w:sz="1"/>
              <w:left w:val="single" w:color="CCCCCC" w:sz="1"/>
              <w:bottom w:val="single" w:color="CCCCCC" w:sz="1"/>
              <w:right w:val="single" w:color="CCCCCC" w:sz="1"/>
            </w:tcBorders>
          </w:tcPr>
          <w:p>
            <w:r>
              <w:t xml:space="preserve">Organic growth, passionate users</w:t>
            </w:r>
          </w:p>
        </w:tc>
        <w:tc>
          <w:tcPr>
            <w:tcBorders>
              <w:top w:val="single" w:color="CCCCCC" w:sz="1"/>
              <w:left w:val="single" w:color="CCCCCC" w:sz="1"/>
              <w:bottom w:val="single" w:color="CCCCCC" w:sz="1"/>
              <w:right w:val="single" w:color="CCCCCC" w:sz="1"/>
            </w:tcBorders>
          </w:tcPr>
          <w:p>
            <w:r>
              <w:t xml:space="preserve">Monetisation, saying no to community</w:t>
            </w:r>
          </w:p>
        </w:tc>
      </w:tr>
      <w:tr>
        <w:tc>
          <w:tcPr>
            <w:tcBorders>
              <w:top w:val="single" w:color="CCCCCC" w:sz="1"/>
              <w:left w:val="single" w:color="CCCCCC" w:sz="1"/>
              <w:bottom w:val="single" w:color="CCCCCC" w:sz="1"/>
              <w:right w:val="single" w:color="CCCCCC" w:sz="1"/>
            </w:tcBorders>
          </w:tcPr>
          <w:p>
            <w:r>
              <w:t xml:space="preserve">📊 The Strategist</w:t>
            </w:r>
          </w:p>
        </w:tc>
        <w:tc>
          <w:tcPr>
            <w:tcBorders>
              <w:top w:val="single" w:color="CCCCCC" w:sz="1"/>
              <w:left w:val="single" w:color="CCCCCC" w:sz="1"/>
              <w:bottom w:val="single" w:color="CCCCCC" w:sz="1"/>
              <w:right w:val="single" w:color="CCCCCC" w:sz="1"/>
            </w:tcBorders>
          </w:tcPr>
          <w:p>
            <w:r>
              <w:t xml:space="preserve">Strategic thinking, financial modelling</w:t>
            </w:r>
          </w:p>
        </w:tc>
        <w:tc>
          <w:tcPr>
            <w:tcBorders>
              <w:top w:val="single" w:color="CCCCCC" w:sz="1"/>
              <w:left w:val="single" w:color="CCCCCC" w:sz="1"/>
              <w:bottom w:val="single" w:color="CCCCCC" w:sz="1"/>
              <w:right w:val="single" w:color="CCCCCC" w:sz="1"/>
            </w:tcBorders>
          </w:tcPr>
          <w:p>
            <w:r>
              <w:t xml:space="preserve">Execution speed, inspiring vs analysing</w:t>
            </w:r>
          </w:p>
        </w:tc>
      </w:tr>
    </w:tbl>
    <w:p>
      <w:pPr>
        <w:pStyle w:val="Heading2"/>
        <w:spacing w:before="200"/>
      </w:pPr>
      <w:r>
        <w:t xml:space="preserve">Location Selection</w:t>
      </w:r>
    </w:p>
    <w:p>
      <w:pPr>
        <w:spacing w:after="200"/>
      </w:pPr>
      <w:r>
        <w:t xml:space="preserve">Each sector offers three UK locations with trade-offs affecting salary costs (±5-20%), talent access, research partnerships, and investor networks. For example, Healthcare AI players choose between Oxford (world-class research, high costs), Glasgow (affordable talent, strong NHS links), or Cardiff (Welsh Government support, smaller ecosystem). Location decisions force students to think about ecosystem effects and strategic positioning from the start.</w:t>
      </w:r>
    </w:p>
    <w:p>
      <w:r>
        <w:br w:type="page"/>
      </w:r>
    </w:p>
    <w:p>
      <w:pPr>
        <w:pStyle w:val="Heading1"/>
      </w:pPr>
      <w:r>
        <w:t xml:space="preserve">Part 3: The Strategic Logic</w:t>
      </w:r>
    </w:p>
    <w:p>
      <w:pPr>
        <w:pStyle w:val="Heading2"/>
      </w:pPr>
      <w:r>
        <w:t>Attention Points: The Attention Economy</w:t>
      </w:r>
    </w:p>
    <w:p>
      <w:pPr>
        <w:spacing w:after="200"/>
      </w:pPr>
      <w:r>
        <w:t>The core mechanic is Attention Points (AP)—representing CEO attention. Players start with 6 AP per quarter but face more opportunities than they can pursue. Unused AP (up to 2) can be banked for the next quarter, and AP increases as the team grows (a staff bonus that reflects delegation). This forces prioritisation and creates genuine trade-offs.</w:t>
      </w:r>
    </w:p>
    <w:p>
      <w:pPr>
        <w:pStyle w:val="ListParagraph"/>
        <w:numPr>
          <w:ilvl w:val="0"/>
          <w:numId w:val="2"/>
        </w:numPr>
      </w:pPr>
      <w:r>
        <w:t>Base budget: 6 AP per quarter</w:t>
      </w:r>
    </w:p>
    <w:p>
      <w:pPr>
        <w:pStyle w:val="ListParagraph"/>
        <w:numPr>
          <w:ilvl w:val="0"/>
          <w:numId w:val="2"/>
        </w:numPr>
      </w:pPr>
      <w:r>
        <w:t>Banking: up to 2 unused AP carry over to the next quarter</w:t>
      </w:r>
    </w:p>
    <w:p>
      <w:pPr>
        <w:pStyle w:val="ListParagraph"/>
        <w:numPr>
          <w:ilvl w:val="0"/>
          <w:numId w:val="2"/>
        </w:numPr>
      </w:pPr>
      <w:r>
        <w:t>Staff bonus: as headcount grows, you gain +1 to +3 AP (representing delegation)</w:t>
      </w:r>
    </w:p>
    <w:p>
      <w:pPr>
        <w:spacing w:after="200"/>
      </w:pPr>
      <w:r>
        <w:rPr>
          <w:b/>
          <w:bCs/>
        </w:rPr>
        <w:t xml:space="preserve">Academic connection: </w:t>
      </w:r>
      <w:r>
        <w:t xml:space="preserve">This mechanic operationalises the attention-based view of the firm (Ocasio, 1997) and managerial bandwidth constraints. Students experience directly that opportunity cost is real—choosing one action means not choosing another.</w:t>
      </w:r>
    </w:p>
    <w:p>
      <w:pPr>
        <w:pStyle w:val="Heading2"/>
      </w:pPr>
      <w:r>
        <w:t xml:space="preserve">The Four Departments</w:t>
      </w:r>
    </w:p>
    <w:p>
      <w:pPr>
        <w:spacing w:after="100"/>
      </w:pPr>
      <w:r>
        <w:t xml:space="preserve">Each department represents a strategic domain with its own tensions:</w:t>
      </w:r>
    </w:p>
    <w:p>
      <w:pPr>
        <w:pStyle w:val="ListParagraph"/>
        <w:numPr>
          <w:ilvl w:val="0"/>
          <w:numId w:val="2"/>
        </w:numPr>
      </w:pPr>
      <w:r>
        <w:rPr>
          <w:b/>
          <w:bCs/>
        </w:rPr>
        <w:t xml:space="preserve">Research &amp; Science: </w:t>
      </w:r>
      <w:r>
        <w:t xml:space="preserve">University collaborations, publishing decisions, IP strategy. Tension between open science and competitive advantage.</w:t>
      </w:r>
    </w:p>
    <w:p>
      <w:pPr>
        <w:pStyle w:val="ListParagraph"/>
        <w:numPr>
          <w:ilvl w:val="0"/>
          <w:numId w:val="2"/>
        </w:numPr>
      </w:pPr>
      <w:r>
        <w:rPr>
          <w:b/>
          <w:bCs/>
        </w:rPr>
        <w:t xml:space="preserve">Product &amp; Development: </w:t>
      </w:r>
      <w:r>
        <w:t xml:space="preserve">Technical debt, build vs buy, shipping pressure. Tension between quality and speed.</w:t>
      </w:r>
    </w:p>
    <w:p>
      <w:pPr>
        <w:pStyle w:val="ListParagraph"/>
        <w:numPr>
          <w:ilvl w:val="0"/>
          <w:numId w:val="2"/>
        </w:numPr>
      </w:pPr>
      <w:r>
        <w:rPr>
          <w:b/>
          <w:bCs/>
        </w:rPr>
        <w:t xml:space="preserve">Sales &amp; Marketing: </w:t>
      </w:r>
      <w:r>
        <w:t xml:space="preserve">Go-to-market strategy, the hype dilemma. Tension between promise and reality.</w:t>
      </w:r>
    </w:p>
    <w:p>
      <w:pPr>
        <w:pStyle w:val="ListParagraph"/>
        <w:numPr>
          <w:ilvl w:val="0"/>
          <w:numId w:val="2"/>
        </w:numPr>
        <w:spacing w:after="200"/>
      </w:pPr>
      <w:r>
        <w:rPr>
          <w:b/>
          <w:bCs/>
        </w:rPr>
        <w:t xml:space="preserve">People &amp; HR: </w:t>
      </w:r>
      <w:r>
        <w:t xml:space="preserve">(Unlocks after M1) Hiring, retention, culture. Tension between growth and culture preservation.</w:t>
      </w:r>
    </w:p>
    <w:p>
      <w:pPr>
        <w:pStyle w:val="Heading2"/>
      </w:pPr>
      <w:r>
        <w:t xml:space="preserve">Why Every Choice Has Trade-offs</w:t>
      </w:r>
    </w:p>
    <w:p>
      <w:pPr>
        <w:spacing w:after="200"/>
      </w:pPr>
      <w:r>
        <w:t xml:space="preserve">The game deliberately avoids 'right answers.' Instead, every choice involves trade-offs that depend on context, timing, and strategy. Students learn that entrepreneurial judgment isn't about finding optimal solutions—it's about navigating genuine dilemmas where reasonable people disagree.</w:t>
      </w:r>
    </w:p>
    <w:p>
      <w:pPr>
        <w:spacing w:after="200"/>
      </w:pPr>
      <w:r>
        <w:rPr>
          <w:b/>
          <w:bCs/>
        </w:rPr>
        <w:t xml:space="preserve">Example from the game: </w:t>
      </w:r>
      <w:r>
        <w:t xml:space="preserve">A researcher wants to publish groundbreaking work. Publishing builds credibility and attracts talent, but reveals your approach to competitors. Keeping it secret protects your advantage but may cause the researcher to leave. There's no 'correct' answer—only trade-offs to weigh.</w:t>
      </w:r>
    </w:p>
    <w:p>
      <w:r>
        <w:br w:type="page"/>
      </w:r>
    </w:p>
    <w:p>
      <w:pPr>
        <w:pStyle w:val="Heading1"/>
      </w:pPr>
      <w:r>
        <w:t xml:space="preserve">Part 4: The Event Library</w:t>
      </w:r>
    </w:p>
    <w:p>
      <w:pPr>
        <w:spacing w:after="200"/>
      </w:pPr>
      <w:r>
        <w:t xml:space="preserve">The game contains over 300 unique events designed to surface real startup dilemmas. Events are drawn from actual experiences in AI companies and connect to established academic concepts. Here are examples from each department:</w:t>
      </w:r>
    </w:p>
    <w:p>
      <w:pPr>
        <w:pStyle w:val="Heading2"/>
      </w:pPr>
      <w:r>
        <w:t xml:space="preserve">Research &amp; Science Events</w:t>
      </w:r>
    </w:p>
    <w:p>
      <w:pPr>
        <w:spacing w:after="100"/>
      </w:pPr>
      <w:r>
        <w:rPr>
          <w:b/>
          <w:bCs/>
        </w:rPr>
        <w:t xml:space="preserve">Core themes: </w:t>
      </w:r>
      <w:r>
        <w:t xml:space="preserve">Open science vs competitive advantage; managing researchers; university partnerships; ethics and responsible AI; lead user innovation</w:t>
      </w:r>
    </w:p>
    <w:p>
      <w:pPr>
        <w:spacing w:after="50"/>
      </w:pPr>
      <w:r>
        <w:rPr>
          <w:b/>
          <w:bCs/>
          <w:i/>
          <w:iCs/>
        </w:rPr>
        <w:t xml:space="preserve">Sample Event: Publication Rights</w:t>
      </w:r>
    </w:p>
    <w:p>
      <w:pPr>
        <w:spacing w:after="50"/>
        <w:ind w:left="360"/>
      </w:pPr>
      <w:r>
        <w:rPr>
          <w:i/>
          <w:iCs/>
        </w:rPr>
        <w:t xml:space="preserve">"A promising researcher is applying, but they want to keep publishing openly."</w:t>
      </w:r>
    </w:p>
    <w:p>
      <w:pPr>
        <w:spacing w:after="50"/>
        <w:ind w:left="360"/>
      </w:pPr>
      <w:r>
        <w:t xml:space="preserve">Options: Hire with publication rights (+credibility, -secrecy) | Negotiate delayed publication (compromise) | Insist on full IP control (-talent attraction)</w:t>
      </w:r>
    </w:p>
    <w:p>
      <w:pPr>
        <w:spacing w:after="100"/>
        <w:ind w:left="360"/>
      </w:pPr>
      <w:r>
        <w:rPr>
          <w:b/>
          <w:bCs/>
        </w:rPr>
        <w:t xml:space="preserve">Connects to: </w:t>
      </w:r>
      <w:r>
        <w:t xml:space="preserve">Norms of open science (Merton); appropriability regimes (Teece); war for talent</w:t>
      </w:r>
    </w:p>
    <w:p>
      <w:pPr>
        <w:spacing w:after="50"/>
      </w:pPr>
      <w:r>
        <w:rPr>
          <w:b/>
          <w:bCs/>
          <w:i/>
          <w:iCs/>
        </w:rPr>
        <w:t xml:space="preserve">Sample Event: Bootleg Research</w:t>
      </w:r>
    </w:p>
    <w:p>
      <w:pPr>
        <w:spacing w:after="50"/>
        <w:ind w:left="360"/>
      </w:pPr>
      <w:r>
        <w:rPr>
          <w:i/>
          <w:iCs/>
        </w:rPr>
        <w:t xml:space="preserve">"Your lead researcher has been spending evenings on something outside the roadmap. It's not what you're paying them for—but it's genuinely interesting."</w:t>
      </w:r>
    </w:p>
    <w:p>
      <w:pPr>
        <w:spacing w:after="50"/>
        <w:ind w:left="360"/>
      </w:pPr>
      <w:r>
        <w:t xml:space="preserve">Options: Give them official time (+breakthrough potential, -roadmap focus) | Ask them to stop (+discipline, -morale) | Pretend you didn't notice (maintain deniability)</w:t>
      </w:r>
    </w:p>
    <w:p>
      <w:pPr>
        <w:spacing w:after="100"/>
        <w:ind w:left="360"/>
      </w:pPr>
      <w:r>
        <w:rPr>
          <w:b/>
          <w:bCs/>
        </w:rPr>
        <w:t xml:space="preserve">Connects to: </w:t>
      </w:r>
      <w:r>
        <w:t xml:space="preserve">Bootlegging and unprogrammed R&amp;D (Augsdorfer); 15% time; exploration vs exploitation (March)</w:t>
      </w:r>
    </w:p>
    <w:p>
      <w:pPr>
        <w:spacing w:after="50"/>
      </w:pPr>
      <w:r>
        <w:rPr>
          <w:b/>
          <w:bCs/>
          <w:i/>
          <w:iCs/>
        </w:rPr>
        <w:t xml:space="preserve">Sample Event: Lead User</w:t>
      </w:r>
    </w:p>
    <w:p>
      <w:pPr>
        <w:spacing w:after="50"/>
        <w:ind w:left="360"/>
      </w:pPr>
      <w:r>
        <w:rPr>
          <w:i/>
          <w:iCs/>
        </w:rPr>
        <w:t xml:space="preserve">"One customer is using your product for problems most users won't face for years. They're frustrated by limitations nobody else has hit yet."</w:t>
      </w:r>
    </w:p>
    <w:p>
      <w:pPr>
        <w:spacing w:after="50"/>
        <w:ind w:left="360"/>
      </w:pPr>
      <w:r>
        <w:t xml:space="preserve">Options: Deep collaboration (+future insights) | Interview and document | Focus on mainstream users</w:t>
      </w:r>
    </w:p>
    <w:p>
      <w:pPr>
        <w:spacing w:after="200"/>
        <w:ind w:left="360"/>
      </w:pPr>
      <w:r>
        <w:rPr>
          <w:b/>
          <w:bCs/>
        </w:rPr>
        <w:t xml:space="preserve">Connects to: </w:t>
      </w:r>
      <w:r>
        <w:t xml:space="preserve">Lead user innovation (von Hippel); market orientation; customer development</w:t>
      </w:r>
    </w:p>
    <w:p>
      <w:pPr>
        <w:pStyle w:val="Heading2"/>
      </w:pPr>
      <w:r>
        <w:t xml:space="preserve">Product &amp; Development Events</w:t>
      </w:r>
    </w:p>
    <w:p>
      <w:pPr>
        <w:spacing w:after="100"/>
      </w:pPr>
      <w:r>
        <w:rPr>
          <w:b/>
          <w:bCs/>
        </w:rPr>
        <w:t xml:space="preserve">Core themes: </w:t>
      </w:r>
      <w:r>
        <w:t xml:space="preserve">Technical debt; security vs speed; evidence-based decision making; psychological safety; team dynamics</w:t>
      </w:r>
    </w:p>
    <w:p>
      <w:pPr>
        <w:spacing w:after="50"/>
      </w:pPr>
      <w:r>
        <w:rPr>
          <w:b/>
          <w:bCs/>
          <w:i/>
          <w:iCs/>
        </w:rPr>
        <w:t xml:space="preserve">Sample Event: A/B Test Contradiction</w:t>
      </w:r>
    </w:p>
    <w:p>
      <w:pPr>
        <w:spacing w:after="50"/>
        <w:ind w:left="360"/>
      </w:pPr>
      <w:r>
        <w:rPr>
          <w:i/>
          <w:iCs/>
        </w:rPr>
        <w:t xml:space="preserve">"The team spent months building a beloved feature. The A/B test is clear: users who see it convert 15% worse. The team insists the test must be flawed."</w:t>
      </w:r>
    </w:p>
    <w:p>
      <w:pPr>
        <w:spacing w:after="50"/>
        <w:ind w:left="360"/>
      </w:pPr>
      <w:r>
        <w:t xml:space="preserve">Options: Kill the feature—data wins | Iterate based on what data suggests | Trust team's instincts, ship anyway</w:t>
      </w:r>
    </w:p>
    <w:p>
      <w:pPr>
        <w:spacing w:after="100"/>
        <w:ind w:left="360"/>
      </w:pPr>
      <w:r>
        <w:rPr>
          <w:b/>
          <w:bCs/>
        </w:rPr>
        <w:t xml:space="preserve">Connects to: </w:t>
      </w:r>
      <w:r>
        <w:t xml:space="preserve">Scientific method in entrepreneurship (Camuffo); evidence-based management; confirmation bias</w:t>
      </w:r>
    </w:p>
    <w:p>
      <w:pPr>
        <w:spacing w:after="50"/>
      </w:pPr>
      <w:r>
        <w:rPr>
          <w:b/>
          <w:bCs/>
          <w:i/>
          <w:iCs/>
        </w:rPr>
        <w:t xml:space="preserve">Sample Event: Psychological Safety</w:t>
      </w:r>
    </w:p>
    <w:p>
      <w:pPr>
        <w:spacing w:after="50"/>
        <w:ind w:left="360"/>
      </w:pPr>
      <w:r>
        <w:rPr>
          <w:i/>
          <w:iCs/>
        </w:rPr>
        <w:t xml:space="preserve">"A junior engineer raised concerns about the timeline weeks ago. Everyone dismissed her. She was right. Now the team is nervous about speaking up."</w:t>
      </w:r>
    </w:p>
    <w:p>
      <w:pPr>
        <w:spacing w:after="50"/>
        <w:ind w:left="360"/>
      </w:pPr>
      <w:r>
        <w:t xml:space="preserve">Options: Public acknowledgment she was right (+safety, -ego) | Quiet word of thanks | Move on, focus on fixing it</w:t>
      </w:r>
    </w:p>
    <w:p>
      <w:pPr>
        <w:spacing w:after="100"/>
        <w:ind w:left="360"/>
      </w:pPr>
      <w:r>
        <w:rPr>
          <w:b/>
          <w:bCs/>
        </w:rPr>
        <w:t xml:space="preserve">Connects to: </w:t>
      </w:r>
      <w:r>
        <w:t xml:space="preserve">Psychological safety (Edmondson); speaking up; learning from failure</w:t>
      </w:r>
    </w:p>
    <w:p>
      <w:pPr>
        <w:spacing w:after="50"/>
      </w:pPr>
      <w:r>
        <w:rPr>
          <w:b/>
          <w:bCs/>
          <w:i/>
          <w:iCs/>
        </w:rPr>
        <w:t xml:space="preserve">Sample Event: Corporate vs Startup Process</w:t>
      </w:r>
    </w:p>
    <w:p>
      <w:pPr>
        <w:spacing w:after="50"/>
        <w:ind w:left="360"/>
      </w:pPr>
      <w:r>
        <w:rPr>
          <w:i/>
          <w:iCs/>
        </w:rPr>
        <w:t xml:space="preserve">"Your new VP Engineering from a large tech company is horrified by your codebase. No documentation, no code reviews. She says you're building on sand."</w:t>
      </w:r>
    </w:p>
    <w:p>
      <w:pPr>
        <w:spacing w:after="50"/>
        <w:ind w:left="360"/>
      </w:pPr>
      <w:r>
        <w:t xml:space="preserve">Options: Implement her full framework (+quality, -speed) | Gradual adoption | We've got this far without it</w:t>
      </w:r>
    </w:p>
    <w:p>
      <w:pPr>
        <w:spacing w:after="200"/>
        <w:ind w:left="360"/>
      </w:pPr>
      <w:r>
        <w:rPr>
          <w:b/>
          <w:bCs/>
        </w:rPr>
        <w:t xml:space="preserve">Connects to: </w:t>
      </w:r>
      <w:r>
        <w:t xml:space="preserve">Professionalisation of startups; technical debt; scaling challenges</w:t>
      </w:r>
    </w:p>
    <w:p>
      <w:pPr>
        <w:pStyle w:val="Heading2"/>
      </w:pPr>
      <w:r>
        <w:t xml:space="preserve">Sales &amp; Marketing Events</w:t>
      </w:r>
    </w:p>
    <w:p>
      <w:pPr>
        <w:spacing w:after="100"/>
      </w:pPr>
      <w:r>
        <w:rPr>
          <w:b/>
          <w:bCs/>
        </w:rPr>
        <w:t xml:space="preserve">Core themes: </w:t>
      </w:r>
      <w:r>
        <w:t xml:space="preserve">Legitimacy building; hype vs reality; analyst relations; government sales; community vs enterprise</w:t>
      </w:r>
    </w:p>
    <w:p>
      <w:pPr>
        <w:spacing w:after="50"/>
      </w:pPr>
      <w:r>
        <w:rPr>
          <w:b/>
          <w:bCs/>
          <w:i/>
          <w:iCs/>
        </w:rPr>
        <w:t xml:space="preserve">Sample Event: Market Sizing Honesty</w:t>
      </w:r>
    </w:p>
    <w:p>
      <w:pPr>
        <w:spacing w:after="50"/>
        <w:ind w:left="360"/>
      </w:pPr>
      <w:r>
        <w:rPr>
          <w:i/>
          <w:iCs/>
        </w:rPr>
        <w:t xml:space="preserve">"Your rigorous bottom-up analysis says the market is £40M. VCs want £500M+ markets. Your competitor just claimed £2B—a number you're pretty sure is nonsense."</w:t>
      </w:r>
    </w:p>
    <w:p>
      <w:pPr>
        <w:spacing w:after="50"/>
        <w:ind w:left="360"/>
      </w:pPr>
      <w:r>
        <w:t xml:space="preserve">Options: Stick with £40M, seek non-VC funding | Find the beachhead expansion story | Match competitor's framing</w:t>
      </w:r>
    </w:p>
    <w:p>
      <w:pPr>
        <w:spacing w:after="100"/>
        <w:ind w:left="360"/>
      </w:pPr>
      <w:r>
        <w:rPr>
          <w:b/>
          <w:bCs/>
        </w:rPr>
        <w:t xml:space="preserve">Connects to: </w:t>
      </w:r>
      <w:r>
        <w:t xml:space="preserve">Signalling theory; legitimacy; investor relations; TAM/SAM/SOM</w:t>
      </w:r>
    </w:p>
    <w:p>
      <w:pPr>
        <w:spacing w:after="50"/>
      </w:pPr>
      <w:r>
        <w:rPr>
          <w:b/>
          <w:bCs/>
          <w:i/>
          <w:iCs/>
        </w:rPr>
        <w:t xml:space="preserve">Sample Event: Negative Review Response</w:t>
      </w:r>
    </w:p>
    <w:p>
      <w:pPr>
        <w:spacing w:after="50"/>
        <w:ind w:left="360"/>
      </w:pPr>
      <w:r>
        <w:rPr>
          <w:i/>
          <w:iCs/>
        </w:rPr>
        <w:t xml:space="preserve">"A former customer posted a scathing review. Half is unfair—they broke the integration themselves. Half is true—your onboarding was chaotic."</w:t>
      </w:r>
    </w:p>
    <w:p>
      <w:pPr>
        <w:spacing w:after="50"/>
        <w:ind w:left="360"/>
      </w:pPr>
      <w:r>
        <w:t xml:space="preserve">Options: Detailed public response | Private outreach, fix real issues | Bury with positive reviews</w:t>
      </w:r>
    </w:p>
    <w:p>
      <w:pPr>
        <w:spacing w:after="200"/>
        <w:ind w:left="360"/>
      </w:pPr>
      <w:r>
        <w:rPr>
          <w:b/>
          <w:bCs/>
        </w:rPr>
        <w:t xml:space="preserve">Connects to: </w:t>
      </w:r>
      <w:r>
        <w:t xml:space="preserve">Reputation management; service recovery; stakeholder communication</w:t>
      </w:r>
    </w:p>
    <w:p>
      <w:pPr>
        <w:pStyle w:val="Heading2"/>
      </w:pPr>
      <w:r>
        <w:t xml:space="preserve">People &amp; HR Events</w:t>
      </w:r>
    </w:p>
    <w:p>
      <w:pPr>
        <w:spacing w:after="100"/>
      </w:pPr>
      <w:r>
        <w:rPr>
          <w:b/>
          <w:bCs/>
        </w:rPr>
        <w:t xml:space="preserve">Core themes: </w:t>
      </w:r>
      <w:r>
        <w:t xml:space="preserve">Diversity and inclusion; neurodiversity; work-life balance; compensation; culture building</w:t>
      </w:r>
    </w:p>
    <w:p>
      <w:pPr>
        <w:spacing w:after="50"/>
      </w:pPr>
      <w:r>
        <w:rPr>
          <w:b/>
          <w:bCs/>
          <w:i/>
          <w:iCs/>
        </w:rPr>
        <w:t xml:space="preserve">Sample Event: Gender Pay Gap Discovery</w:t>
      </w:r>
    </w:p>
    <w:p>
      <w:pPr>
        <w:spacing w:after="50"/>
        <w:ind w:left="360"/>
      </w:pPr>
      <w:r>
        <w:rPr>
          <w:i/>
          <w:iCs/>
        </w:rPr>
        <w:t xml:space="preserve">"Salary review reveals female engineers earn 15% less—not because you paid them less, but because they negotiated less aggressively at hiring. Fixing it costs £60k."</w:t>
      </w:r>
    </w:p>
    <w:p>
      <w:pPr>
        <w:spacing w:after="50"/>
        <w:ind w:left="360"/>
      </w:pPr>
      <w:r>
        <w:t xml:space="preserve">Options: Equalise all salaries now | Adjust offers, phase in parity | Performance-based path to parity</w:t>
      </w:r>
    </w:p>
    <w:p>
      <w:pPr>
        <w:spacing w:after="100"/>
        <w:ind w:left="360"/>
      </w:pPr>
      <w:r>
        <w:rPr>
          <w:b/>
          <w:bCs/>
        </w:rPr>
        <w:t xml:space="preserve">Connects to: </w:t>
      </w:r>
      <w:r>
        <w:t xml:space="preserve">Structural inequality; negotiation research; fairness perceptions</w:t>
      </w:r>
    </w:p>
    <w:p>
      <w:pPr>
        <w:spacing w:after="50"/>
      </w:pPr>
      <w:r>
        <w:rPr>
          <w:b/>
          <w:bCs/>
          <w:i/>
          <w:iCs/>
        </w:rPr>
        <w:t xml:space="preserve">Sample Event: Neurodiversity Management</w:t>
      </w:r>
    </w:p>
    <w:p>
      <w:pPr>
        <w:spacing w:after="50"/>
        <w:ind w:left="360"/>
      </w:pPr>
      <w:r>
        <w:rPr>
          <w:i/>
          <w:iCs/>
        </w:rPr>
        <w:t xml:space="preserve">"Your ADHD engineer saved a major deadline with 72 hours of hyperfocused brilliance. Now they're crashed—exhausted, behind on everything else. The team is annoyed about dropped balls."</w:t>
      </w:r>
    </w:p>
    <w:p>
      <w:pPr>
        <w:spacing w:after="50"/>
        <w:ind w:left="360"/>
      </w:pPr>
      <w:r>
        <w:t xml:space="preserve">Options: Explain to team, protect recovery time | Quietly cover for them | They need to catch up</w:t>
      </w:r>
    </w:p>
    <w:p>
      <w:pPr>
        <w:spacing w:after="100"/>
        <w:ind w:left="360"/>
      </w:pPr>
      <w:r>
        <w:rPr>
          <w:b/>
          <w:bCs/>
        </w:rPr>
        <w:t xml:space="preserve">Connects to: </w:t>
      </w:r>
      <w:r>
        <w:t xml:space="preserve">Neurodiversity at work; inclusive management; individual differences</w:t>
      </w:r>
    </w:p>
    <w:p>
      <w:pPr>
        <w:spacing w:after="50"/>
      </w:pPr>
      <w:r>
        <w:rPr>
          <w:b/>
          <w:bCs/>
          <w:i/>
          <w:iCs/>
        </w:rPr>
        <w:t xml:space="preserve">Sample Event: Visa Vulnerability</w:t>
      </w:r>
    </w:p>
    <w:p>
      <w:pPr>
        <w:spacing w:after="50"/>
        <w:ind w:left="360"/>
      </w:pPr>
      <w:r>
        <w:rPr>
          <w:i/>
          <w:iCs/>
        </w:rPr>
        <w:t xml:space="preserve">"Your sponsored visa employee is being given extra work by a manager who knows she can't easily quit. She hasn't complained—she can't risk it."</w:t>
      </w:r>
    </w:p>
    <w:p>
      <w:pPr>
        <w:spacing w:after="50"/>
        <w:ind w:left="360"/>
      </w:pPr>
      <w:r>
        <w:t xml:space="preserve">Options: Address it, fast-track her settlement | Talk to the manager privately | Monitor the situation</w:t>
      </w:r>
    </w:p>
    <w:p>
      <w:pPr>
        <w:spacing w:after="200"/>
        <w:ind w:left="360"/>
      </w:pPr>
      <w:r>
        <w:rPr>
          <w:b/>
          <w:bCs/>
        </w:rPr>
        <w:t xml:space="preserve">Connects to: </w:t>
      </w:r>
      <w:r>
        <w:t xml:space="preserve">Power dynamics; duty of care; immigration policy and employment</w:t>
      </w:r>
    </w:p>
    <w:p>
      <w:r>
        <w:br w:type="page"/>
      </w:r>
    </w:p>
    <w:p>
      <w:pPr>
        <w:pStyle w:val="Heading1"/>
      </w:pPr>
      <w:r>
        <w:t>Part 5: Instructor Orientation</w:t>
      </w:r>
    </w:p>
    <w:p>
      <w:r>
        <w:t>This guide focuses on explaining the simulation’s mechanics and systems so instructors can connect gameplay to entrepreneurship concepts. For detailed class formats, lesson plans, and assessments, use your separate classroom implementation document.</w:t>
      </w:r>
    </w:p>
    <w:p>
      <w:pPr>
        <w:pStyle w:val="Heading2"/>
      </w:pPr>
      <w:r>
        <w:t>Quick setup</w:t>
      </w:r>
    </w:p>
    <w:p>
      <w:r>
        <w:t>You need only a web browser and the simulation HTML file. Students can play individually or in pairs; pairs tend to increase discussion quality and reduce decision paralysis.</w:t>
      </w:r>
    </w:p>
    <w:p>
      <w:pPr>
        <w:pStyle w:val="ListParagraph"/>
      </w:pPr>
      <w:r>
        <w:t>• Recommended first run: Guided Play (first in-game year) to onboard mechanics, then continue in standard mode.</w:t>
      </w:r>
    </w:p>
    <w:p>
      <w:pPr>
        <w:pStyle w:val="ListParagraph"/>
      </w:pPr>
      <w:r>
        <w:t>• Typical flow: 5 min intro → 45-90 min play → 10-20 min debrief.</w:t>
      </w:r>
    </w:p>
    <w:p>
      <w:pPr>
        <w:pStyle w:val="ListParagraph"/>
      </w:pPr>
      <w:r>
        <w:t>• Instructor posture: let students feel trade-offs; intervene mainly to surface the concepts behind decisions.</w:t>
      </w:r>
    </w:p>
    <w:p>
      <w:pPr>
        <w:pStyle w:val="Heading2"/>
      </w:pPr>
      <w:r>
        <w:t>What to watch for</w:t>
      </w:r>
    </w:p>
    <w:p>
      <w:pPr>
        <w:pStyle w:val="ListParagraph"/>
      </w:pPr>
      <w:r>
        <w:t>• Runway and burn: students often hire and spend before they understand cash dynamics.</w:t>
      </w:r>
    </w:p>
    <w:p>
      <w:pPr>
        <w:pStyle w:val="ListParagraph"/>
      </w:pPr>
      <w:r>
        <w:t>• Over-investing in one department: the game rewards balanced capability-building, not a single-metric sprint.</w:t>
      </w:r>
    </w:p>
    <w:p>
      <w:pPr>
        <w:pStyle w:val="ListParagraph"/>
      </w:pPr>
      <w:r>
        <w:t>• Narratives vs numbers in fundraising: term-sheet terms can matter as much as the cash amount.</w:t>
      </w:r>
    </w:p>
    <w:p>
      <w:pPr>
        <w:pStyle w:val="Heading1"/>
      </w:pPr>
      <w:r>
        <w:t>Part 6: Game Elements Reference</w:t>
      </w:r>
    </w:p>
    <w:p>
      <w:r>
        <w:t>Use this section as a “systems map” of the simulation. Each element includes what it affects, what trade-offs it creates, and common teaching hooks.</w:t>
      </w:r>
    </w:p>
    <w:p>
      <w:pPr>
        <w:pStyle w:val="Heading2"/>
      </w:pPr>
      <w:r>
        <w:t>6.1 Core stats, rank, and the quarterly loop</w:t>
      </w:r>
    </w:p>
    <w:p>
      <w:r>
        <w:t>Each quarter, players allocate Attention Points (AP) across departments, triggering outcomes, events, and progress toward milestones.</w:t>
      </w:r>
    </w:p>
    <w:p>
      <w:pPr>
        <w:pStyle w:val="ListParagraph"/>
      </w:pPr>
      <w:r>
        <w:t>• Research, Product, Sales &amp; Marketing, People: capability scores (and constraints) that change what the company can do.</w:t>
      </w:r>
    </w:p>
    <w:p>
      <w:pPr>
        <w:pStyle w:val="ListParagraph"/>
      </w:pPr>
      <w:r>
        <w:t>• Cash, Revenue, Burn, Runway: survival and scaling constraints.</w:t>
      </w:r>
    </w:p>
    <w:p>
      <w:pPr>
        <w:pStyle w:val="ListParagraph"/>
      </w:pPr>
      <w:r>
        <w:t>• Market Rank: determined by combined stats (Research + Product + Sales); rank shapes investor perception, talent attraction, customer willingness to buy, and final exit valuation.</w:t>
      </w:r>
    </w:p>
    <w:p>
      <w:r>
        <w:t>Teaching hooks: resource allocation under uncertainty; complementary assets; capability-building vs short-term wins.</w:t>
      </w:r>
    </w:p>
    <w:p>
      <w:pPr>
        <w:pStyle w:val="Heading2"/>
      </w:pPr>
      <w:r>
        <w:t>6.2 Competitors and competitive pressure</w:t>
      </w:r>
    </w:p>
    <w:p>
      <w:r>
        <w:t>Each venture faces three AI rivals with different strategic profiles:</w:t>
      </w:r>
    </w:p>
    <w:p>
      <w:pPr>
        <w:pStyle w:val="ListParagraph"/>
      </w:pPr>
      <w:r>
        <w:t>• Well-funded incumbent: big backing and aggressive growth.</w:t>
      </w:r>
    </w:p>
    <w:p>
      <w:pPr>
        <w:pStyle w:val="ListParagraph"/>
      </w:pPr>
      <w:r>
        <w:t>• Scrappy upstart: less cash, more hustle.</w:t>
      </w:r>
    </w:p>
    <w:p>
      <w:pPr>
        <w:pStyle w:val="ListParagraph"/>
      </w:pPr>
      <w:r>
        <w:t>• Technical specialist: deep expertise in one area.</w:t>
      </w:r>
    </w:p>
    <w:p>
      <w:r>
        <w:t>Rivals progress each quarter based on their strategies and random events. Rival news appears below the leaderboard when significant events happen (funding, product launches, key hires, setbacks).</w:t>
      </w:r>
    </w:p>
    <w:p>
      <w:r>
        <w:t>Players cannot directly “attack” rivals; they outcompete by raising their own capabilities (Product, Research, Sales), completing milestones faster, and securing strategic investors.</w:t>
      </w:r>
    </w:p>
    <w:p>
      <w:r>
        <w:t>Teaching hooks: competitive dynamics; Red Queen effects; signalling and legitimacy; the role of speed and focus.</w:t>
      </w:r>
    </w:p>
    <w:p>
      <w:pPr>
        <w:pStyle w:val="Heading2"/>
      </w:pPr>
      <w:r>
        <w:t>6.3 Financials: cash, burn, runway, and break-even</w:t>
      </w:r>
    </w:p>
    <w:p>
      <w:r>
        <w:t>The financial model is intentionally legible:</w:t>
      </w:r>
    </w:p>
    <w:p>
      <w:pPr>
        <w:pStyle w:val="ListParagraph"/>
      </w:pPr>
      <w:r>
        <w:t>• Net Burn = Costs − Revenue</w:t>
      </w:r>
    </w:p>
    <w:p>
      <w:pPr>
        <w:pStyle w:val="ListParagraph"/>
      </w:pPr>
      <w:r>
        <w:t>• Runway = Cash ÷ Net Burn (quarters remaining). If runway hits 0, the game ends.</w:t>
      </w:r>
    </w:p>
    <w:p>
      <w:pPr>
        <w:pStyle w:val="ListParagraph"/>
      </w:pPr>
      <w:r>
        <w:t>• Costs are driven primarily by staff (roughly £15k-£25k per quarter per person; senior hires and specialists cost more) plus overheads.</w:t>
      </w:r>
    </w:p>
    <w:p>
      <w:pPr>
        <w:pStyle w:val="ListParagraph"/>
      </w:pPr>
      <w:r>
        <w:t>• Revenue grows as the company matures, driven by Marketing score (customer acquisition), Product score (conversion/retention), milestone completion (unlocking revenue), and time (compounding).</w:t>
      </w:r>
    </w:p>
    <w:p>
      <w:pPr>
        <w:pStyle w:val="ListParagraph"/>
      </w:pPr>
      <w:r>
        <w:t>• Break-even is when revenue equals costs; after break-even, the venture becomes self-sustaining and has more leverage in funding negotiations.</w:t>
      </w:r>
    </w:p>
    <w:p>
      <w:r>
        <w:t>Teaching hooks: unit economics intuition; runway management; burn vs growth; survivorship and timing; the difference between profitability and investability.</w:t>
      </w:r>
    </w:p>
    <w:p>
      <w:pPr>
        <w:pStyle w:val="Heading2"/>
      </w:pPr>
      <w:r>
        <w:t>6.4 Funders, fundraising, and term-sheet trade-offs</w:t>
      </w:r>
    </w:p>
    <w:p>
      <w:r>
        <w:t>Funding choices are framed as trade-offs between runway, ownership, and constraints. The simulation includes multiple funding stages (bootstrapped, angel, VC seed) and funders with distinct priorities and “strings attached.”</w:t>
      </w:r>
    </w:p>
    <w:p>
      <w:r>
        <w:t>Key term-sheet concepts surfaced in the game:</w:t>
      </w:r>
    </w:p>
    <w:p>
      <w:pPr>
        <w:pStyle w:val="ListParagraph"/>
      </w:pPr>
      <w:r>
        <w:t>• Equity: percentage given to investors; more cash often means more dilution.</w:t>
      </w:r>
    </w:p>
    <w:p>
      <w:pPr>
        <w:pStyle w:val="ListParagraph"/>
      </w:pPr>
      <w:r>
        <w:t>• Valuation: higher valuations reduce dilution for the same cash (pre-money vs post-money framing).</w:t>
      </w:r>
    </w:p>
    <w:p>
      <w:pPr>
        <w:pStyle w:val="ListParagraph"/>
      </w:pPr>
      <w:r>
        <w:t>• Anti-dilution protection: founder-friendly (none) vs partial vs full protection; aggressive protection shifts dilution burden onto founders and later investors.</w:t>
      </w:r>
    </w:p>
    <w:p>
      <w:pPr>
        <w:pStyle w:val="ListParagraph"/>
      </w:pPr>
      <w:r>
        <w:t>• Bridge rounds: smaller rounds between major raises, often from existing investors.</w:t>
      </w:r>
    </w:p>
    <w:p>
      <w:pPr>
        <w:pStyle w:val="ListParagraph"/>
      </w:pPr>
      <w:r>
        <w:t>• Down rounds: raise at a lower valuation; can trigger extra dilution and reputational fallout.</w:t>
      </w:r>
    </w:p>
    <w:p>
      <w:pPr>
        <w:pStyle w:val="ListParagraph"/>
      </w:pPr>
      <w:r>
        <w:t>• Due diligence: investors check revenue quality, references, technical architecture, IP/legal issues, and more.</w:t>
      </w:r>
    </w:p>
    <w:p>
      <w:r>
        <w:t>Teaching hooks: capital structure; incentive alignment; signalling; governance; path dependence in financing terms.</w:t>
      </w:r>
    </w:p>
    <w:p>
      <w:pPr>
        <w:pStyle w:val="Heading2"/>
      </w:pPr>
      <w:r>
        <w:t>6.5 Hiring, talent markets, and team dynamics</w:t>
      </w:r>
    </w:p>
    <w:p>
      <w:r>
        <w:t>Hiring increases capability but raises burn and introduces integration costs.</w:t>
      </w:r>
    </w:p>
    <w:p>
      <w:r>
        <w:t>Mechanics to be aware of:</w:t>
      </w:r>
    </w:p>
    <w:p>
      <w:pPr>
        <w:pStyle w:val="ListParagraph"/>
      </w:pPr>
      <w:r>
        <w:t>• Hiring limit: up to 2 hires per quarter.</w:t>
      </w:r>
    </w:p>
    <w:p>
      <w:pPr>
        <w:pStyle w:val="ListParagraph"/>
      </w:pPr>
      <w:r>
        <w:t>• Up-front hire cost: base £50k (reduced by operational skill; minimum £25k).</w:t>
      </w:r>
    </w:p>
    <w:p>
      <w:pPr>
        <w:pStyle w:val="ListParagraph"/>
      </w:pPr>
      <w:r>
        <w:t>• Burn increase: each hire increases ongoing quarterly burn (senior/specialist hires add more).</w:t>
      </w:r>
    </w:p>
    <w:p>
      <w:pPr>
        <w:pStyle w:val="ListParagraph"/>
      </w:pPr>
      <w:r>
        <w:t>• Integration friction: rapid hiring can create temporary productivity penalties and morale hits; hiring a second person in the same quarter can add an extra mood penalty.</w:t>
      </w:r>
    </w:p>
    <w:p>
      <w:pPr>
        <w:pStyle w:val="ListParagraph"/>
      </w:pPr>
      <w:r>
        <w:t>• Job postings: players set role, seniority, salary range, and equity range; candidate interest adjusts based on how offers match expectations.</w:t>
      </w:r>
    </w:p>
    <w:p>
      <w:r>
        <w:t>Teaching hooks: hiring as a strategic investment; compensation design; organisational scaling; culture vs speed; coordination costs.</w:t>
      </w:r>
    </w:p>
    <w:p>
      <w:pPr>
        <w:pStyle w:val="Heading2"/>
      </w:pPr>
      <w:r>
        <w:t>6.6 Research grants and academic pathways</w:t>
      </w:r>
    </w:p>
    <w:p>
      <w:r>
        <w:t>For research-oriented ventures (and the “Research &amp; Grants” revenue model), grant applications function like longer-cycle contracts:</w:t>
      </w:r>
    </w:p>
    <w:p>
      <w:pPr>
        <w:pStyle w:val="ListParagraph"/>
      </w:pPr>
      <w:r>
        <w:t>• Applications take multiple quarters to resolve; outcomes are probabilistic.</w:t>
      </w:r>
    </w:p>
    <w:p>
      <w:pPr>
        <w:pStyle w:val="ListParagraph"/>
      </w:pPr>
      <w:r>
        <w:t>• Awarded grants add revenue and also add a support cost (a portion of the grant value).</w:t>
      </w:r>
    </w:p>
    <w:p>
      <w:pPr>
        <w:pStyle w:val="ListParagraph"/>
      </w:pPr>
      <w:r>
        <w:t>• Grants run for a fixed duration and then complete (they don’t “churn” like customers).</w:t>
      </w:r>
    </w:p>
    <w:p>
      <w:pPr>
        <w:pStyle w:val="ListParagraph"/>
      </w:pPr>
      <w:r>
        <w:t>• Academic hub locations and grant-oriented funders improve fit for grant-driven strategies.</w:t>
      </w:r>
    </w:p>
    <w:p>
      <w:r>
        <w:t>Teaching hooks: non-dilutive funding; time-to-funding; research commercialisation; institutional logics (academic credibility vs market speed).</w:t>
      </w:r>
    </w:p>
    <w:p>
      <w:pPr>
        <w:pStyle w:val="Heading2"/>
      </w:pPr>
      <w:r>
        <w:t>6.7 Business models (revenue models) and what they change</w:t>
      </w:r>
    </w:p>
    <w:p>
      <w:r>
        <w:t>The revenue model shapes sales cycle length, churn, and the economics of acquiring and supporting customers. The current version includes five models:</w:t>
      </w:r>
    </w:p>
    <w:tbl>
      <w:tblPr>
        <w:tblW w:type="auto" w:w="0"/>
        <w:tblLook w:firstColumn="1" w:firstRow="1" w:lastColumn="0" w:lastRow="0" w:noHBand="0" w:noVBand="1" w:val="04A0"/>
        <w:jc w:val="center"/>
        <w:tblBorders>
          <w:top w:val="single" w:sz="8" w:space="0" w:color="A0A0A0"/>
          <w:left w:val="single" w:sz="8" w:space="0" w:color="A0A0A0"/>
          <w:bottom w:val="single" w:sz="8" w:space="0" w:color="A0A0A0"/>
          <w:right w:val="single" w:sz="8" w:space="0" w:color="A0A0A0"/>
          <w:insideH w:val="single" w:sz="8" w:space="0" w:color="A0A0A0"/>
          <w:insideV w:val="single" w:sz="8" w:space="0" w:color="A0A0A0"/>
        </w:tblBorders>
      </w:tblPr>
      <w:tblGrid>
        <w:gridCol w:w="1289"/>
        <w:gridCol w:w="1289"/>
        <w:gridCol w:w="1289"/>
        <w:gridCol w:w="1289"/>
        <w:gridCol w:w="1289"/>
        <w:gridCol w:w="1289"/>
        <w:gridCol w:w="1289"/>
      </w:tblGrid>
      <w:tr>
        <w:tc>
          <w:tcPr>
            <w:tcW w:type="dxa" w:w="1289"/>
            <w:shd w:val="clear" w:color="auto" w:fill="EFEFEF"/>
          </w:tcPr>
          <w:p>
            <w:r>
              <w:rPr>
                <w:b/>
                <w:sz w:val="18"/>
              </w:rPr>
              <w:t>Revenue model</w:t>
            </w:r>
          </w:p>
        </w:tc>
        <w:tc>
          <w:tcPr>
            <w:tcW w:type="dxa" w:w="1289"/>
            <w:shd w:val="clear" w:color="auto" w:fill="EFEFEF"/>
          </w:tcPr>
          <w:p>
            <w:r>
              <w:rPr>
                <w:b/>
                <w:sz w:val="18"/>
              </w:rPr>
              <w:t>Typical customer motion</w:t>
            </w:r>
          </w:p>
        </w:tc>
        <w:tc>
          <w:tcPr>
            <w:tcW w:type="dxa" w:w="1289"/>
            <w:shd w:val="clear" w:color="auto" w:fill="EFEFEF"/>
          </w:tcPr>
          <w:p>
            <w:r>
              <w:rPr>
                <w:b/>
                <w:sz w:val="18"/>
              </w:rPr>
              <w:t>Sales cycle (qtrs)</w:t>
            </w:r>
          </w:p>
        </w:tc>
        <w:tc>
          <w:tcPr>
            <w:tcW w:type="dxa" w:w="1289"/>
            <w:shd w:val="clear" w:color="auto" w:fill="EFEFEF"/>
          </w:tcPr>
          <w:p>
            <w:r>
              <w:rPr>
                <w:b/>
                <w:sz w:val="18"/>
              </w:rPr>
              <w:t>Churn (per qtr)</w:t>
            </w:r>
          </w:p>
        </w:tc>
        <w:tc>
          <w:tcPr>
            <w:tcW w:type="dxa" w:w="1289"/>
            <w:shd w:val="clear" w:color="auto" w:fill="EFEFEF"/>
          </w:tcPr>
          <w:p>
            <w:r>
              <w:rPr>
                <w:b/>
                <w:sz w:val="18"/>
              </w:rPr>
              <w:t>Avg rev / customer</w:t>
            </w:r>
          </w:p>
        </w:tc>
        <w:tc>
          <w:tcPr>
            <w:tcW w:type="dxa" w:w="1289"/>
            <w:shd w:val="clear" w:color="auto" w:fill="EFEFEF"/>
          </w:tcPr>
          <w:p>
            <w:r>
              <w:rPr>
                <w:b/>
                <w:sz w:val="18"/>
              </w:rPr>
              <w:t>Acquisition cost</w:t>
            </w:r>
          </w:p>
        </w:tc>
        <w:tc>
          <w:tcPr>
            <w:tcW w:type="dxa" w:w="1289"/>
            <w:shd w:val="clear" w:color="auto" w:fill="EFEFEF"/>
          </w:tcPr>
          <w:p>
            <w:r>
              <w:rPr>
                <w:b/>
                <w:sz w:val="18"/>
              </w:rPr>
              <w:t>Support cost / qtr</w:t>
            </w:r>
          </w:p>
        </w:tc>
      </w:tr>
      <w:tr>
        <w:tc>
          <w:tcPr>
            <w:tcW w:type="dxa" w:w="1289"/>
          </w:tcPr>
          <w:p>
            <w:r>
              <w:rPr>
                <w:sz w:val="18"/>
              </w:rPr>
              <w:t>B2B SaaS</w:t>
            </w:r>
          </w:p>
        </w:tc>
        <w:tc>
          <w:tcPr>
            <w:tcW w:type="dxa" w:w="1289"/>
          </w:tcPr>
          <w:p>
            <w:r>
              <w:rPr>
                <w:sz w:val="18"/>
              </w:rPr>
              <w:t>Enterprise sales, high-touch, relationship-driven</w:t>
            </w:r>
          </w:p>
        </w:tc>
        <w:tc>
          <w:tcPr>
            <w:tcW w:type="dxa" w:w="1289"/>
          </w:tcPr>
          <w:p>
            <w:r>
              <w:rPr>
                <w:sz w:val="18"/>
              </w:rPr>
              <w:t>2</w:t>
            </w:r>
          </w:p>
        </w:tc>
        <w:tc>
          <w:tcPr>
            <w:tcW w:type="dxa" w:w="1289"/>
          </w:tcPr>
          <w:p>
            <w:r>
              <w:rPr>
                <w:sz w:val="18"/>
              </w:rPr>
              <w:t>10%</w:t>
            </w:r>
          </w:p>
        </w:tc>
        <w:tc>
          <w:tcPr>
            <w:tcW w:type="dxa" w:w="1289"/>
          </w:tcPr>
          <w:p>
            <w:r>
              <w:rPr>
                <w:sz w:val="18"/>
              </w:rPr>
              <w:t>£15k</w:t>
            </w:r>
          </w:p>
        </w:tc>
        <w:tc>
          <w:tcPr>
            <w:tcW w:type="dxa" w:w="1289"/>
          </w:tcPr>
          <w:p>
            <w:r>
              <w:rPr>
                <w:sz w:val="18"/>
              </w:rPr>
              <w:t>£20k</w:t>
            </w:r>
          </w:p>
        </w:tc>
        <w:tc>
          <w:tcPr>
            <w:tcW w:type="dxa" w:w="1289"/>
          </w:tcPr>
          <w:p>
            <w:r>
              <w:rPr>
                <w:sz w:val="18"/>
              </w:rPr>
              <w:t>£5k</w:t>
            </w:r>
          </w:p>
        </w:tc>
      </w:tr>
      <w:tr>
        <w:tc>
          <w:tcPr>
            <w:tcW w:type="dxa" w:w="1289"/>
          </w:tcPr>
          <w:p>
            <w:r>
              <w:rPr>
                <w:sz w:val="18"/>
              </w:rPr>
              <w:t>Healthcare / Public Sector</w:t>
            </w:r>
          </w:p>
        </w:tc>
        <w:tc>
          <w:tcPr>
            <w:tcW w:type="dxa" w:w="1289"/>
          </w:tcPr>
          <w:p>
            <w:r>
              <w:rPr>
                <w:sz w:val="18"/>
              </w:rPr>
              <w:t>Long procurement cycles, regulatory hurdles, large contracts</w:t>
            </w:r>
          </w:p>
        </w:tc>
        <w:tc>
          <w:tcPr>
            <w:tcW w:type="dxa" w:w="1289"/>
          </w:tcPr>
          <w:p>
            <w:r>
              <w:rPr>
                <w:sz w:val="18"/>
              </w:rPr>
              <w:t>4</w:t>
            </w:r>
          </w:p>
        </w:tc>
        <w:tc>
          <w:tcPr>
            <w:tcW w:type="dxa" w:w="1289"/>
          </w:tcPr>
          <w:p>
            <w:r>
              <w:rPr>
                <w:sz w:val="18"/>
              </w:rPr>
              <w:t>5%</w:t>
            </w:r>
          </w:p>
        </w:tc>
        <w:tc>
          <w:tcPr>
            <w:tcW w:type="dxa" w:w="1289"/>
          </w:tcPr>
          <w:p>
            <w:r>
              <w:rPr>
                <w:sz w:val="18"/>
              </w:rPr>
              <w:t>£25k</w:t>
            </w:r>
          </w:p>
        </w:tc>
        <w:tc>
          <w:tcPr>
            <w:tcW w:type="dxa" w:w="1289"/>
          </w:tcPr>
          <w:p>
            <w:r>
              <w:rPr>
                <w:sz w:val="18"/>
              </w:rPr>
              <w:t>£10k</w:t>
            </w:r>
          </w:p>
        </w:tc>
        <w:tc>
          <w:tcPr>
            <w:tcW w:type="dxa" w:w="1289"/>
          </w:tcPr>
          <w:p>
            <w:r>
              <w:rPr>
                <w:sz w:val="18"/>
              </w:rPr>
              <w:t>£12k</w:t>
            </w:r>
          </w:p>
        </w:tc>
      </w:tr>
      <w:tr>
        <w:tc>
          <w:tcPr>
            <w:tcW w:type="dxa" w:w="1289"/>
          </w:tcPr>
          <w:p>
            <w:r>
              <w:rPr>
                <w:sz w:val="18"/>
              </w:rPr>
              <w:t>Consumer Subscription</w:t>
            </w:r>
          </w:p>
        </w:tc>
        <w:tc>
          <w:tcPr>
            <w:tcW w:type="dxa" w:w="1289"/>
          </w:tcPr>
          <w:p>
            <w:r>
              <w:rPr>
                <w:sz w:val="18"/>
              </w:rPr>
              <w:t>High-volume, low-price, marketing-intensive</w:t>
            </w:r>
          </w:p>
        </w:tc>
        <w:tc>
          <w:tcPr>
            <w:tcW w:type="dxa" w:w="1289"/>
          </w:tcPr>
          <w:p>
            <w:r>
              <w:rPr>
                <w:sz w:val="18"/>
              </w:rPr>
              <w:t>0</w:t>
            </w:r>
          </w:p>
        </w:tc>
        <w:tc>
          <w:tcPr>
            <w:tcW w:type="dxa" w:w="1289"/>
          </w:tcPr>
          <w:p>
            <w:r>
              <w:rPr>
                <w:sz w:val="18"/>
              </w:rPr>
              <w:t>25%</w:t>
            </w:r>
          </w:p>
        </w:tc>
        <w:tc>
          <w:tcPr>
            <w:tcW w:type="dxa" w:w="1289"/>
          </w:tcPr>
          <w:p>
            <w:r>
              <w:rPr>
                <w:sz w:val="18"/>
              </w:rPr>
              <w:t>£45</w:t>
            </w:r>
          </w:p>
        </w:tc>
        <w:tc>
          <w:tcPr>
            <w:tcW w:type="dxa" w:w="1289"/>
          </w:tcPr>
          <w:p>
            <w:r>
              <w:rPr>
                <w:sz w:val="18"/>
              </w:rPr>
              <w:t>£80</w:t>
            </w:r>
          </w:p>
        </w:tc>
        <w:tc>
          <w:tcPr>
            <w:tcW w:type="dxa" w:w="1289"/>
          </w:tcPr>
          <w:p>
            <w:r>
              <w:rPr>
                <w:sz w:val="18"/>
              </w:rPr>
              <w:t>£2</w:t>
            </w:r>
          </w:p>
        </w:tc>
      </w:tr>
      <w:tr>
        <w:tc>
          <w:tcPr>
            <w:tcW w:type="dxa" w:w="1289"/>
          </w:tcPr>
          <w:p>
            <w:r>
              <w:rPr>
                <w:sz w:val="18"/>
              </w:rPr>
              <w:t>Research &amp; Grants</w:t>
            </w:r>
          </w:p>
        </w:tc>
        <w:tc>
          <w:tcPr>
            <w:tcW w:type="dxa" w:w="1289"/>
          </w:tcPr>
          <w:p>
            <w:r>
              <w:rPr>
                <w:sz w:val="18"/>
              </w:rPr>
              <w:t>Grant-funded, project-based, academic partnerships</w:t>
            </w:r>
          </w:p>
        </w:tc>
        <w:tc>
          <w:tcPr>
            <w:tcW w:type="dxa" w:w="1289"/>
          </w:tcPr>
          <w:p>
            <w:r>
              <w:rPr>
                <w:sz w:val="18"/>
              </w:rPr>
              <w:t>3</w:t>
            </w:r>
          </w:p>
        </w:tc>
        <w:tc>
          <w:tcPr>
            <w:tcW w:type="dxa" w:w="1289"/>
          </w:tcPr>
          <w:p>
            <w:r>
              <w:rPr>
                <w:sz w:val="18"/>
              </w:rPr>
              <w:t>0%</w:t>
            </w:r>
          </w:p>
        </w:tc>
        <w:tc>
          <w:tcPr>
            <w:tcW w:type="dxa" w:w="1289"/>
          </w:tcPr>
          <w:p>
            <w:r>
              <w:rPr>
                <w:sz w:val="18"/>
              </w:rPr>
              <w:t>£20k</w:t>
            </w:r>
          </w:p>
        </w:tc>
        <w:tc>
          <w:tcPr>
            <w:tcW w:type="dxa" w:w="1289"/>
          </w:tcPr>
          <w:p>
            <w:r>
              <w:rPr>
                <w:sz w:val="18"/>
              </w:rPr>
              <w:t>£15k</w:t>
            </w:r>
          </w:p>
        </w:tc>
        <w:tc>
          <w:tcPr>
            <w:tcW w:type="dxa" w:w="1289"/>
          </w:tcPr>
          <w:p>
            <w:r>
              <w:rPr>
                <w:sz w:val="18"/>
              </w:rPr>
              <w:t>£8k</w:t>
            </w:r>
          </w:p>
        </w:tc>
      </w:tr>
      <w:tr>
        <w:tc>
          <w:tcPr>
            <w:tcW w:type="dxa" w:w="1289"/>
          </w:tcPr>
          <w:p>
            <w:r>
              <w:rPr>
                <w:sz w:val="18"/>
              </w:rPr>
              <w:t>Platform / API</w:t>
            </w:r>
          </w:p>
        </w:tc>
        <w:tc>
          <w:tcPr>
            <w:tcW w:type="dxa" w:w="1289"/>
          </w:tcPr>
          <w:p>
            <w:r>
              <w:rPr>
                <w:sz w:val="18"/>
              </w:rPr>
              <w:t>Developer-focused, usage-based, technical marketing</w:t>
            </w:r>
          </w:p>
        </w:tc>
        <w:tc>
          <w:tcPr>
            <w:tcW w:type="dxa" w:w="1289"/>
          </w:tcPr>
          <w:p>
            <w:r>
              <w:rPr>
                <w:sz w:val="18"/>
              </w:rPr>
              <w:t>1</w:t>
            </w:r>
          </w:p>
        </w:tc>
        <w:tc>
          <w:tcPr>
            <w:tcW w:type="dxa" w:w="1289"/>
          </w:tcPr>
          <w:p>
            <w:r>
              <w:rPr>
                <w:sz w:val="18"/>
              </w:rPr>
              <w:t>15%</w:t>
            </w:r>
          </w:p>
        </w:tc>
        <w:tc>
          <w:tcPr>
            <w:tcW w:type="dxa" w:w="1289"/>
          </w:tcPr>
          <w:p>
            <w:r>
              <w:rPr>
                <w:sz w:val="18"/>
              </w:rPr>
              <w:t>£8k</w:t>
            </w:r>
          </w:p>
        </w:tc>
        <w:tc>
          <w:tcPr>
            <w:tcW w:type="dxa" w:w="1289"/>
          </w:tcPr>
          <w:p>
            <w:r>
              <w:rPr>
                <w:sz w:val="18"/>
              </w:rPr>
              <w:t>£12k</w:t>
            </w:r>
          </w:p>
        </w:tc>
        <w:tc>
          <w:tcPr>
            <w:tcW w:type="dxa" w:w="1289"/>
          </w:tcPr>
          <w:p>
            <w:r>
              <w:rPr>
                <w:sz w:val="18"/>
              </w:rPr>
              <w:t>£3k</w:t>
            </w:r>
          </w:p>
        </w:tc>
      </w:tr>
    </w:tbl>
    <w:p/>
    <w:p>
      <w:r>
        <w:t>Note: figures are per quarter, expressed in the game’s simplified units (mostly £k). For consumer subscription, per-customer numbers are smaller and scale through volume.</w:t>
      </w:r>
    </w:p>
    <w:p>
      <w:r>
        <w:t>Teaching hooks: matching business model to customer type; go-to-market; churn vs growth; pricing power; the difference between revenue and cashflow timing.</w:t>
      </w:r>
    </w:p>
    <w:p>
      <w:pPr>
        <w:pStyle w:val="Heading2"/>
      </w:pPr>
      <w:r>
        <w:t>6.8 Milestones and special moments</w:t>
      </w:r>
    </w:p>
    <w:p>
      <w:r>
        <w:t>Milestones structure the arc of the venture. Completing milestones unlocks progress and often unlocks new revenue. The game also includes short mini-games at key moments:</w:t>
      </w:r>
    </w:p>
    <w:p>
      <w:pPr>
        <w:pStyle w:val="ListParagraph"/>
      </w:pPr>
      <w:r>
        <w:t>• Conference mini-game (after Milestone 1): trade-show style challenge to win leads and connections.</w:t>
      </w:r>
    </w:p>
    <w:p>
      <w:pPr>
        <w:pStyle w:val="ListParagraph"/>
      </w:pPr>
      <w:r>
        <w:t>• Investor pitch (after Milestone 2): short pitch balancing story, data, and attention.</w:t>
      </w:r>
    </w:p>
    <w:p>
      <w:pPr>
        <w:pStyle w:val="ListParagraph"/>
      </w:pPr>
      <w:r>
        <w:t>• Demo Day (after Milestone 3): booth-management challenge to qualify and convert visitors.</w:t>
      </w:r>
    </w:p>
    <w:p>
      <w:r>
        <w:t>Teaching hooks: legitimacy-building; storytelling; traction signals; focus under time pressure.</w:t>
      </w:r>
    </w:p>
    <w:p>
      <w:pPr>
        <w:pStyle w:val="Heading2"/>
      </w:pPr>
      <w:r>
        <w:t>6.9 Pivoting: Strategic Review and Market Shift</w:t>
      </w:r>
    </w:p>
    <w:p>
      <w:r>
        <w:t>The pivot system lets players change direction when the current path is failing or when competitors outpace them.</w:t>
      </w:r>
    </w:p>
    <w:p>
      <w:r>
        <w:t>Two pivot triggers:</w:t>
      </w:r>
    </w:p>
    <w:p>
      <w:pPr>
        <w:pStyle w:val="ListParagraph"/>
      </w:pPr>
      <w:r>
        <w:t>• Strategic Review: proactive pivot when players see a better opportunity (available after Milestone 1).</w:t>
      </w:r>
    </w:p>
    <w:p>
      <w:pPr>
        <w:pStyle w:val="ListParagraph"/>
      </w:pPr>
      <w:r>
        <w:t>• Market Shift: forced response when a competitor completes a milestone before the player.</w:t>
      </w:r>
    </w:p>
    <w:p>
      <w:r>
        <w:t>Pivot options generally include customer, problem, tech, and niche shifts. Pivots involve trade-offs:</w:t>
      </w:r>
    </w:p>
    <w:p>
      <w:pPr>
        <w:pStyle w:val="ListParagraph"/>
      </w:pPr>
      <w:r>
        <w:t>• Transition costs (typically £20k-£50k depending on pivot type) and time to reach a new milestone target.</w:t>
      </w:r>
    </w:p>
    <w:p>
      <w:pPr>
        <w:pStyle w:val="ListParagraph"/>
      </w:pPr>
      <w:r>
        <w:t>• Some pipeline and market progress is lost, but some capabilities carry over (team skills, technical foundation, organisational learning).</w:t>
      </w:r>
    </w:p>
    <w:p>
      <w:pPr>
        <w:pStyle w:val="ListParagraph"/>
      </w:pPr>
      <w:r>
        <w:t>• Players can rebrand (rename the company) to match the new direction.</w:t>
      </w:r>
    </w:p>
    <w:p>
      <w:pPr>
        <w:pStyle w:val="ListParagraph"/>
      </w:pPr>
      <w:r>
        <w:t>• Alternatively, players can “compete head-on” without pivoting, but may take a morale and market-perception hit.</w:t>
      </w:r>
    </w:p>
    <w:p>
      <w:r>
        <w:t>Teaching hooks: exploration vs exploitation; strategic renewal; sunk cost fallacy; competitive positioning; narrative reframing.</w:t>
      </w:r>
    </w:p>
    <w:p>
      <w:pPr>
        <w:pStyle w:val="Heading2"/>
      </w:pPr>
      <w:r>
        <w:t>6.10 Where these systems appear in the interface</w:t>
      </w:r>
    </w:p>
    <w:p>
      <w:pPr>
        <w:pStyle w:val="ListParagraph"/>
      </w:pPr>
      <w:r>
        <w:t>• Leaderboard and rival news: track rank, competitor moves, and market pressure.</w:t>
      </w:r>
    </w:p>
    <w:p>
      <w:pPr>
        <w:pStyle w:val="ListParagraph"/>
      </w:pPr>
      <w:r>
        <w:t>• Finance details: runway calculations, cost drivers, revenue drivers, and break-even projection.</w:t>
      </w:r>
    </w:p>
    <w:p>
      <w:pPr>
        <w:pStyle w:val="ListParagraph"/>
      </w:pPr>
      <w:r>
        <w:t>• Raise Funding: funding options and term-sheet implications.</w:t>
      </w:r>
    </w:p>
    <w:p>
      <w:pPr>
        <w:pStyle w:val="ListParagraph"/>
      </w:pPr>
      <w:r>
        <w:t>• Hire Staff / Job Posting: team growth, compensation trade-offs, and integration effects.</w:t>
      </w:r>
    </w:p>
    <w:p>
      <w:pPr>
        <w:pStyle w:val="ListParagraph"/>
      </w:pPr>
      <w:r>
        <w:t>• Strategic Review / Market Shift: pivot mechanics and their consequences.</w:t>
      </w:r>
    </w:p>
    <w:p>
      <w:pPr>
        <w:pStyle w:val="Heading1"/>
      </w:pPr>
      <w:r>
        <w:t xml:space="preserve">Credits and Citation</w:t>
      </w:r>
    </w:p>
    <w:p>
      <w:pPr>
        <w:pStyle w:val="Heading2"/>
      </w:pPr>
      <w:r>
        <w:t xml:space="preserve">The Development Team</w:t>
      </w:r>
    </w:p>
    <w:p>
      <w:pPr>
        <w:spacing w:after="100"/>
      </w:pPr>
      <w:r>
        <w:rPr>
          <w:b/>
          <w:bCs/>
        </w:rPr>
        <w:t xml:space="preserve">Lead Author: </w:t>
      </w:r>
      <w:r>
        <w:t xml:space="preserve">Ammon Salter</w:t>
      </w:r>
    </w:p>
    <w:p>
      <w:pPr>
        <w:spacing w:after="100"/>
      </w:pPr>
      <w:r>
        <w:rPr>
          <w:b/>
          <w:bCs/>
        </w:rPr>
        <w:t xml:space="preserve">Co-Investigators: </w:t>
      </w:r>
      <w:r>
        <w:t xml:space="preserve">Stefano Baruffaldi, Federico Bignone</w:t>
      </w:r>
    </w:p>
    <w:p>
      <w:pPr>
        <w:spacing w:after="100"/>
      </w:pPr>
      <w:r>
        <w:rPr>
          <w:b/>
          <w:bCs/>
        </w:rPr>
        <w:t xml:space="preserve">AI Collaboration: </w:t>
      </w:r>
      <w:r>
        <w:t xml:space="preserve">Claude (Anthropic), Gemini (Google), ChatGPT (OpenAI)</w:t>
      </w:r>
    </w:p>
    <w:p>
      <w:pPr>
        <w:spacing w:after="200"/>
      </w:pPr>
      <w:r>
        <w:rPr>
          <w:b/>
          <w:bCs/>
        </w:rPr>
        <w:t xml:space="preserve">Contributors: </w:t>
      </w:r>
      <w:r>
        <w:t xml:space="preserve">Paola Criscuolo, Linus Dahlander, Christos Kolympiris, Orietta Marsili, Rossella Salandra, Giacomo Salter, Suki Salter</w:t>
      </w:r>
    </w:p>
    <w:p>
      <w:pPr>
        <w:pStyle w:val="Heading2"/>
      </w:pPr>
      <w:r>
        <w:t xml:space="preserve">Citing This Work</w:t>
      </w:r>
    </w:p>
    <w:p>
      <w:pPr>
        <w:spacing w:after="100"/>
      </w:pPr>
      <w:r>
        <w:t>To cite The Slingshot:</w:t>
      </w:r>
    </w:p>
    <w:p>
      <w:pPr>
        <w:spacing w:after="200"/>
        <w:ind w:left="720"/>
      </w:pPr>
      <w:r>
        <w:t>Salter, A., Baruffaldi, S., &amp; Bignone, F. (2025). The Slingshot: An AI Startup Simulation. https://github.com/AI-Startup-Game</w:t>
      </w:r>
    </w:p>
    <w:p>
      <w:pPr>
        <w:pStyle w:val="Heading2"/>
      </w:pPr>
      <w:r>
        <w:t xml:space="preserve">License</w:t>
      </w:r>
    </w:p>
    <w:p>
      <w:pPr>
        <w:spacing w:after="200"/>
      </w:pPr>
      <w:r>
        <w:t xml:space="preserve">Creative Commons Attribution-NonCommercial-ShareAlike 4.0 International (CC BY-NC-SA 4.0). Free to share and adapt for non-commercial purposes with attribution.</w:t>
      </w:r>
    </w:p>
    <w:p>
      <w:pPr>
        <w:pStyle w:val="Heading2"/>
      </w:pPr>
      <w:r>
        <w:t xml:space="preserve">Key Academic Connections</w:t>
      </w:r>
    </w:p>
    <w:p>
      <w:pPr>
        <w:spacing w:after="100"/>
      </w:pPr>
      <w:r>
        <w:t xml:space="preserve">The game mechanics connect to established research including:</w:t>
      </w:r>
    </w:p>
    <w:p>
      <w:pPr>
        <w:pStyle w:val="ListParagraph"/>
        <w:numPr>
          <w:ilvl w:val="0"/>
          <w:numId w:val="2"/>
        </w:numPr>
      </w:pPr>
      <w:r>
        <w:t xml:space="preserve">Attention-based view of the firm (Ocasio, 1997)</w:t>
      </w:r>
    </w:p>
    <w:p>
      <w:pPr>
        <w:pStyle w:val="ListParagraph"/>
        <w:numPr>
          <w:ilvl w:val="0"/>
          <w:numId w:val="2"/>
        </w:numPr>
      </w:pPr>
      <w:r>
        <w:t xml:space="preserve">Exploration vs exploitation (March, 1991)</w:t>
      </w:r>
    </w:p>
    <w:p>
      <w:pPr>
        <w:pStyle w:val="ListParagraph"/>
        <w:numPr>
          <w:ilvl w:val="0"/>
          <w:numId w:val="2"/>
        </w:numPr>
      </w:pPr>
      <w:r>
        <w:t xml:space="preserve">Lead user innovation (von Hippel, 1986)</w:t>
      </w:r>
    </w:p>
    <w:p>
      <w:pPr>
        <w:pStyle w:val="ListParagraph"/>
        <w:numPr>
          <w:ilvl w:val="0"/>
          <w:numId w:val="2"/>
        </w:numPr>
      </w:pPr>
      <w:r>
        <w:t xml:space="preserve">Psychological safety (Edmondson, 1999)</w:t>
      </w:r>
    </w:p>
    <w:p>
      <w:pPr>
        <w:pStyle w:val="ListParagraph"/>
        <w:numPr>
          <w:ilvl w:val="0"/>
          <w:numId w:val="2"/>
        </w:numPr>
      </w:pPr>
      <w:r>
        <w:t xml:space="preserve">Norms of open science (Merton, 1973)</w:t>
      </w:r>
    </w:p>
    <w:p>
      <w:pPr>
        <w:pStyle w:val="ListParagraph"/>
        <w:numPr>
          <w:ilvl w:val="0"/>
          <w:numId w:val="2"/>
        </w:numPr>
      </w:pPr>
      <w:r>
        <w:t xml:space="preserve">Scientific approach to entrepreneurship (Camuffo et al., 2020)</w:t>
      </w:r>
    </w:p>
    <w:p>
      <w:pPr>
        <w:pStyle w:val="ListParagraph"/>
        <w:numPr>
          <w:ilvl w:val="0"/>
          <w:numId w:val="2"/>
        </w:numPr>
      </w:pPr>
      <w:r>
        <w:t xml:space="preserve">Appropriability and complementary assets (Teece, 1986)</w:t>
      </w:r>
    </w:p>
    <w:p>
      <w:pPr>
        <w:pStyle w:val="ListParagraph"/>
        <w:numPr>
          <w:ilvl w:val="0"/>
          <w:numId w:val="2"/>
        </w:numPr>
        <w:spacing w:after="200"/>
      </w:pPr>
      <w:r>
        <w:t xml:space="preserve">Bootlegging and unprogrammed R&amp;D (Augsdorfer, 1996)</w:t>
      </w:r>
    </w:p>
    <w:p>
      <w:pPr>
        <w:spacing w:before="400"/>
        <w:jc w:val="center"/>
      </w:pPr>
      <w:r>
        <w:rPr>
          <w:i/>
          <w:iCs/>
          <w:color w:val="666666"/>
        </w:rPr>
        <w:t xml:space="preserve">— End of Teaching Guide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The Slingshot: Teaching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e3a5f"/>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d4a6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d5a7f"/>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2025-12-09T13:52:51.810Z</dcterms:created>
  <dcterms:modified xsi:type="dcterms:W3CDTF">2025-12-09T13:52:51.811Z</dcterms:modified>
</cp:coreProperties>
</file>

<file path=docProps/custom.xml><?xml version="1.0" encoding="utf-8"?>
<Properties xmlns="http://schemas.openxmlformats.org/officeDocument/2006/custom-properties" xmlns:vt="http://schemas.openxmlformats.org/officeDocument/2006/docPropsVTypes"/>
</file>