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Smart Scale Game</w:t>
      </w:r>
    </w:p>
    <w:p>
      <w:pPr>
        <w:spacing w:after="120"/>
        <w:jc w:val="center"/>
      </w:pPr>
      <w:r>
        <w:rPr>
          <w:b/>
          <w:bCs/>
          <w:sz w:val="32"/>
          <w:szCs w:val="32"/>
        </w:rPr>
        <w:t xml:space="preserve">Teaching Guide for Instructors</w:t>
      </w:r>
    </w:p>
    <w:p>
      <w:pPr>
        <w:spacing w:after="480"/>
        <w:jc w:val="center"/>
      </w:pPr>
      <w:r>
        <w:rPr>
          <w:i/>
          <w:iCs/>
          <w:sz w:val="24"/>
          <w:szCs w:val="24"/>
        </w:rPr>
        <w:t xml:space="preserve">Corporate Entrepreneurship &amp; Innovation Management</w:t>
      </w:r>
    </w:p>
    <w:p>
      <w:pPr>
        <w:pStyle w:val="Heading1"/>
      </w:pPr>
      <w:r>
        <w:t xml:space="preserve">Overview</w:t>
      </w:r>
    </w:p>
    <w:p>
      <w:r>
        <w:t xml:space="preserve">The Smart Scale Game is an interactive business simulation where students lead a corporate venture within Neptune Corporation, a fictional FMCG company. Players must navigate the complex challenge of scaling innovation inside a large organisation—balancing growth ambitions with operational discipline, stakeholder management, and resource constraints.</w:t>
      </w:r>
    </w:p>
    <w:p>
      <w:pPr>
        <w:spacing w:before="200"/>
      </w:pPr>
      <w:r>
        <w:t xml:space="preserve">The game is designed for experiential learning: students discover strategic principles through play rather than direct instruction. This guide provides instructors with the pedagogical framework, facilitation strategies, and discussion materials needed to maximise learning outcomes.</w:t>
      </w:r>
    </w:p>
    <w:p>
      <w:pPr>
        <w:pStyle w:val="Heading1"/>
      </w:pPr>
      <w:r>
        <w:t xml:space="preserve">Learning Objectives</w:t>
      </w:r>
    </w:p>
    <w:p>
      <w:r>
        <w:t xml:space="preserve">By the end of this activity, students will be able to:</w:t>
      </w:r>
    </w:p>
    <w:p>
      <w:pPr>
        <w:pStyle w:val="ListParagraph"/>
        <w:numPr>
          <w:ilvl w:val="0"/>
          <w:numId w:val="2"/>
        </w:numPr>
      </w:pPr>
      <w:r>
        <w:t xml:space="preserve">Explain the unique challenges of corporate entrepreneurship versus independent startups</w:t>
      </w:r>
    </w:p>
    <w:p>
      <w:pPr>
        <w:pStyle w:val="ListParagraph"/>
        <w:numPr>
          <w:ilvl w:val="0"/>
          <w:numId w:val="2"/>
        </w:numPr>
      </w:pPr>
      <w:r>
        <w:t xml:space="preserve">Identify the trade-offs between rapid scaling and operational template development</w:t>
      </w:r>
    </w:p>
    <w:p>
      <w:pPr>
        <w:pStyle w:val="ListParagraph"/>
        <w:numPr>
          <w:ilvl w:val="0"/>
          <w:numId w:val="2"/>
        </w:numPr>
      </w:pPr>
      <w:r>
        <w:t xml:space="preserve">Recognise the importance of stakeholder management in corporate ventures</w:t>
      </w:r>
    </w:p>
    <w:p>
      <w:pPr>
        <w:pStyle w:val="ListParagraph"/>
        <w:numPr>
          <w:ilvl w:val="0"/>
          <w:numId w:val="2"/>
        </w:numPr>
      </w:pPr>
      <w:r>
        <w:t xml:space="preserve">Analyse resource allocation decisions under conditions of uncertainty</w:t>
      </w:r>
    </w:p>
    <w:p>
      <w:pPr>
        <w:pStyle w:val="ListParagraph"/>
        <w:numPr>
          <w:ilvl w:val="0"/>
          <w:numId w:val="2"/>
        </w:numPr>
      </w:pPr>
      <w:r>
        <w:t xml:space="preserve">Evaluate the role of organisational purpose and team morale in venture success</w:t>
      </w:r>
    </w:p>
    <w:p>
      <w:pPr>
        <w:pStyle w:val="ListParagraph"/>
        <w:numPr>
          <w:ilvl w:val="0"/>
          <w:numId w:val="2"/>
        </w:numPr>
      </w:pPr>
      <w:r>
        <w:t xml:space="preserve">Apply frameworks for scaling innovation within established organisations</w:t>
      </w:r>
    </w:p>
    <w:p>
      <w:pPr>
        <w:pStyle w:val="Heading1"/>
      </w:pPr>
      <w:r>
        <w:t xml:space="preserve">Session Formats</w:t>
      </w:r>
    </w:p>
    <w:p>
      <w:r>
        <w:t xml:space="preserve">The game can be integrated into courses in several ways:</w:t>
      </w:r>
    </w:p>
    <w:p>
      <w:pPr>
        <w:pStyle w:val="Heading2"/>
      </w:pPr>
      <w:r>
        <w:t xml:space="preserve">Single Session (90–120 minutes)</w:t>
      </w:r>
    </w:p>
    <w:p>
      <w:pPr>
        <w:pStyle w:val="ListParagraph"/>
        <w:numPr>
          <w:ilvl w:val="0"/>
          <w:numId w:val="3"/>
        </w:numPr>
      </w:pPr>
      <w:r>
        <w:t xml:space="preserve">Introduction and game setup (10 minutes)</w:t>
      </w:r>
    </w:p>
    <w:p>
      <w:pPr>
        <w:pStyle w:val="ListParagraph"/>
        <w:numPr>
          <w:ilvl w:val="0"/>
          <w:numId w:val="3"/>
        </w:numPr>
      </w:pPr>
      <w:r>
        <w:t xml:space="preserve">Individual gameplay — full game or short mode (45–60 minutes)</w:t>
      </w:r>
    </w:p>
    <w:p>
      <w:pPr>
        <w:pStyle w:val="ListParagraph"/>
        <w:numPr>
          <w:ilvl w:val="0"/>
          <w:numId w:val="3"/>
        </w:numPr>
      </w:pPr>
      <w:r>
        <w:t xml:space="preserve">Small group discussion (15 minutes)</w:t>
      </w:r>
    </w:p>
    <w:p>
      <w:pPr>
        <w:pStyle w:val="ListParagraph"/>
        <w:numPr>
          <w:ilvl w:val="0"/>
          <w:numId w:val="3"/>
        </w:numPr>
      </w:pPr>
      <w:r>
        <w:t xml:space="preserve">Class debrief and concept introduction (20–30 minutes)</w:t>
      </w:r>
    </w:p>
    <w:p>
      <w:pPr>
        <w:pStyle w:val="Heading2"/>
      </w:pPr>
      <w:r>
        <w:t xml:space="preserve">Pre-Work + Class Discussion (60 minutes in-class)</w:t>
      </w:r>
    </w:p>
    <w:p>
      <w:r>
        <w:t xml:space="preserve">Assign the game as homework (30–45 minutes). Use class time for structured reflection and concept application. This format works well when time is limited or for online/hybrid courses.</w:t>
      </w:r>
    </w:p>
    <w:p>
      <w:pPr>
        <w:pStyle w:val="Heading2"/>
      </w:pPr>
      <w:r>
        <w:t xml:space="preserve">Multi-Session Deep Dive</w:t>
      </w:r>
    </w:p>
    <w:p>
      <w:r>
        <w:t xml:space="preserve">Session 1: Play and initial reflection. Session 2: Replay with new strategies + comparative analysis. Session 3: Connect to theoretical frameworks and case studies.</w:t>
      </w:r>
    </w:p>
    <w:p>
      <w:pPr>
        <w:pStyle w:val="Heading1"/>
      </w:pPr>
      <w:r>
        <w:t xml:space="preserve">Before the Session</w:t>
      </w:r>
    </w:p>
    <w:p>
      <w:pPr>
        <w:pStyle w:val="Heading2"/>
      </w:pPr>
      <w:r>
        <w:t xml:space="preserve">Technical Setup</w:t>
      </w:r>
    </w:p>
    <w:p>
      <w:pPr>
        <w:pStyle w:val="ListParagraph"/>
        <w:numPr>
          <w:ilvl w:val="0"/>
          <w:numId w:val="4"/>
        </w:numPr>
      </w:pPr>
      <w:r>
        <w:t xml:space="preserve">The game runs entirely in a web browser — no installation required</w:t>
      </w:r>
    </w:p>
    <w:p>
      <w:pPr>
        <w:pStyle w:val="ListParagraph"/>
        <w:numPr>
          <w:ilvl w:val="0"/>
          <w:numId w:val="4"/>
        </w:numPr>
      </w:pPr>
      <w:r>
        <w:t xml:space="preserve">Works on laptops, tablets, and mobile phones</w:t>
      </w:r>
    </w:p>
    <w:p>
      <w:pPr>
        <w:pStyle w:val="ListParagraph"/>
        <w:numPr>
          <w:ilvl w:val="0"/>
          <w:numId w:val="4"/>
        </w:numPr>
      </w:pPr>
      <w:r>
        <w:t xml:space="preserve">Recommend headphones if playing in a shared space (game has audio)</w:t>
      </w:r>
    </w:p>
    <w:p>
      <w:pPr>
        <w:pStyle w:val="ListParagraph"/>
        <w:numPr>
          <w:ilvl w:val="0"/>
          <w:numId w:val="4"/>
        </w:numPr>
      </w:pPr>
      <w:r>
        <w:t xml:space="preserve">Test the link in advance and have a backup plan for technical difficulties</w:t>
      </w:r>
    </w:p>
    <w:p>
      <w:pPr>
        <w:pStyle w:val="Heading2"/>
      </w:pPr>
      <w:r>
        <w:t xml:space="preserve">Student Preparation</w:t>
      </w:r>
    </w:p>
    <w:p>
      <w:pPr>
        <w:pStyle w:val="ListParagraph"/>
        <w:numPr>
          <w:ilvl w:val="0"/>
          <w:numId w:val="5"/>
        </w:numPr>
      </w:pPr>
      <w:r>
        <w:t xml:space="preserve">No prior reading required — the game is designed to be self-explanatory</w:t>
      </w:r>
    </w:p>
    <w:p>
      <w:pPr>
        <w:pStyle w:val="ListParagraph"/>
        <w:numPr>
          <w:ilvl w:val="0"/>
          <w:numId w:val="5"/>
        </w:numPr>
      </w:pPr>
      <w:r>
        <w:t xml:space="preserve">Optionally: assign a short reading on corporate venturing to prime concepts</w:t>
      </w:r>
    </w:p>
    <w:p>
      <w:pPr>
        <w:pStyle w:val="ListParagraph"/>
        <w:numPr>
          <w:ilvl w:val="0"/>
          <w:numId w:val="5"/>
        </w:numPr>
      </w:pPr>
      <w:r>
        <w:t xml:space="preserve">Provide the Student Handout before the session</w:t>
      </w:r>
    </w:p>
    <w:p>
      <w:pPr>
        <w:pStyle w:val="Heading1"/>
      </w:pPr>
      <w:r>
        <w:t xml:space="preserve">Facilitation Guide</w:t>
      </w:r>
    </w:p>
    <w:p>
      <w:pPr>
        <w:pStyle w:val="Heading2"/>
      </w:pPr>
      <w:r>
        <w:t xml:space="preserve">During Gameplay</w:t>
      </w:r>
    </w:p>
    <w:p>
      <w:pPr>
        <w:pStyle w:val="ListParagraph"/>
        <w:numPr>
          <w:ilvl w:val="0"/>
          <w:numId w:val="5"/>
        </w:numPr>
      </w:pPr>
      <w:r>
        <w:rPr>
          <w:b/>
          <w:bCs/>
        </w:rPr>
        <w:t xml:space="preserve">Resist the urge to guide: </w:t>
      </w:r>
      <w:r>
        <w:t xml:space="preserve">Let students make mistakes — this is where learning happens</w:t>
      </w:r>
    </w:p>
    <w:p>
      <w:pPr>
        <w:pStyle w:val="ListParagraph"/>
        <w:numPr>
          <w:ilvl w:val="0"/>
          <w:numId w:val="5"/>
        </w:numPr>
      </w:pPr>
      <w:r>
        <w:rPr>
          <w:b/>
          <w:bCs/>
        </w:rPr>
        <w:t xml:space="preserve">Don't reveal mechanics: </w:t>
      </w:r>
      <w:r>
        <w:t xml:space="preserve">Students often ask "what should I do?" — redirect them to experiment</w:t>
      </w:r>
    </w:p>
    <w:p>
      <w:pPr>
        <w:pStyle w:val="ListParagraph"/>
        <w:numPr>
          <w:ilvl w:val="0"/>
          <w:numId w:val="5"/>
        </w:numPr>
      </w:pPr>
      <w:r>
        <w:rPr>
          <w:b/>
          <w:bCs/>
        </w:rPr>
        <w:t xml:space="preserve">Observe patterns: </w:t>
      </w:r>
      <w:r>
        <w:t xml:space="preserve">Note common decisions and outcomes to reference in discussion</w:t>
      </w:r>
    </w:p>
    <w:p>
      <w:pPr>
        <w:pStyle w:val="ListParagraph"/>
        <w:numPr>
          <w:ilvl w:val="0"/>
          <w:numId w:val="5"/>
        </w:numPr>
      </w:pPr>
      <w:r>
        <w:rPr>
          <w:b/>
          <w:bCs/>
        </w:rPr>
        <w:t xml:space="preserve">Encourage completion: </w:t>
      </w:r>
      <w:r>
        <w:t xml:space="preserve">Even "failed" playthroughs generate valuable learning</w:t>
      </w:r>
    </w:p>
    <w:p>
      <w:pPr>
        <w:pStyle w:val="Heading2"/>
      </w:pPr>
      <w:r>
        <w:t xml:space="preserve">Post-Game Discussion</w:t>
      </w:r>
    </w:p>
    <w:p>
      <w:r>
        <w:t xml:space="preserve">Start with open-ended questions before introducing concepts:</w:t>
      </w:r>
    </w:p>
    <w:p>
      <w:pPr>
        <w:pStyle w:val="ListParagraph"/>
        <w:numPr>
          <w:ilvl w:val="0"/>
          <w:numId w:val="6"/>
        </w:numPr>
      </w:pPr>
      <w:r>
        <w:rPr>
          <w:b/>
          <w:bCs/>
        </w:rPr>
        <w:t xml:space="preserve">"What happened?"</w:t>
      </w:r>
      <w:r>
        <w:t xml:space="preserve"> — Let students narrate their experience</w:t>
      </w:r>
    </w:p>
    <w:p>
      <w:pPr>
        <w:pStyle w:val="ListParagraph"/>
        <w:numPr>
          <w:ilvl w:val="0"/>
          <w:numId w:val="6"/>
        </w:numPr>
      </w:pPr>
      <w:r>
        <w:rPr>
          <w:b/>
          <w:bCs/>
        </w:rPr>
        <w:t xml:space="preserve">"What surprised you?"</w:t>
      </w:r>
      <w:r>
        <w:t xml:space="preserve"> — Surface unexpected outcomes</w:t>
      </w:r>
    </w:p>
    <w:p>
      <w:pPr>
        <w:pStyle w:val="ListParagraph"/>
        <w:numPr>
          <w:ilvl w:val="0"/>
          <w:numId w:val="6"/>
        </w:numPr>
      </w:pPr>
      <w:r>
        <w:rPr>
          <w:b/>
          <w:bCs/>
        </w:rPr>
        <w:t xml:space="preserve">"What would you do differently?"</w:t>
      </w:r>
      <w:r>
        <w:t xml:space="preserve"> — Encourage strategic reflection</w:t>
      </w:r>
    </w:p>
    <w:p>
      <w:pPr>
        <w:pStyle w:val="ListParagraph"/>
        <w:numPr>
          <w:ilvl w:val="0"/>
          <w:numId w:val="6"/>
        </w:numPr>
      </w:pPr>
      <w:r>
        <w:rPr>
          <w:b/>
          <w:bCs/>
        </w:rPr>
        <w:t xml:space="preserve">"What does this tell us about corporate ventures?"</w:t>
      </w:r>
      <w:r>
        <w:t xml:space="preserve"> — Bridge to theory</w:t>
      </w:r>
    </w:p>
    <w:p>
      <w:pPr>
        <w:pStyle w:val="Heading1"/>
      </w:pPr>
      <w:r>
        <w:t xml:space="preserve">Key Concepts &amp; Game Mechanics</w:t>
      </w:r>
    </w:p>
    <w:p>
      <w:pPr>
        <w:shd w:fill="FFF3CD" w:val="clear"/>
        <w:spacing w:before="120" w:after="120"/>
      </w:pPr>
      <w:r>
        <w:rPr>
          <w:b/>
          <w:bCs/>
        </w:rPr>
        <w:t xml:space="preserve">⚠️ INSTRUCTOR ONLY — This section contains spoilers that should not be shared with students before they play.</w:t>
      </w:r>
    </w:p>
    <w:p>
      <w:pPr>
        <w:pStyle w:val="Heading2"/>
      </w:pPr>
      <w:r>
        <w:t xml:space="preserve">The Template Paradox</w:t>
      </w:r>
    </w:p>
    <w:p>
      <w:r>
        <w:t xml:space="preserve">The game's central lesson is that sustainable scaling requires operational templates — standardised, repeatable processes that allow growth without proportional increases in complexity. Students who scale too fast without developing their template often fail; those who invest in template development before scaling tend to succeed. This mirrors real corporate ventures where "figure it out as you go" approaches lead to quality problems, team burnout, and loss of executive confidence.</w:t>
      </w:r>
    </w:p>
    <w:p>
      <w:pPr>
        <w:pStyle w:val="Heading2"/>
      </w:pPr>
      <w:r>
        <w:t xml:space="preserve">Stakeholder Management</w:t>
      </w:r>
    </w:p>
    <w:p>
      <w:r>
        <w:t xml:space="preserve">The game includes a hidden "Executive Support" metric. Students don't see this directly, but it determines whether the venture gets shut down early. Executive support is influenced by financial performance, demonstrated progress, and alignment with corporate priorities. This teaches that corporate ventures operate at the pleasure of sponsors — technical success means nothing if political support evaporates.</w:t>
      </w:r>
    </w:p>
    <w:p>
      <w:pPr>
        <w:pStyle w:val="Heading2"/>
      </w:pPr>
      <w:r>
        <w:t xml:space="preserve">Resource Allocation Under Uncertainty</w:t>
      </w:r>
    </w:p>
    <w:p>
      <w:r>
        <w:t xml:space="preserve">Students receive limited "investment" resources each quarter and must decide between competing priorities: market expansion, team development, template building, and stakeholder relations. There are no "right" answers — the game rewards thoughtful trade-offs and punishes both over-investment and under-investment in any single area.</w:t>
      </w:r>
    </w:p>
    <w:p>
      <w:pPr>
        <w:pStyle w:val="Heading2"/>
      </w:pPr>
      <w:r>
        <w:t xml:space="preserve">The Purpose-Profit Tension</w:t>
      </w:r>
    </w:p>
    <w:p>
      <w:r>
        <w:t xml:space="preserve">Each venture has a social purpose beyond profit. Students must maintain organisational purpose while delivering financial results. Pure profit maximisation erodes team morale and mission alignment; pure purpose focus without financial discipline leads to venture shutdown. This tension is intentionally unresolvable — students must find their own balance.</w:t>
      </w:r>
    </w:p>
    <w:p>
      <w:pPr>
        <w:pStyle w:val="Heading2"/>
      </w:pPr>
      <w:r>
        <w:t xml:space="preserve">Performance Tiers</w:t>
      </w:r>
    </w:p>
    <w:p>
      <w:r>
        <w:t xml:space="preserve">Students achieve different endings based on their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CCCCCC" w:sz="1"/>
              <w:left w:val="single" w:color="CCCCCC" w:sz="1"/>
              <w:bottom w:val="single" w:color="CCCCCC" w:sz="1"/>
              <w:right w:val="single" w:color="CCCCCC" w:sz="1"/>
            </w:tcBorders>
            <w:shd w:fill="E8E8E8" w:val="clear"/>
          </w:tcPr>
          <w:p>
            <w:r>
              <w:rPr>
                <w:b/>
                <w:bCs/>
                <w:sz w:val="22"/>
                <w:szCs w:val="22"/>
              </w:rPr>
              <w:t xml:space="preserve">Tier</w:t>
            </w:r>
          </w:p>
        </w:tc>
        <w:tc>
          <w:tcPr>
            <w:tcW w:type="dxa" w:w="1800"/>
            <w:tcBorders>
              <w:top w:val="single" w:color="CCCCCC" w:sz="1"/>
              <w:left w:val="single" w:color="CCCCCC" w:sz="1"/>
              <w:bottom w:val="single" w:color="CCCCCC" w:sz="1"/>
              <w:right w:val="single" w:color="CCCCCC" w:sz="1"/>
            </w:tcBorders>
            <w:shd w:fill="E8E8E8" w:val="clear"/>
          </w:tcPr>
          <w:p>
            <w:r>
              <w:rPr>
                <w:b/>
                <w:bCs/>
                <w:sz w:val="22"/>
                <w:szCs w:val="22"/>
              </w:rPr>
              <w:t xml:space="preserve">Requirements</w:t>
            </w:r>
          </w:p>
        </w:tc>
        <w:tc>
          <w:tcPr>
            <w:tcW w:type="dxa" w:w="2400"/>
            <w:tcBorders>
              <w:top w:val="single" w:color="CCCCCC" w:sz="1"/>
              <w:left w:val="single" w:color="CCCCCC" w:sz="1"/>
              <w:bottom w:val="single" w:color="CCCCCC" w:sz="1"/>
              <w:right w:val="single" w:color="CCCCCC" w:sz="1"/>
            </w:tcBorders>
            <w:shd w:fill="E8E8E8" w:val="clear"/>
          </w:tcPr>
          <w:p>
            <w:r>
              <w:rPr>
                <w:b/>
                <w:bCs/>
                <w:sz w:val="22"/>
                <w:szCs w:val="22"/>
              </w:rPr>
              <w:t xml:space="preserve">Career Outcome</w:t>
            </w:r>
          </w:p>
        </w:tc>
        <w:tc>
          <w:tcPr>
            <w:tcW w:type="dxa" w:w="3960"/>
            <w:tcBorders>
              <w:top w:val="single" w:color="CCCCCC" w:sz="1"/>
              <w:left w:val="single" w:color="CCCCCC" w:sz="1"/>
              <w:bottom w:val="single" w:color="CCCCCC" w:sz="1"/>
              <w:right w:val="single" w:color="CCCCCC" w:sz="1"/>
            </w:tcBorders>
            <w:shd w:fill="E8E8E8" w:val="clear"/>
          </w:tcPr>
          <w:p>
            <w:r>
              <w:rPr>
                <w:b/>
                <w:bCs/>
                <w:sz w:val="22"/>
                <w:szCs w:val="22"/>
              </w:rPr>
              <w:t xml:space="preserve">Teaching Point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 Legend</w:t>
            </w:r>
          </w:p>
        </w:tc>
        <w:tc>
          <w:tcPr>
            <w:tcW w:type="dxa" w:w="1800"/>
            <w:tcBorders>
              <w:top w:val="single" w:color="CCCCCC" w:sz="1"/>
              <w:left w:val="single" w:color="CCCCCC" w:sz="1"/>
              <w:bottom w:val="single" w:color="CCCCCC" w:sz="1"/>
              <w:right w:val="single" w:color="CCCCCC" w:sz="1"/>
            </w:tcBorders>
          </w:tcPr>
          <w:p>
            <w:r>
              <w:rPr>
                <w:sz w:val="20"/>
                <w:szCs w:val="20"/>
              </w:rPr>
              <w:t xml:space="preserve">Special event (rare)</w:t>
            </w:r>
          </w:p>
        </w:tc>
        <w:tc>
          <w:tcPr>
            <w:tcW w:type="dxa" w:w="2400"/>
            <w:tcBorders>
              <w:top w:val="single" w:color="CCCCCC" w:sz="1"/>
              <w:left w:val="single" w:color="CCCCCC" w:sz="1"/>
              <w:bottom w:val="single" w:color="CCCCCC" w:sz="1"/>
              <w:right w:val="single" w:color="CCCCCC" w:sz="1"/>
            </w:tcBorders>
          </w:tcPr>
          <w:p>
            <w:r>
              <w:rPr>
                <w:sz w:val="20"/>
                <w:szCs w:val="20"/>
              </w:rPr>
              <w:t xml:space="preserve">Group Exec / CEO / Founder</w:t>
            </w:r>
          </w:p>
        </w:tc>
        <w:tc>
          <w:tcPr>
            <w:tcW w:type="dxa" w:w="3960"/>
            <w:tcBorders>
              <w:top w:val="single" w:color="CCCCCC" w:sz="1"/>
              <w:left w:val="single" w:color="CCCCCC" w:sz="1"/>
              <w:bottom w:val="single" w:color="CCCCCC" w:sz="1"/>
              <w:right w:val="single" w:color="CCCCCC" w:sz="1"/>
            </w:tcBorders>
          </w:tcPr>
          <w:p>
            <w:r>
              <w:rPr>
                <w:sz w:val="20"/>
                <w:szCs w:val="20"/>
              </w:rPr>
              <w:t xml:space="preserve">Exceptional execution creates career-defining opportunities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 Champion</w:t>
            </w:r>
          </w:p>
        </w:tc>
        <w:tc>
          <w:tcPr>
            <w:tcW w:type="dxa" w:w="1800"/>
            <w:tcBorders>
              <w:top w:val="single" w:color="CCCCCC" w:sz="1"/>
              <w:left w:val="single" w:color="CCCCCC" w:sz="1"/>
              <w:bottom w:val="single" w:color="CCCCCC" w:sz="1"/>
              <w:right w:val="single" w:color="CCCCCC" w:sz="1"/>
            </w:tcBorders>
          </w:tcPr>
          <w:p>
            <w:r>
              <w:rPr>
                <w:sz w:val="20"/>
                <w:szCs w:val="20"/>
              </w:rPr>
              <w:t xml:space="preserve">100% target + profit + morale + template</w:t>
            </w:r>
          </w:p>
        </w:tc>
        <w:tc>
          <w:tcPr>
            <w:tcW w:type="dxa" w:w="2400"/>
            <w:tcBorders>
              <w:top w:val="single" w:color="CCCCCC" w:sz="1"/>
              <w:left w:val="single" w:color="CCCCCC" w:sz="1"/>
              <w:bottom w:val="single" w:color="CCCCCC" w:sz="1"/>
              <w:right w:val="single" w:color="CCCCCC" w:sz="1"/>
            </w:tcBorders>
          </w:tcPr>
          <w:p>
            <w:r>
              <w:rPr>
                <w:sz w:val="20"/>
                <w:szCs w:val="20"/>
              </w:rPr>
              <w:t xml:space="preserve">VP of Innovation</w:t>
            </w:r>
          </w:p>
        </w:tc>
        <w:tc>
          <w:tcPr>
            <w:tcW w:type="dxa" w:w="3960"/>
            <w:tcBorders>
              <w:top w:val="single" w:color="CCCCCC" w:sz="1"/>
              <w:left w:val="single" w:color="CCCCCC" w:sz="1"/>
              <w:bottom w:val="single" w:color="CCCCCC" w:sz="1"/>
              <w:right w:val="single" w:color="CCCCCC" w:sz="1"/>
            </w:tcBorders>
          </w:tcPr>
          <w:p>
            <w:r>
              <w:rPr>
                <w:sz w:val="20"/>
                <w:szCs w:val="20"/>
              </w:rPr>
              <w:t xml:space="preserve">Balanced excellence across all dimensions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 Rising Star</w:t>
            </w:r>
          </w:p>
        </w:tc>
        <w:tc>
          <w:tcPr>
            <w:tcW w:type="dxa" w:w="1800"/>
            <w:tcBorders>
              <w:top w:val="single" w:color="CCCCCC" w:sz="1"/>
              <w:left w:val="single" w:color="CCCCCC" w:sz="1"/>
              <w:bottom w:val="single" w:color="CCCCCC" w:sz="1"/>
              <w:right w:val="single" w:color="CCCCCC" w:sz="1"/>
            </w:tcBorders>
          </w:tcPr>
          <w:p>
            <w:r>
              <w:rPr>
                <w:sz w:val="20"/>
                <w:szCs w:val="20"/>
              </w:rPr>
              <w:t xml:space="preserve">100% target + stable finances</w:t>
            </w:r>
          </w:p>
        </w:tc>
        <w:tc>
          <w:tcPr>
            <w:tcW w:type="dxa" w:w="2400"/>
            <w:tcBorders>
              <w:top w:val="single" w:color="CCCCCC" w:sz="1"/>
              <w:left w:val="single" w:color="CCCCCC" w:sz="1"/>
              <w:bottom w:val="single" w:color="CCCCCC" w:sz="1"/>
              <w:right w:val="single" w:color="CCCCCC" w:sz="1"/>
            </w:tcBorders>
          </w:tcPr>
          <w:p>
            <w:r>
              <w:rPr>
                <w:sz w:val="20"/>
                <w:szCs w:val="20"/>
              </w:rPr>
              <w:t xml:space="preserve">Another venture to lead</w:t>
            </w:r>
          </w:p>
        </w:tc>
        <w:tc>
          <w:tcPr>
            <w:tcW w:type="dxa" w:w="3960"/>
            <w:tcBorders>
              <w:top w:val="single" w:color="CCCCCC" w:sz="1"/>
              <w:left w:val="single" w:color="CCCCCC" w:sz="1"/>
              <w:bottom w:val="single" w:color="CCCCCC" w:sz="1"/>
              <w:right w:val="single" w:color="CCCCCC" w:sz="1"/>
            </w:tcBorders>
          </w:tcPr>
          <w:p>
            <w:r>
              <w:rPr>
                <w:sz w:val="20"/>
                <w:szCs w:val="20"/>
              </w:rPr>
              <w:t xml:space="preserve">Hitting targets builds credibility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 Solid</w:t>
            </w:r>
          </w:p>
        </w:tc>
        <w:tc>
          <w:tcPr>
            <w:tcW w:type="dxa" w:w="1800"/>
            <w:tcBorders>
              <w:top w:val="single" w:color="CCCCCC" w:sz="1"/>
              <w:left w:val="single" w:color="CCCCCC" w:sz="1"/>
              <w:bottom w:val="single" w:color="CCCCCC" w:sz="1"/>
              <w:right w:val="single" w:color="CCCCCC" w:sz="1"/>
            </w:tcBorders>
          </w:tcPr>
          <w:p>
            <w:r>
              <w:rPr>
                <w:sz w:val="20"/>
                <w:szCs w:val="20"/>
              </w:rPr>
              <w:t xml:space="preserve">50%+ target</w:t>
            </w:r>
          </w:p>
        </w:tc>
        <w:tc>
          <w:tcPr>
            <w:tcW w:type="dxa" w:w="2400"/>
            <w:tcBorders>
              <w:top w:val="single" w:color="CCCCCC" w:sz="1"/>
              <w:left w:val="single" w:color="CCCCCC" w:sz="1"/>
              <w:bottom w:val="single" w:color="CCCCCC" w:sz="1"/>
              <w:right w:val="single" w:color="CCCCCC" w:sz="1"/>
            </w:tcBorders>
          </w:tcPr>
          <w:p>
            <w:r>
              <w:rPr>
                <w:sz w:val="20"/>
                <w:szCs w:val="20"/>
              </w:rPr>
              <w:t xml:space="preserve">Extended runway</w:t>
            </w:r>
          </w:p>
        </w:tc>
        <w:tc>
          <w:tcPr>
            <w:tcW w:type="dxa" w:w="3960"/>
            <w:tcBorders>
              <w:top w:val="single" w:color="CCCCCC" w:sz="1"/>
              <w:left w:val="single" w:color="CCCCCC" w:sz="1"/>
              <w:bottom w:val="single" w:color="CCCCCC" w:sz="1"/>
              <w:right w:val="single" w:color="CCCCCC" w:sz="1"/>
            </w:tcBorders>
          </w:tcPr>
          <w:p>
            <w:r>
              <w:rPr>
                <w:sz w:val="20"/>
                <w:szCs w:val="20"/>
              </w:rPr>
              <w:t xml:space="preserve">Progress buys time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 Learning</w:t>
            </w:r>
          </w:p>
        </w:tc>
        <w:tc>
          <w:tcPr>
            <w:tcW w:type="dxa" w:w="1800"/>
            <w:tcBorders>
              <w:top w:val="single" w:color="CCCCCC" w:sz="1"/>
              <w:left w:val="single" w:color="CCCCCC" w:sz="1"/>
              <w:bottom w:val="single" w:color="CCCCCC" w:sz="1"/>
              <w:right w:val="single" w:color="CCCCCC" w:sz="1"/>
            </w:tcBorders>
          </w:tcPr>
          <w:p>
            <w:r>
              <w:rPr>
                <w:sz w:val="20"/>
                <w:szCs w:val="20"/>
              </w:rPr>
              <w:t xml:space="preserve">Below 50% or early exit</w:t>
            </w:r>
          </w:p>
        </w:tc>
        <w:tc>
          <w:tcPr>
            <w:tcW w:type="dxa" w:w="2400"/>
            <w:tcBorders>
              <w:top w:val="single" w:color="CCCCCC" w:sz="1"/>
              <w:left w:val="single" w:color="CCCCCC" w:sz="1"/>
              <w:bottom w:val="single" w:color="CCCCCC" w:sz="1"/>
              <w:right w:val="single" w:color="CCCCCC" w:sz="1"/>
            </w:tcBorders>
          </w:tcPr>
          <w:p>
            <w:r>
              <w:rPr>
                <w:sz w:val="20"/>
                <w:szCs w:val="20"/>
              </w:rPr>
              <w:t xml:space="preserve">Reassigned / wound down</w:t>
            </w:r>
          </w:p>
        </w:tc>
        <w:tc>
          <w:tcPr>
            <w:tcW w:type="dxa" w:w="3960"/>
            <w:tcBorders>
              <w:top w:val="single" w:color="CCCCCC" w:sz="1"/>
              <w:left w:val="single" w:color="CCCCCC" w:sz="1"/>
              <w:bottom w:val="single" w:color="CCCCCC" w:sz="1"/>
              <w:right w:val="single" w:color="CCCCCC" w:sz="1"/>
            </w:tcBorders>
          </w:tcPr>
          <w:p>
            <w:r>
              <w:rPr>
                <w:sz w:val="20"/>
                <w:szCs w:val="20"/>
              </w:rPr>
              <w:t xml:space="preserve">Failure is part of learning</w:t>
            </w:r>
          </w:p>
        </w:tc>
      </w:tr>
    </w:tbl>
    <w:p>
      <w:pPr>
        <w:pStyle w:val="Heading1"/>
      </w:pPr>
      <w:r>
        <w:t xml:space="preserve">Discussion Questions</w:t>
      </w:r>
    </w:p>
    <w:p>
      <w:pPr>
        <w:pStyle w:val="Heading2"/>
      </w:pPr>
      <w:r>
        <w:t xml:space="preserve">Basic Reflection</w:t>
      </w:r>
    </w:p>
    <w:p>
      <w:pPr>
        <w:pStyle w:val="ListParagraph"/>
        <w:numPr>
          <w:ilvl w:val="0"/>
          <w:numId w:val="5"/>
        </w:numPr>
      </w:pPr>
      <w:r>
        <w:t xml:space="preserve">What was the hardest decision you faced? Why?</w:t>
      </w:r>
    </w:p>
    <w:p>
      <w:pPr>
        <w:pStyle w:val="ListParagraph"/>
        <w:numPr>
          <w:ilvl w:val="0"/>
          <w:numId w:val="5"/>
        </w:numPr>
      </w:pPr>
      <w:r>
        <w:t xml:space="preserve">What metric did you prioritise? What did you sacrifice?</w:t>
      </w:r>
    </w:p>
    <w:p>
      <w:pPr>
        <w:pStyle w:val="ListParagraph"/>
        <w:numPr>
          <w:ilvl w:val="0"/>
          <w:numId w:val="5"/>
        </w:numPr>
      </w:pPr>
      <w:r>
        <w:t xml:space="preserve">When did you feel most uncertain? How did you decide?</w:t>
      </w:r>
    </w:p>
    <w:p>
      <w:pPr>
        <w:pStyle w:val="Heading2"/>
      </w:pPr>
      <w:r>
        <w:t xml:space="preserve">Strategic Analysis</w:t>
      </w:r>
    </w:p>
    <w:p>
      <w:pPr>
        <w:pStyle w:val="ListParagraph"/>
        <w:numPr>
          <w:ilvl w:val="0"/>
          <w:numId w:val="5"/>
        </w:numPr>
      </w:pPr>
      <w:r>
        <w:t xml:space="preserve">How does the template concept apply to real corporate ventures?</w:t>
      </w:r>
    </w:p>
    <w:p>
      <w:pPr>
        <w:pStyle w:val="ListParagraph"/>
        <w:numPr>
          <w:ilvl w:val="0"/>
          <w:numId w:val="5"/>
        </w:numPr>
      </w:pPr>
      <w:r>
        <w:t xml:space="preserve">Why might a successful venture still get shut down?</w:t>
      </w:r>
    </w:p>
    <w:p>
      <w:pPr>
        <w:pStyle w:val="ListParagraph"/>
        <w:numPr>
          <w:ilvl w:val="0"/>
          <w:numId w:val="5"/>
        </w:numPr>
      </w:pPr>
      <w:r>
        <w:t xml:space="preserve">How does corporate venturing differ from independent startups?</w:t>
      </w:r>
    </w:p>
    <w:p>
      <w:pPr>
        <w:pStyle w:val="Heading2"/>
      </w:pPr>
      <w:r>
        <w:t xml:space="preserve">Application</w:t>
      </w:r>
    </w:p>
    <w:p>
      <w:pPr>
        <w:pStyle w:val="ListParagraph"/>
        <w:numPr>
          <w:ilvl w:val="0"/>
          <w:numId w:val="5"/>
        </w:numPr>
      </w:pPr>
      <w:r>
        <w:t xml:space="preserve">What real companies face similar trade-offs? How have they navigated them?</w:t>
      </w:r>
    </w:p>
    <w:p>
      <w:pPr>
        <w:pStyle w:val="ListParagraph"/>
        <w:numPr>
          <w:ilvl w:val="0"/>
          <w:numId w:val="5"/>
        </w:numPr>
      </w:pPr>
      <w:r>
        <w:t xml:space="preserve">If you were advising a corporate venture leader, what would you tell them?</w:t>
      </w:r>
    </w:p>
    <w:p>
      <w:pPr>
        <w:pStyle w:val="ListParagraph"/>
        <w:numPr>
          <w:ilvl w:val="0"/>
          <w:numId w:val="5"/>
        </w:numPr>
      </w:pPr>
      <w:r>
        <w:t xml:space="preserve">How do the dynamics in this game reflect broader tensions in innovation management?</w:t>
      </w:r>
    </w:p>
    <w:p>
      <w:pPr>
        <w:pStyle w:val="Heading1"/>
      </w:pPr>
      <w:r>
        <w:t xml:space="preserve">Assessment Ideas</w:t>
      </w:r>
    </w:p>
    <w:p>
      <w:pPr>
        <w:pStyle w:val="Heading2"/>
      </w:pPr>
      <w:r>
        <w:t xml:space="preserve">Reflection Essay (Individual)</w:t>
      </w:r>
    </w:p>
    <w:p>
      <w:r>
        <w:rPr>
          <w:i/>
          <w:iCs/>
        </w:rPr>
        <w:t xml:space="preserve">"In 1,000 words, analyse your gameplay experience. What strategies did you employ? What worked and what didn't? Connect your observations to course concepts about corporate entrepreneurship."</w:t>
      </w:r>
    </w:p>
    <w:p>
      <w:pPr>
        <w:pStyle w:val="Heading2"/>
      </w:pPr>
      <w:r>
        <w:t xml:space="preserve">Strategic Memo (Individual or Team)</w:t>
      </w:r>
    </w:p>
    <w:p>
      <w:r>
        <w:rPr>
          <w:i/>
          <w:iCs/>
        </w:rPr>
        <w:t xml:space="preserve">"You are consulting for a Fortune 500 company launching an internal venture. Based on insights from the simulation, write a 2-page strategic memo outlining key success factors and common pitfalls."</w:t>
      </w:r>
    </w:p>
    <w:p>
      <w:pPr>
        <w:pStyle w:val="Heading2"/>
      </w:pPr>
      <w:r>
        <w:t xml:space="preserve">Comparative Analysis (Team)</w:t>
      </w:r>
    </w:p>
    <w:p>
      <w:r>
        <w:rPr>
          <w:i/>
          <w:iCs/>
        </w:rPr>
        <w:t xml:space="preserve">"Compare and contrast the game's model of corporate venturing with a real case (e.g., Amazon Web Services, Google X, Nestlé's Nespresso). Where does the simulation align with reality? Where does it simplify?"</w:t>
      </w:r>
    </w:p>
    <w:p>
      <w:pPr>
        <w:pStyle w:val="Heading1"/>
      </w:pPr>
      <w:r>
        <w:t xml:space="preserve">Further Reading &amp; Resources</w:t>
      </w:r>
    </w:p>
    <w:p>
      <w:r>
        <w:t xml:space="preserve">The game draws on academic research about scaling, replication, and knowledge transfer in organisations. The following references provide theoretical foundations for post-game discussions.</w:t>
      </w:r>
    </w:p>
    <w:p>
      <w:pPr>
        <w:pStyle w:val="Heading2"/>
      </w:pPr>
      <w:r>
        <w:t xml:space="preserve">Academic References</w:t>
      </w:r>
    </w:p>
    <w:p>
      <w:pPr>
        <w:spacing w:before="120"/>
      </w:pPr>
      <w:r>
        <w:rPr>
          <w:b/>
          <w:bCs/>
          <w:i/>
          <w:iCs/>
        </w:rPr>
        <w:t xml:space="preserve">Core Papers on Replication Strategy</w:t>
      </w:r>
    </w:p>
    <w:p>
      <w:pPr>
        <w:pStyle w:val="ListParagraph"/>
        <w:numPr>
          <w:ilvl w:val="0"/>
          <w:numId w:val="5"/>
        </w:numPr>
      </w:pPr>
      <w:r>
        <w:t xml:space="preserve">Winter, S.G. and Szulanski, G., 2001. Replication as strategy. </w:t>
      </w:r>
      <w:r>
        <w:rPr>
          <w:i/>
          <w:iCs/>
        </w:rPr>
        <w:t xml:space="preserve">Organization Science</w:t>
      </w:r>
      <w:r>
        <w:t xml:space="preserve">, 12(6), pp.730-743.</w:t>
      </w:r>
    </w:p>
    <w:p>
      <w:pPr>
        <w:pStyle w:val="ListParagraph"/>
        <w:numPr>
          <w:ilvl w:val="0"/>
          <w:numId w:val="5"/>
        </w:numPr>
      </w:pPr>
      <w:r>
        <w:t xml:space="preserve">Szulanski, G. and Winter, S., 2002. Getting it right the second time. </w:t>
      </w:r>
      <w:r>
        <w:rPr>
          <w:i/>
          <w:iCs/>
        </w:rPr>
        <w:t xml:space="preserve">Harvard Business Review</w:t>
      </w:r>
      <w:r>
        <w:t xml:space="preserve">, 80(1), pp.62-69.</w:t>
      </w:r>
    </w:p>
    <w:p>
      <w:pPr>
        <w:pStyle w:val="ListParagraph"/>
        <w:numPr>
          <w:ilvl w:val="0"/>
          <w:numId w:val="5"/>
        </w:numPr>
      </w:pPr>
      <w:r>
        <w:t xml:space="preserve">Winter, S.G., Szulanski, G., Ringov, D. and Jensen, R.J., 2012. Reproducing knowledge: Inaccurate replication and failure in franchise organizations. </w:t>
      </w:r>
      <w:r>
        <w:rPr>
          <w:i/>
          <w:iCs/>
        </w:rPr>
        <w:t xml:space="preserve">Organization Science</w:t>
      </w:r>
      <w:r>
        <w:t xml:space="preserve">, 23(3), pp.672-685.</w:t>
      </w:r>
    </w:p>
    <w:p>
      <w:pPr>
        <w:spacing w:before="200"/>
      </w:pPr>
      <w:r>
        <w:rPr>
          <w:b/>
          <w:bCs/>
          <w:i/>
          <w:iCs/>
        </w:rPr>
        <w:t xml:space="preserve">Knowledge Transfer &amp; Stickiness</w:t>
      </w:r>
    </w:p>
    <w:p>
      <w:pPr>
        <w:pStyle w:val="ListParagraph"/>
        <w:numPr>
          <w:ilvl w:val="0"/>
          <w:numId w:val="5"/>
        </w:numPr>
      </w:pPr>
      <w:r>
        <w:t xml:space="preserve">Szulanski, G., 1996. Exploring internal stickiness: Impediments to the transfer of best practice within the firm. </w:t>
      </w:r>
      <w:r>
        <w:rPr>
          <w:i/>
          <w:iCs/>
        </w:rPr>
        <w:t xml:space="preserve">Strategic Management Journal</w:t>
      </w:r>
      <w:r>
        <w:t xml:space="preserve">, 17(S2), pp.27-43.</w:t>
      </w:r>
    </w:p>
    <w:p>
      <w:pPr>
        <w:pStyle w:val="ListParagraph"/>
        <w:numPr>
          <w:ilvl w:val="0"/>
          <w:numId w:val="5"/>
        </w:numPr>
      </w:pPr>
      <w:r>
        <w:t xml:space="preserve">Szulanski, G., Ringov, D. and Jensen, R.J., 2016. Overcoming stickiness: How the timing of knowledge transfer methods affects transfer difficulty. </w:t>
      </w:r>
      <w:r>
        <w:rPr>
          <w:i/>
          <w:iCs/>
        </w:rPr>
        <w:t xml:space="preserve">Organization Science</w:t>
      </w:r>
      <w:r>
        <w:t xml:space="preserve">, 27(2), pp.304-322.</w:t>
      </w:r>
    </w:p>
    <w:p>
      <w:pPr>
        <w:pStyle w:val="ListParagraph"/>
        <w:numPr>
          <w:ilvl w:val="0"/>
          <w:numId w:val="5"/>
        </w:numPr>
      </w:pPr>
      <w:r>
        <w:t xml:space="preserve">Hansen, M.T., 1999. The search-transfer problem: The role of weak ties in sharing knowledge across organization subunits. </w:t>
      </w:r>
      <w:r>
        <w:rPr>
          <w:i/>
          <w:iCs/>
        </w:rPr>
        <w:t xml:space="preserve">Administrative Science Quarterly</w:t>
      </w:r>
      <w:r>
        <w:t xml:space="preserve">, 44(1), pp.82-111.</w:t>
      </w:r>
    </w:p>
    <w:p>
      <w:pPr>
        <w:pStyle w:val="ListParagraph"/>
        <w:numPr>
          <w:ilvl w:val="0"/>
          <w:numId w:val="5"/>
        </w:numPr>
      </w:pPr>
      <w:r>
        <w:t xml:space="preserve">Haas, M.R. and Hansen, M.T., 2007. Different knowledge, different benefits: Toward a productivity perspective on knowledge sharing in organizations. </w:t>
      </w:r>
      <w:r>
        <w:rPr>
          <w:i/>
          <w:iCs/>
        </w:rPr>
        <w:t xml:space="preserve">Strategic Management Journal</w:t>
      </w:r>
      <w:r>
        <w:t xml:space="preserve">, 28(11), pp.1133-1153.</w:t>
      </w:r>
    </w:p>
    <w:p>
      <w:pPr>
        <w:spacing w:before="200"/>
      </w:pPr>
      <w:r>
        <w:rPr>
          <w:b/>
          <w:bCs/>
          <w:i/>
          <w:iCs/>
        </w:rPr>
        <w:t xml:space="preserve">Scaling &amp; Corporate Strategy</w:t>
      </w:r>
    </w:p>
    <w:p>
      <w:pPr>
        <w:pStyle w:val="ListParagraph"/>
        <w:numPr>
          <w:ilvl w:val="0"/>
          <w:numId w:val="5"/>
        </w:numPr>
      </w:pPr>
      <w:r>
        <w:t xml:space="preserve">DeSantola, A. and Gulati, R., 2017. Scaling: Organizing and growth in entrepreneurial ventures. </w:t>
      </w:r>
      <w:r>
        <w:rPr>
          <w:i/>
          <w:iCs/>
        </w:rPr>
        <w:t xml:space="preserve">Academy of Management Annals</w:t>
      </w:r>
      <w:r>
        <w:t xml:space="preserve">, 11(2), pp.640-668.</w:t>
      </w:r>
    </w:p>
    <w:p>
      <w:pPr>
        <w:pStyle w:val="ListParagraph"/>
        <w:numPr>
          <w:ilvl w:val="0"/>
          <w:numId w:val="5"/>
        </w:numPr>
      </w:pPr>
      <w:r>
        <w:t xml:space="preserve">Burgelman, R.A. and Grove, A.S., 2007. Let chaos reign, then rein in chaos—repeatedly: Managing strategic dynamics for corporate longevity. </w:t>
      </w:r>
      <w:r>
        <w:rPr>
          <w:i/>
          <w:iCs/>
        </w:rPr>
        <w:t xml:space="preserve">Strategic Management Journal</w:t>
      </w:r>
      <w:r>
        <w:t xml:space="preserve">, 28(10), pp.965-979.</w:t>
      </w:r>
    </w:p>
    <w:p>
      <w:pPr>
        <w:pStyle w:val="ListParagraph"/>
        <w:numPr>
          <w:ilvl w:val="0"/>
          <w:numId w:val="5"/>
        </w:numPr>
      </w:pPr>
      <w:r>
        <w:t xml:space="preserve">Sapsed, J. and Salter, A., 2004. Postcards from the edge: Local communities, global programs and boundary objects. </w:t>
      </w:r>
      <w:r>
        <w:rPr>
          <w:i/>
          <w:iCs/>
        </w:rPr>
        <w:t xml:space="preserve">Organization Studies</w:t>
      </w:r>
      <w:r>
        <w:t xml:space="preserve">, 25(9), pp.1515-1534.</w:t>
      </w:r>
    </w:p>
    <w:p>
      <w:pPr>
        <w:pStyle w:val="Heading2"/>
      </w:pPr>
      <w:r>
        <w:t xml:space="preserve">Movies &amp; TV Shows</w:t>
      </w:r>
    </w:p>
    <w:p>
      <w:r>
        <w:t xml:space="preserve">These provide accessible case material for students less familiar with academic literature:</w:t>
      </w:r>
    </w:p>
    <w:p>
      <w:pPr>
        <w:pStyle w:val="ListParagraph"/>
        <w:numPr>
          <w:ilvl w:val="0"/>
          <w:numId w:val="5"/>
        </w:numPr>
      </w:pPr>
      <w:r>
        <w:rPr>
          <w:b/>
          <w:bCs/>
        </w:rPr>
        <w:t xml:space="preserve">WeCrashed </w:t>
      </w:r>
      <w:r>
        <w:t xml:space="preserve">(AppleTV, 2022) — Documents the experience of WeWork in a 10-part series, with excellent acting and rich information about the dangers of hyper-scaling without operational foundations.</w:t>
      </w:r>
    </w:p>
    <w:p>
      <w:pPr>
        <w:pStyle w:val="ListParagraph"/>
        <w:numPr>
          <w:ilvl w:val="0"/>
          <w:numId w:val="5"/>
        </w:numPr>
      </w:pPr>
      <w:r>
        <w:rPr>
          <w:b/>
          <w:bCs/>
        </w:rPr>
        <w:t xml:space="preserve">The Founder </w:t>
      </w:r>
      <w:r>
        <w:t xml:space="preserve">(2016) — Documents the rise and growth of McDonald's as a franchise model by following the life of Ray Kroc. Excellent for showing the tensions between the original template and its expansion into mass scaling.</w:t>
      </w:r>
    </w:p>
    <w:p>
      <w:pPr>
        <w:spacing w:before="480"/>
        <w:jc w:val="center"/>
      </w:pPr>
      <w:r>
        <w:rPr>
          <w:color w:val="CCCCCC"/>
        </w:rPr>
        <w:t xml:space="preserve">───────────────────────────────────────</w:t>
      </w:r>
    </w:p>
    <w:p>
      <w:pPr>
        <w:spacing w:before="200"/>
        <w:jc w:val="center"/>
      </w:pPr>
      <w:r>
        <w:rPr>
          <w:i/>
          <w:iCs/>
          <w:sz w:val="22"/>
          <w:szCs w:val="22"/>
        </w:rPr>
        <w:t xml:space="preserve">The Smart Scale Game</w:t>
      </w:r>
    </w:p>
    <w:p>
      <w:pPr>
        <w:jc w:val="center"/>
      </w:pPr>
      <w:r>
        <w:rPr>
          <w:sz w:val="20"/>
          <w:szCs w:val="20"/>
        </w:rPr>
        <w:t xml:space="preserve">© 2025 Ammon Salter • Licensed under CC BY-NC-SA 4.0</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000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2025-12-12T07:45:38.281Z</dcterms:created>
  <dcterms:modified xsi:type="dcterms:W3CDTF">2025-12-12T07:45:38.282Z</dcterms:modified>
</cp:coreProperties>
</file>

<file path=docProps/custom.xml><?xml version="1.0" encoding="utf-8"?>
<Properties xmlns="http://schemas.openxmlformats.org/officeDocument/2006/custom-properties" xmlns:vt="http://schemas.openxmlformats.org/officeDocument/2006/docPropsVTypes"/>
</file>