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77779" w:sz="6" w:space="4"/>
        </w:pBdr>
        <w:spacing w:before="480" w:after="200"/>
      </w:pPr>
      <w:r>
        <w:rPr>
          <w:rFonts w:ascii="Arial" w:cs="Arial" w:eastAsia="Arial" w:hAnsi="Arial"/>
          <w:b/>
          <w:bCs/>
          <w:color w:val="777779"/>
          <w:sz w:val="32"/>
          <w:szCs w:val="32"/>
        </w:rPr>
        <w:t xml:space="preserve">1. Démographie</w:t>
      </w:r>
    </w:p>
    <w:p>
      <w:pPr>
        <w:spacing w:before="280" w:after="100"/>
      </w:pPr>
      <w:r>
        <w:rPr>
          <w:rFonts w:ascii="Arial" w:cs="Arial" w:eastAsia="Arial" w:hAnsi="Arial"/>
          <w:b/>
          <w:bCs/>
          <w:color w:val="333333"/>
          <w:sz w:val="22"/>
          <w:szCs w:val="22"/>
        </w:rPr>
        <w:t xml:space="preserve">Nombre d'enfants de moins de 18 ans</w:t>
      </w:r>
    </w:p>
    <w:p>
      <w:pPr>
        <w:pBdr>
          <w:left w:val="single" w:color="777779" w:sz="12" w:space="8"/>
        </w:pBdr>
        <w:spacing w:after="120"/>
        <w:ind w:left="360"/>
        <w:jc w:val="both"/>
      </w:pPr>
      <w:r>
        <w:rPr>
          <w:rFonts w:ascii="Arial" w:cs="Arial" w:eastAsia="Arial" w:hAnsi="Arial"/>
          <w:sz w:val="20"/>
          <w:szCs w:val="20"/>
        </w:rPr>
        <w:t xml:space="preserve">Analyse à compléter.</w:t>
      </w:r>
    </w:p>
    <w:p>
      <w:pPr>
        <w:spacing w:before="280" w:after="100"/>
      </w:pPr>
      <w:r>
        <w:rPr>
          <w:rFonts w:ascii="Arial" w:cs="Arial" w:eastAsia="Arial" w:hAnsi="Arial"/>
          <w:b/>
          <w:bCs/>
          <w:color w:val="333333"/>
          <w:sz w:val="22"/>
          <w:szCs w:val="22"/>
        </w:rPr>
        <w:t xml:space="preserve">Taux de fécondité</w:t>
      </w:r>
    </w:p>
    <w:p>
      <w:pPr>
        <w:pBdr>
          <w:left w:val="single" w:color="777779" w:sz="12" w:space="8"/>
        </w:pBdr>
        <w:spacing w:after="120"/>
        <w:ind w:left="360"/>
        <w:jc w:val="both"/>
      </w:pPr>
      <w:r>
        <w:rPr>
          <w:rFonts w:ascii="Arial" w:cs="Arial" w:eastAsia="Arial" w:hAnsi="Arial"/>
          <w:sz w:val="20"/>
          <w:szCs w:val="20"/>
        </w:rPr>
        <w:t xml:space="preserve">Analyse à compléter.</w:t>
      </w:r>
    </w:p>
    <w:p>
      <w:pPr>
        <w:spacing w:before="280" w:after="100"/>
      </w:pPr>
      <w:r>
        <w:rPr>
          <w:rFonts w:ascii="Arial" w:cs="Arial" w:eastAsia="Arial" w:hAnsi="Arial"/>
          <w:b/>
          <w:bCs/>
          <w:color w:val="333333"/>
          <w:sz w:val="22"/>
          <w:szCs w:val="22"/>
        </w:rPr>
        <w:t xml:space="preserve">Âge moyen à la maternité</w:t>
      </w:r>
    </w:p>
    <w:p>
      <w:pPr>
        <w:pBdr>
          <w:left w:val="single" w:color="777779" w:sz="12" w:space="8"/>
        </w:pBdr>
        <w:spacing w:after="120"/>
        <w:ind w:left="360"/>
        <w:jc w:val="both"/>
      </w:pPr>
      <w:r>
        <w:rPr>
          <w:rFonts w:ascii="Arial" w:cs="Arial" w:eastAsia="Arial" w:hAnsi="Arial"/>
          <w:sz w:val="20"/>
          <w:szCs w:val="20"/>
        </w:rPr>
        <w:t xml:space="preserve">En 2025, la France compte environ 14,5 millions d'enfants de moins de 18 ans, soit près de 21 % de la population totale. Cette proportion, en léger recul depuis une décennie, reflète la baisse continue du nombre de naissances. Le taux de fécondité, historiquement parmi les plus élevés d'Europe, s'est stabilisé autour de 1,7 enfant par femme en 2023, contre 2,0 en 2010 – bien en dessous du seuil de renouvellement des générations. Cette évolution s'explique notamment par le recul de l'âge moyen à la maternité, désormais supérieur à 31 ans, l'incertitude économique touchant une partie des jeunes adultes, les difficultés d'accès au logement, etc.</w:t>
      </w:r>
    </w:p>
    <w:p>
      <w:pPr>
        <w:spacing w:before="280" w:after="100"/>
      </w:pPr>
      <w:r>
        <w:rPr>
          <w:rFonts w:ascii="Arial" w:cs="Arial" w:eastAsia="Arial" w:hAnsi="Arial"/>
          <w:b/>
          <w:bCs/>
          <w:color w:val="333333"/>
          <w:sz w:val="22"/>
          <w:szCs w:val="22"/>
        </w:rPr>
        <w:t xml:space="preserve">Pourcentage de mères de moins de 18 ans</w:t>
      </w:r>
    </w:p>
    <w:p>
      <w:pPr>
        <w:pBdr>
          <w:left w:val="single" w:color="777779" w:sz="12" w:space="8"/>
        </w:pBdr>
        <w:spacing w:after="120"/>
        <w:ind w:left="360"/>
        <w:jc w:val="both"/>
      </w:pPr>
      <w:r>
        <w:rPr>
          <w:rFonts w:ascii="Arial" w:cs="Arial" w:eastAsia="Arial" w:hAnsi="Arial"/>
          <w:sz w:val="20"/>
          <w:szCs w:val="20"/>
        </w:rPr>
        <w:t xml:space="preserve">En 2024, parmi les naissances en France, 2 173 bébés ont eu une mère de moins de 18 ans, représentant 0,33 % des naissances. Historiquement, les naissances d'adolescentes étaient plus fréquentes : en 2018, sur environ 759 000 naissances, environ 12 000 provenaient d'une mère adolescente (moins de 20 ans), soit près de 2 %.</w:t>
      </w:r>
    </w:p>
    <w:p>
      <w:pPr>
        <w:pBdr>
          <w:left w:val="single" w:color="777779" w:sz="12" w:space="8"/>
        </w:pBdr>
        <w:spacing w:after="120"/>
        <w:ind w:left="360"/>
        <w:jc w:val="both"/>
      </w:pPr>
      <w:r>
        <w:rPr>
          <w:rFonts w:ascii="Arial" w:cs="Arial" w:eastAsia="Arial" w:hAnsi="Arial"/>
          <w:sz w:val="20"/>
          <w:szCs w:val="20"/>
        </w:rPr>
        <w:t xml:space="preserve">Les données confirment que la maternité avant 18 ans reste un phénomène rare en France, mais aux enjeux sociaux et sanitaires importants.</w:t>
      </w:r>
    </w:p>
    <w:p>
      <w:pPr>
        <w:spacing w:before="280" w:after="100"/>
      </w:pPr>
      <w:r>
        <w:rPr>
          <w:rFonts w:ascii="Arial" w:cs="Arial" w:eastAsia="Arial" w:hAnsi="Arial"/>
          <w:b/>
          <w:bCs/>
          <w:color w:val="333333"/>
          <w:sz w:val="22"/>
          <w:szCs w:val="22"/>
        </w:rPr>
        <w:t xml:space="preserve">Part des familles monoparentales</w:t>
      </w:r>
    </w:p>
    <w:p>
      <w:pPr>
        <w:pBdr>
          <w:left w:val="single" w:color="777779" w:sz="12" w:space="8"/>
        </w:pBdr>
        <w:spacing w:after="120"/>
        <w:ind w:left="360"/>
        <w:jc w:val="both"/>
      </w:pPr>
      <w:r>
        <w:rPr>
          <w:rFonts w:ascii="Arial" w:cs="Arial" w:eastAsia="Arial" w:hAnsi="Arial"/>
          <w:sz w:val="20"/>
          <w:szCs w:val="20"/>
        </w:rPr>
        <w:t xml:space="preserve">Les transformations démographiques s'accompagnent d'un changement du profil des ménages : près d'un quart des familles avec enfants sont monoparentales, souvent confrontées à des conditions de vie plus précaires, tandis que les familles issues de l'immigration représentent une part croissante du paysage démographique. Cette diversité renforce la nécessité d'adapter les politiques publiques aux besoins spécifiques des différents modèles familiaux.</w:t>
      </w:r>
    </w:p>
    <w:p>
      <w:pPr>
        <w:spacing w:before="280" w:after="100"/>
      </w:pPr>
      <w:r>
        <w:rPr>
          <w:rFonts w:ascii="Arial" w:cs="Arial" w:eastAsia="Arial" w:hAnsi="Arial"/>
          <w:b/>
          <w:bCs/>
          <w:color w:val="333333"/>
          <w:sz w:val="22"/>
          <w:szCs w:val="22"/>
        </w:rPr>
        <w:t xml:space="preserve">Nombre de naissances vivantes domiciliées en France</w:t>
      </w:r>
    </w:p>
    <w:p>
      <w:pPr>
        <w:pBdr>
          <w:left w:val="single" w:color="777779" w:sz="12" w:space="8"/>
        </w:pBdr>
        <w:spacing w:after="120"/>
        <w:ind w:left="360"/>
        <w:jc w:val="both"/>
      </w:pPr>
      <w:r>
        <w:rPr>
          <w:rFonts w:ascii="Arial" w:cs="Arial" w:eastAsia="Arial" w:hAnsi="Arial"/>
          <w:sz w:val="20"/>
          <w:szCs w:val="20"/>
        </w:rPr>
        <w:t xml:space="preserve">Analyse à compléter.</w:t>
      </w:r>
    </w:p>
    <w:p>
      <w:pPr>
        <w:spacing w:before="280" w:after="100"/>
      </w:pPr>
      <w:r>
        <w:rPr>
          <w:rFonts w:ascii="Arial" w:cs="Arial" w:eastAsia="Arial" w:hAnsi="Arial"/>
          <w:b/>
          <w:bCs/>
          <w:color w:val="333333"/>
          <w:sz w:val="22"/>
          <w:szCs w:val="22"/>
        </w:rPr>
        <w:t xml:space="preserve">Taux de natalité en Hexagone</w:t>
      </w:r>
    </w:p>
    <w:p>
      <w:pPr>
        <w:pBdr>
          <w:left w:val="single" w:color="777779" w:sz="12" w:space="8"/>
        </w:pBdr>
        <w:spacing w:after="120"/>
        <w:ind w:left="360"/>
        <w:jc w:val="both"/>
      </w:pPr>
      <w:r>
        <w:rPr>
          <w:rFonts w:ascii="Arial" w:cs="Arial" w:eastAsia="Arial" w:hAnsi="Arial"/>
          <w:sz w:val="20"/>
          <w:szCs w:val="20"/>
        </w:rPr>
        <w:t xml:space="preserve">Les dynamiques ultramarines présentent une réalité et des besoins différents : les taux de natalité atteignent 16 % à Mayotte et 14 % en Guyane, contre 10,4 % en métropole, et la proportion d'enfants dans la population dépasse 30 % dans ces territoires. Ces écarts illustrent la diversité des situations démographiques françaises et la nécessité d'une lecture différenciée des besoins en matière de politiques de l'enfance.</w:t>
      </w:r>
    </w:p>
    <w:p>
      <w:pPr>
        <w:spacing w:before="280" w:after="100"/>
      </w:pPr>
      <w:r>
        <w:rPr>
          <w:rFonts w:ascii="Arial" w:cs="Arial" w:eastAsia="Arial" w:hAnsi="Arial"/>
          <w:b/>
          <w:bCs/>
          <w:color w:val="333333"/>
          <w:sz w:val="22"/>
          <w:szCs w:val="22"/>
        </w:rPr>
        <w:t xml:space="preserve">Taux de natalité en Guyane</w:t>
      </w:r>
    </w:p>
    <w:p>
      <w:pPr>
        <w:pBdr>
          <w:left w:val="single" w:color="777779" w:sz="12" w:space="8"/>
        </w:pBdr>
        <w:spacing w:after="120"/>
        <w:ind w:left="360"/>
        <w:jc w:val="both"/>
      </w:pPr>
      <w:r>
        <w:rPr>
          <w:rFonts w:ascii="Arial" w:cs="Arial" w:eastAsia="Arial" w:hAnsi="Arial"/>
          <w:sz w:val="20"/>
          <w:szCs w:val="20"/>
        </w:rPr>
        <w:t xml:space="preserve">Les dynamiques ultramarines présentent une réalité et des besoins différents : les taux de natalité atteignent 16 % à Mayotte et 14 % en Guyane, contre 10,4 % en métropole, et la proportion d'enfants dans la population dépasse 30 % dans ces territoires. Ces écarts illustrent la diversité des situations démographiques françaises et la nécessité d'une lecture différenciée des besoins en matière de politiques de l'enfance.</w:t>
      </w:r>
    </w:p>
    <w:p>
      <w:pPr>
        <w:spacing w:before="280" w:after="100"/>
      </w:pPr>
      <w:r>
        <w:rPr>
          <w:rFonts w:ascii="Arial" w:cs="Arial" w:eastAsia="Arial" w:hAnsi="Arial"/>
          <w:b/>
          <w:bCs/>
          <w:color w:val="333333"/>
          <w:sz w:val="22"/>
          <w:szCs w:val="22"/>
        </w:rPr>
        <w:t xml:space="preserve">Taux de natalité à Mayotte</w:t>
      </w:r>
    </w:p>
    <w:p>
      <w:pPr>
        <w:pBdr>
          <w:left w:val="single" w:color="777779" w:sz="12" w:space="8"/>
        </w:pBdr>
        <w:spacing w:after="120"/>
        <w:ind w:left="360"/>
        <w:jc w:val="both"/>
      </w:pPr>
      <w:r>
        <w:rPr>
          <w:rFonts w:ascii="Arial" w:cs="Arial" w:eastAsia="Arial" w:hAnsi="Arial"/>
          <w:sz w:val="20"/>
          <w:szCs w:val="20"/>
        </w:rPr>
        <w:t xml:space="preserve">Les dynamiques ultramarines présentent une réalité et des besoins différents : les taux de natalité atteignent 16 % à Mayotte et 14 % en Guyane, contre 10,4 % en métropole, et la proportion d'enfants dans la population dépasse 30 % dans ces territoires. Ces écarts illustrent la diversité des situations démographiques françaises et la nécessité d'une lecture différenciée des besoins en matière de politiques de l'enfance.</w:t>
      </w:r>
    </w:p>
    <w:p>
      <w:pPr>
        <w:pBdr>
          <w:bottom w:val="single" w:color="6A3D9A" w:sz="6" w:space="4"/>
        </w:pBdr>
        <w:spacing w:before="480" w:after="200"/>
      </w:pPr>
      <w:r>
        <w:rPr>
          <w:rFonts w:ascii="Arial" w:cs="Arial" w:eastAsia="Arial" w:hAnsi="Arial"/>
          <w:b/>
          <w:bCs/>
          <w:color w:val="6A3D9A"/>
          <w:sz w:val="32"/>
          <w:szCs w:val="32"/>
        </w:rPr>
        <w:t xml:space="preserve">2. Éducation</w:t>
      </w:r>
    </w:p>
    <w:p>
      <w:pPr>
        <w:spacing w:before="280" w:after="100"/>
      </w:pPr>
      <w:r>
        <w:rPr>
          <w:rFonts w:ascii="Arial" w:cs="Arial" w:eastAsia="Arial" w:hAnsi="Arial"/>
          <w:b/>
          <w:bCs/>
          <w:color w:val="333333"/>
          <w:sz w:val="22"/>
          <w:szCs w:val="22"/>
        </w:rPr>
        <w:t xml:space="preserve">Dépense annuelle par élève</w:t>
      </w:r>
    </w:p>
    <w:p>
      <w:pPr>
        <w:pBdr>
          <w:left w:val="single" w:color="6A3D9A" w:sz="12" w:space="8"/>
        </w:pBdr>
        <w:spacing w:after="120"/>
        <w:ind w:left="360"/>
        <w:jc w:val="both"/>
      </w:pPr>
      <w:r>
        <w:rPr>
          <w:rFonts w:ascii="Arial" w:cs="Arial" w:eastAsia="Arial" w:hAnsi="Arial"/>
          <w:sz w:val="20"/>
          <w:szCs w:val="20"/>
        </w:rPr>
        <w:t xml:space="preserve">Afin de les rendre comparables, les montants sont convertis en dollars américains par les indices de parité de pouvoir d'achat (PPA). Les pays européens ont tendance à augmenter leur dépense par apprenant à mesure que les niveaux d'enseignements progressent. Cette tendance est particulièrement prononcée en France, où l'on observe une forte différence entre niveaux d'enseignement (sauf entre le niveau préélémentaire et élémentaire, entre lesquels la différence de dépense est faible en France).</w:t>
      </w:r>
    </w:p>
    <w:p>
      <w:pPr>
        <w:pBdr>
          <w:left w:val="single" w:color="6A3D9A" w:sz="12" w:space="8"/>
        </w:pBdr>
        <w:spacing w:after="120"/>
        <w:ind w:left="360"/>
        <w:jc w:val="both"/>
      </w:pPr>
      <w:r>
        <w:rPr>
          <w:rFonts w:ascii="Arial" w:cs="Arial" w:eastAsia="Arial" w:hAnsi="Arial"/>
          <w:sz w:val="20"/>
          <w:szCs w:val="20"/>
        </w:rPr>
        <w:t xml:space="preserve">Les dépenses en France sont faibles dans l'élémentaire, avec seulement 9 pays pour lesquels les dépenses par élèves sont plus faibles. En revanche, les dépenses par élève du second cycle du secondaire sont très importantes, avec seulement 4 pays pour lesquels les dépenses par élèves sont plus élevées. La dépense moyenne par élève ou étudiant s'élevait en 2023 à 10 470 euros, augmentant de 1,5% en moyenne annuellement depuis 1980. La dépense moyenne par élève du primaire s'élevait à 8 450 euros en 2023, contre 11 320 euros pour les élèves du secondaire.</w:t>
      </w:r>
    </w:p>
    <w:p>
      <w:pPr>
        <w:spacing w:before="280" w:after="100"/>
      </w:pPr>
      <w:r>
        <w:rPr>
          <w:rFonts w:ascii="Arial" w:cs="Arial" w:eastAsia="Arial" w:hAnsi="Arial"/>
          <w:b/>
          <w:bCs/>
          <w:color w:val="333333"/>
          <w:sz w:val="22"/>
          <w:szCs w:val="22"/>
        </w:rPr>
        <w:t xml:space="preserve">Taux de NEET 15-19 ans (national)</w:t>
      </w:r>
    </w:p>
    <w:p>
      <w:pPr>
        <w:pBdr>
          <w:left w:val="single" w:color="6A3D9A" w:sz="12" w:space="8"/>
        </w:pBdr>
        <w:spacing w:after="120"/>
        <w:ind w:left="360"/>
        <w:jc w:val="both"/>
      </w:pPr>
      <w:r>
        <w:rPr>
          <w:rFonts w:ascii="Arial" w:cs="Arial" w:eastAsia="Arial" w:hAnsi="Arial"/>
          <w:sz w:val="20"/>
          <w:szCs w:val="20"/>
        </w:rPr>
        <w:t xml:space="preserve">Au vu de l'objectif européen 2030 concernant les sorties précoces de l'enseignement ou de la formation précoce, la France a su réduire son taux de décrocheurs par le biais de politiques publiques ciblées et atteindre l'objectif européen. En revanche, cette amélioration n'a pas eu d'effets mécaniques sur la diminution des jeunes ni en éducation, ni en formation, ni en activité (NEETs).</w:t>
      </w:r>
    </w:p>
    <w:p>
      <w:pPr>
        <w:pBdr>
          <w:left w:val="single" w:color="6A3D9A" w:sz="12" w:space="8"/>
        </w:pBdr>
        <w:spacing w:after="120"/>
        <w:ind w:left="360"/>
        <w:jc w:val="both"/>
      </w:pPr>
      <w:r>
        <w:rPr>
          <w:rFonts w:ascii="Arial" w:cs="Arial" w:eastAsia="Arial" w:hAnsi="Arial"/>
          <w:sz w:val="20"/>
          <w:szCs w:val="20"/>
        </w:rPr>
        <w:t xml:space="preserve">Les départements ultramarins concentrent des taux de NEETs supérieurs aux moyennes hexagonales, bien que ces taux aient diminué entre 2015 et 2021 en Guadeloupe, Guyane et en Martinique.</w:t>
      </w:r>
    </w:p>
    <w:p>
      <w:pPr>
        <w:spacing w:before="280" w:after="100"/>
      </w:pPr>
      <w:r>
        <w:rPr>
          <w:rFonts w:ascii="Arial" w:cs="Arial" w:eastAsia="Arial" w:hAnsi="Arial"/>
          <w:b/>
          <w:bCs/>
          <w:color w:val="333333"/>
          <w:sz w:val="22"/>
          <w:szCs w:val="22"/>
        </w:rPr>
        <w:t xml:space="preserve">Taux de NEET 15-19 ans (La Réunion)</w:t>
      </w:r>
    </w:p>
    <w:p>
      <w:pPr>
        <w:pBdr>
          <w:left w:val="single" w:color="6A3D9A" w:sz="12" w:space="8"/>
        </w:pBdr>
        <w:spacing w:after="120"/>
        <w:ind w:left="360"/>
        <w:jc w:val="both"/>
      </w:pPr>
      <w:r>
        <w:rPr>
          <w:rFonts w:ascii="Arial" w:cs="Arial" w:eastAsia="Arial" w:hAnsi="Arial"/>
          <w:sz w:val="20"/>
          <w:szCs w:val="20"/>
        </w:rPr>
        <w:t xml:space="preserve">Les statistiques de l'INSEE font état de difficultés liées à la scolarisation et à la formation des jeunes à partir de 15 ans plus importantes dans l'ensemble des DROM qu'en France hexagonale. À La Réunion, en 2021, 10% des jeunes de 15 à 19 ans n'étaient ni en emploi, ni en études, ni en formation, contre 6% au niveau national.</w:t>
      </w:r>
    </w:p>
    <w:p>
      <w:pPr>
        <w:spacing w:before="280" w:after="100"/>
      </w:pPr>
      <w:r>
        <w:rPr>
          <w:rFonts w:ascii="Arial" w:cs="Arial" w:eastAsia="Arial" w:hAnsi="Arial"/>
          <w:b/>
          <w:bCs/>
          <w:color w:val="333333"/>
          <w:sz w:val="22"/>
          <w:szCs w:val="22"/>
        </w:rPr>
        <w:t xml:space="preserve">Taux de NEET 15-19 ans (Martinique)</w:t>
      </w:r>
    </w:p>
    <w:p>
      <w:pPr>
        <w:pBdr>
          <w:left w:val="single" w:color="6A3D9A" w:sz="12" w:space="8"/>
        </w:pBdr>
        <w:spacing w:after="120"/>
        <w:ind w:left="360"/>
        <w:jc w:val="both"/>
      </w:pPr>
      <w:r>
        <w:rPr>
          <w:rFonts w:ascii="Arial" w:cs="Arial" w:eastAsia="Arial" w:hAnsi="Arial"/>
          <w:sz w:val="20"/>
          <w:szCs w:val="20"/>
        </w:rPr>
        <w:t xml:space="preserve">En Martinique, 7,5 % des jeunes de 15 à 19 ans n'étaient ni en emploi, ni en études, ni en formation entre 2015 et 2019, contre 5,7 % au niveau national. Les départements ultramarins concentrent des taux de NEETs supérieurs aux moyennes hexagonales.</w:t>
      </w:r>
    </w:p>
    <w:p>
      <w:pPr>
        <w:spacing w:before="280" w:after="100"/>
      </w:pPr>
      <w:r>
        <w:rPr>
          <w:rFonts w:ascii="Arial" w:cs="Arial" w:eastAsia="Arial" w:hAnsi="Arial"/>
          <w:b/>
          <w:bCs/>
          <w:color w:val="333333"/>
          <w:sz w:val="22"/>
          <w:szCs w:val="22"/>
        </w:rPr>
        <w:t xml:space="preserve">Taux de NEET 15-19 ans (Guadeloupe)</w:t>
      </w:r>
    </w:p>
    <w:p>
      <w:pPr>
        <w:pBdr>
          <w:left w:val="single" w:color="6A3D9A" w:sz="12" w:space="8"/>
        </w:pBdr>
        <w:spacing w:after="120"/>
        <w:ind w:left="360"/>
        <w:jc w:val="both"/>
      </w:pPr>
      <w:r>
        <w:rPr>
          <w:rFonts w:ascii="Arial" w:cs="Arial" w:eastAsia="Arial" w:hAnsi="Arial"/>
          <w:sz w:val="20"/>
          <w:szCs w:val="20"/>
        </w:rPr>
        <w:t xml:space="preserve">En Guadeloupe, 8,3 % des jeunes de 15 à 19 ans n'étaient ni en emploi, ni en études, ni en formation entre 2015 et 2019. Les départements ultramarins concentrent des taux de NEETs supérieurs aux moyennes hexagonales, bien que ces taux aient diminué entre 2015 et 2021.</w:t>
      </w:r>
    </w:p>
    <w:p>
      <w:pPr>
        <w:spacing w:before="280" w:after="100"/>
      </w:pPr>
      <w:r>
        <w:rPr>
          <w:rFonts w:ascii="Arial" w:cs="Arial" w:eastAsia="Arial" w:hAnsi="Arial"/>
          <w:b/>
          <w:bCs/>
          <w:color w:val="333333"/>
          <w:sz w:val="22"/>
          <w:szCs w:val="22"/>
        </w:rPr>
        <w:t xml:space="preserve">Élèves de REP+ sous le niveau attendu</w:t>
      </w:r>
    </w:p>
    <w:p>
      <w:pPr>
        <w:pBdr>
          <w:left w:val="single" w:color="6A3D9A" w:sz="12" w:space="8"/>
        </w:pBdr>
        <w:spacing w:after="120"/>
        <w:ind w:left="360"/>
        <w:jc w:val="both"/>
      </w:pPr>
      <w:r>
        <w:rPr>
          <w:rFonts w:ascii="Arial" w:cs="Arial" w:eastAsia="Arial" w:hAnsi="Arial"/>
          <w:sz w:val="20"/>
          <w:szCs w:val="20"/>
        </w:rPr>
        <w:t xml:space="preserve">Au niveau national, en français, les performances des élèves à la rentrée 2024 sont globalement stables entre 2023 et 2024, supérieures à celles observées à la rentrée 2017, lors de la première évaluation de début de sixième.</w:t>
      </w:r>
    </w:p>
    <w:p>
      <w:pPr>
        <w:pBdr>
          <w:left w:val="single" w:color="6A3D9A" w:sz="12" w:space="8"/>
        </w:pBdr>
        <w:spacing w:after="120"/>
        <w:ind w:left="360"/>
        <w:jc w:val="both"/>
      </w:pPr>
      <w:r>
        <w:rPr>
          <w:rFonts w:ascii="Arial" w:cs="Arial" w:eastAsia="Arial" w:hAnsi="Arial"/>
          <w:sz w:val="20"/>
          <w:szCs w:val="20"/>
        </w:rPr>
        <w:t xml:space="preserve">Entre 2017 et 2024, les résultats des élèves semblent suivre des tendances opposées avant et après 2021, ce qui laisse à présager l'impact de la fermeture d'école sur les apprentissages des élèves. On note une diminution importante de la part des élèves ayant obtenu les résultats les plus faibles entre 2017 et 2021 (13,4% à 8,5%), puis une augmentation à partir de 2021 pour atteindre 11,8% en 2024.</w:t>
      </w:r>
    </w:p>
    <w:p>
      <w:pPr>
        <w:spacing w:before="280" w:after="100"/>
      </w:pPr>
      <w:r>
        <w:rPr>
          <w:rFonts w:ascii="Arial" w:cs="Arial" w:eastAsia="Arial" w:hAnsi="Arial"/>
          <w:b/>
          <w:bCs/>
          <w:color w:val="333333"/>
          <w:sz w:val="22"/>
          <w:szCs w:val="22"/>
        </w:rPr>
        <w:t xml:space="preserve">Part de jeunes en difficultés de lecture</w:t>
      </w:r>
    </w:p>
    <w:p>
      <w:pPr>
        <w:pBdr>
          <w:left w:val="single" w:color="6A3D9A" w:sz="12" w:space="8"/>
        </w:pBdr>
        <w:spacing w:after="120"/>
        <w:ind w:left="360"/>
        <w:jc w:val="both"/>
      </w:pPr>
      <w:r>
        <w:rPr>
          <w:rFonts w:ascii="Arial" w:cs="Arial" w:eastAsia="Arial" w:hAnsi="Arial"/>
          <w:sz w:val="20"/>
          <w:szCs w:val="20"/>
        </w:rPr>
        <w:t xml:space="preserve">En 2024, 13 % des jeunes participants à la Journée défense et citoyenneté (JDC) rencontraient des difficultés dans le domaine de la lecture. 6% peuvent être considérés en situation d'illettrisme et plus d'un jeune sur dix a une maîtrise fragile de la lecture. Le niveau de lecture est plus élevé chez les filles que chez les garçons.</w:t>
      </w:r>
    </w:p>
    <w:p>
      <w:pPr>
        <w:pBdr>
          <w:left w:val="single" w:color="6A3D9A" w:sz="12" w:space="8"/>
        </w:pBdr>
        <w:spacing w:after="120"/>
        <w:ind w:left="360"/>
        <w:jc w:val="both"/>
      </w:pPr>
      <w:r>
        <w:rPr>
          <w:rFonts w:ascii="Arial" w:cs="Arial" w:eastAsia="Arial" w:hAnsi="Arial"/>
          <w:sz w:val="20"/>
          <w:szCs w:val="20"/>
        </w:rPr>
        <w:t xml:space="preserve">Dans les départements et régions d'Outre-mer, en 2024, les difficultés de lecture ont concerné 30 % des jeunes de La Réunion, 32 % en Martinique, 31 % en Guadeloupe, 52 % en Guyane et 58 % à Mayotte — des chiffres sans commune mesure avec la moyenne nationale, et en augmentation sur l'ensemble des collectivités.</w:t>
      </w:r>
    </w:p>
    <w:p>
      <w:pPr>
        <w:spacing w:before="280" w:after="100"/>
      </w:pPr>
      <w:r>
        <w:rPr>
          <w:rFonts w:ascii="Arial" w:cs="Arial" w:eastAsia="Arial" w:hAnsi="Arial"/>
          <w:b/>
          <w:bCs/>
          <w:color w:val="333333"/>
          <w:sz w:val="22"/>
          <w:szCs w:val="22"/>
        </w:rPr>
        <w:t xml:space="preserve">Écart de performance socio-économique (PISA)</w:t>
      </w:r>
    </w:p>
    <w:p>
      <w:pPr>
        <w:pBdr>
          <w:left w:val="single" w:color="6A3D9A" w:sz="12" w:space="8"/>
        </w:pBdr>
        <w:spacing w:after="120"/>
        <w:ind w:left="360"/>
        <w:jc w:val="both"/>
      </w:pPr>
      <w:r>
        <w:rPr>
          <w:rFonts w:ascii="Arial" w:cs="Arial" w:eastAsia="Arial" w:hAnsi="Arial"/>
          <w:sz w:val="20"/>
          <w:szCs w:val="20"/>
        </w:rPr>
        <w:t xml:space="preserve">Environ 8 000 élèves de 15 ans ont participé aux épreuves de l'enquête PISA en 2022 en France. Les performances des élèves en France se situent dans la moyenne des 37 pays de l'OCDE. Toutefois, la France est l'un des pays les plus marqués par les inégalités scolaires parmi les pays de l'OCDE.</w:t>
      </w:r>
    </w:p>
    <w:p>
      <w:pPr>
        <w:pBdr>
          <w:left w:val="single" w:color="6A3D9A" w:sz="12" w:space="8"/>
        </w:pBdr>
        <w:spacing w:after="120"/>
        <w:ind w:left="360"/>
        <w:jc w:val="both"/>
      </w:pPr>
      <w:r>
        <w:rPr>
          <w:rFonts w:ascii="Arial" w:cs="Arial" w:eastAsia="Arial" w:hAnsi="Arial"/>
          <w:sz w:val="20"/>
          <w:szCs w:val="20"/>
        </w:rPr>
        <w:t xml:space="preserve">En France, les élèves issus de milieux socio-économiquement favorisés (les 25 % les plus aisés) ont obtenu des résultats supérieurs de 113 points en mathématiques à ceux des élèves issus de milieux défavorisés (les 25 % les moins aisés). Cet écart est plus important que la différence moyenne observée entre les deux groupes (93 points) dans les pays de l'OCDE.</w:t>
      </w:r>
    </w:p>
    <w:p>
      <w:pPr>
        <w:spacing w:before="280" w:after="100"/>
      </w:pPr>
      <w:r>
        <w:rPr>
          <w:rFonts w:ascii="Arial" w:cs="Arial" w:eastAsia="Arial" w:hAnsi="Arial"/>
          <w:b/>
          <w:bCs/>
          <w:color w:val="333333"/>
          <w:sz w:val="22"/>
          <w:szCs w:val="22"/>
        </w:rPr>
        <w:t xml:space="preserve">Heures d'enseignement annuelles — Collège</w:t>
      </w:r>
    </w:p>
    <w:p>
      <w:pPr>
        <w:pBdr>
          <w:left w:val="single" w:color="6A3D9A" w:sz="12" w:space="8"/>
        </w:pBdr>
        <w:spacing w:after="120"/>
        <w:ind w:left="360"/>
        <w:jc w:val="both"/>
      </w:pPr>
      <w:r>
        <w:rPr>
          <w:rFonts w:ascii="Arial" w:cs="Arial" w:eastAsia="Arial" w:hAnsi="Arial"/>
          <w:sz w:val="20"/>
          <w:szCs w:val="20"/>
        </w:rPr>
        <w:t xml:space="preserve">La France se distingue des autres pays européens par la durée de sa scolarité ou formation obligatoire (15 ans au total, contre 9 par exemple en Croatie, Estonie et Slovénie). Le volume annuel moyen d'heures d'enseignement est lui aussi élevé en France, relativement aux autres pays de l'UE. Les collégiens français disposent de 968 heures de cours par an, contre 872 heures en moyenne en Europe.</w:t>
      </w:r>
    </w:p>
    <w:p>
      <w:pPr>
        <w:spacing w:before="280" w:after="100"/>
      </w:pPr>
      <w:r>
        <w:rPr>
          <w:rFonts w:ascii="Arial" w:cs="Arial" w:eastAsia="Arial" w:hAnsi="Arial"/>
          <w:b/>
          <w:bCs/>
          <w:color w:val="333333"/>
          <w:sz w:val="22"/>
          <w:szCs w:val="22"/>
        </w:rPr>
        <w:t xml:space="preserve">Taille moyenne des classes — Primaire (CITE1)</w:t>
      </w:r>
    </w:p>
    <w:p>
      <w:pPr>
        <w:pBdr>
          <w:left w:val="single" w:color="6A3D9A" w:sz="12" w:space="8"/>
        </w:pBdr>
        <w:spacing w:after="120"/>
        <w:ind w:left="360"/>
        <w:jc w:val="both"/>
      </w:pPr>
      <w:r>
        <w:rPr>
          <w:rFonts w:ascii="Arial" w:cs="Arial" w:eastAsia="Arial" w:hAnsi="Arial"/>
          <w:sz w:val="20"/>
          <w:szCs w:val="20"/>
        </w:rPr>
        <w:t xml:space="preserve">Par rapport aux pays membres de l'UE ou en cours d'adhésion à l'OCDE, la France comporte un nombre d'élèves par classe très élevé. Après la Hongrie, c'est en France que les classes de l'école élémentaire sont les plus chargées (22 élèves par classe en France, contre 19 en moyenne des pays comparés). Au collège, c'est en France que le nombre d'élèves par classe est le plus élevé de l'ensemble des pays comparés (26 élèves en moyenne par classe de collège en France, contre 21 en moyenne des pays comparés).</w:t>
      </w:r>
    </w:p>
    <w:p>
      <w:pPr>
        <w:spacing w:before="280" w:after="100"/>
      </w:pPr>
      <w:r>
        <w:rPr>
          <w:rFonts w:ascii="Arial" w:cs="Arial" w:eastAsia="Arial" w:hAnsi="Arial"/>
          <w:b/>
          <w:bCs/>
          <w:color w:val="333333"/>
          <w:sz w:val="22"/>
          <w:szCs w:val="22"/>
        </w:rPr>
        <w:t xml:space="preserve">Taille moyenne des classes — Collège (CITE2)</w:t>
      </w:r>
    </w:p>
    <w:p>
      <w:pPr>
        <w:pBdr>
          <w:left w:val="single" w:color="6A3D9A" w:sz="12" w:space="8"/>
        </w:pBdr>
        <w:spacing w:after="120"/>
        <w:ind w:left="360"/>
        <w:jc w:val="both"/>
      </w:pPr>
      <w:r>
        <w:rPr>
          <w:rFonts w:ascii="Arial" w:cs="Arial" w:eastAsia="Arial" w:hAnsi="Arial"/>
          <w:sz w:val="20"/>
          <w:szCs w:val="20"/>
        </w:rPr>
        <w:t xml:space="preserve">Par rapport aux pays membres de l'UE ou en cours d'adhésion à l'OCDE, la France comporte un nombre d'élèves par classe très élevé. Après la Hongrie, c'est en France que les classes de l'école élémentaire sont les plus chargées (22 élèves par classe en France, contre 19 en moyenne des pays comparés). Au collège, c'est en France que le nombre d'élèves par classe est le plus élevé de l'ensemble des pays comparés (26 élèves en moyenne par classe de collège en France, contre 21 en moyenne des pays comparés).</w:t>
      </w:r>
    </w:p>
    <w:p>
      <w:pPr>
        <w:spacing w:before="280" w:after="100"/>
      </w:pPr>
      <w:r>
        <w:rPr>
          <w:rFonts w:ascii="Arial" w:cs="Arial" w:eastAsia="Arial" w:hAnsi="Arial"/>
          <w:b/>
          <w:bCs/>
          <w:color w:val="333333"/>
          <w:sz w:val="22"/>
          <w:szCs w:val="22"/>
        </w:rPr>
        <w:t xml:space="preserve">Effectif d'élèves en primaire (CITE1)</w:t>
      </w:r>
    </w:p>
    <w:p>
      <w:pPr>
        <w:pBdr>
          <w:left w:val="single" w:color="6A3D9A" w:sz="12" w:space="8"/>
        </w:pBdr>
        <w:spacing w:after="120"/>
        <w:ind w:left="360"/>
        <w:jc w:val="both"/>
      </w:pPr>
      <w:r>
        <w:rPr>
          <w:rFonts w:ascii="Arial" w:cs="Arial" w:eastAsia="Arial" w:hAnsi="Arial"/>
          <w:sz w:val="20"/>
          <w:szCs w:val="20"/>
        </w:rPr>
        <w:t xml:space="preserve">La France concentre en Europe le plus grand nombre d'élèves scolarisés à l'école élémentaire et au collège (7 671 300 élèves), bien que la population totale française soit inférieure à celle de l'Allemagne. Cette très grande concentration d'élèves en France pose de nombreux défis à l'organisation, au pilotage, au suivi des élèves et au financement de l'école française.</w:t>
      </w:r>
    </w:p>
    <w:p>
      <w:pPr>
        <w:spacing w:before="280" w:after="100"/>
      </w:pPr>
      <w:r>
        <w:rPr>
          <w:rFonts w:ascii="Arial" w:cs="Arial" w:eastAsia="Arial" w:hAnsi="Arial"/>
          <w:b/>
          <w:bCs/>
          <w:color w:val="333333"/>
          <w:sz w:val="22"/>
          <w:szCs w:val="22"/>
        </w:rPr>
        <w:t xml:space="preserve">Effectif d'élèves en collège (CITE2)</w:t>
      </w:r>
    </w:p>
    <w:p>
      <w:pPr>
        <w:pBdr>
          <w:left w:val="single" w:color="6A3D9A" w:sz="12" w:space="8"/>
        </w:pBdr>
        <w:spacing w:after="120"/>
        <w:ind w:left="360"/>
        <w:jc w:val="both"/>
      </w:pPr>
      <w:r>
        <w:rPr>
          <w:rFonts w:ascii="Arial" w:cs="Arial" w:eastAsia="Arial" w:hAnsi="Arial"/>
          <w:sz w:val="20"/>
          <w:szCs w:val="20"/>
        </w:rPr>
        <w:t xml:space="preserve">La France concentre en Europe le plus grand nombre d'élèves scolarisés à l'école élémentaire et au collège (7 671 300 élèves), bien que la population totale française soit inférieure à celle de l'Allemagne. Cette très grande concentration d'élèves en France pose de nombreux défis à l'organisation, au pilotage, au suivi des élèves et au financement de l'école française.</w:t>
      </w:r>
    </w:p>
    <w:p>
      <w:pPr>
        <w:spacing w:before="280" w:after="100"/>
      </w:pPr>
      <w:r>
        <w:rPr>
          <w:rFonts w:ascii="Arial" w:cs="Arial" w:eastAsia="Arial" w:hAnsi="Arial"/>
          <w:b/>
          <w:bCs/>
          <w:color w:val="333333"/>
          <w:sz w:val="22"/>
          <w:szCs w:val="22"/>
        </w:rPr>
        <w:t xml:space="preserve">Élèves avec un Projet Personnalisé de Scolarisation (PPS)</w:t>
      </w:r>
    </w:p>
    <w:p>
      <w:pPr>
        <w:pBdr>
          <w:left w:val="single" w:color="6A3D9A" w:sz="12" w:space="8"/>
        </w:pBdr>
        <w:spacing w:after="120"/>
        <w:ind w:left="360"/>
        <w:jc w:val="both"/>
      </w:pPr>
      <w:r>
        <w:rPr>
          <w:rFonts w:ascii="Arial" w:cs="Arial" w:eastAsia="Arial" w:hAnsi="Arial"/>
          <w:sz w:val="20"/>
          <w:szCs w:val="20"/>
        </w:rPr>
        <w:t xml:space="preserve">La France a pour ambition de bâtir une école plus inclusive. Depuis 2010, un certain nombre de mesures ont été prises par le gouvernement pour avancer vers la scolarisation de tous les élèves en milieu ordinaire. Entre 2006 et 2024, le nombre d'élèves en situation de handicap scolarisé en milieu ordinaire a triplé, avec une progression notable dans le second degré.</w:t>
      </w:r>
    </w:p>
    <w:p>
      <w:pPr>
        <w:pBdr>
          <w:left w:val="single" w:color="6A3D9A" w:sz="12" w:space="8"/>
        </w:pBdr>
        <w:spacing w:after="120"/>
        <w:ind w:left="360"/>
        <w:jc w:val="both"/>
      </w:pPr>
      <w:r>
        <w:rPr>
          <w:rFonts w:ascii="Arial" w:cs="Arial" w:eastAsia="Arial" w:hAnsi="Arial"/>
          <w:sz w:val="20"/>
          <w:szCs w:val="20"/>
        </w:rPr>
        <w:t xml:space="preserve">Pour l'année scolaire 2023-2024, dans le premier degré, 180 668 élèves bénéficiant d'un PPS étaient scolarisés en classe ordinaire en France, et 54 089 bénéficiaient de l'appui d'une Ulis. Malgré les efforts dédiés, les conditions d'accueil des élèves en situation de handicap en milieu ordinaire continuent d'entraver l'accès effectif, la réussite éducative et le bien-être en milieu scolaire de nombre d'entre eux.</w:t>
      </w:r>
    </w:p>
    <w:p>
      <w:pPr>
        <w:pBdr>
          <w:bottom w:val="single" w:color="F5A623" w:sz="6" w:space="4"/>
        </w:pBdr>
        <w:spacing w:before="480" w:after="200"/>
      </w:pPr>
      <w:r>
        <w:rPr>
          <w:rFonts w:ascii="Arial" w:cs="Arial" w:eastAsia="Arial" w:hAnsi="Arial"/>
          <w:b/>
          <w:bCs/>
          <w:color w:val="F5A623"/>
          <w:sz w:val="32"/>
          <w:szCs w:val="32"/>
        </w:rPr>
        <w:t xml:space="preserve">3. Opinion de l'enfant</w:t>
      </w:r>
    </w:p>
    <w:p>
      <w:pPr>
        <w:spacing w:before="280" w:after="100"/>
      </w:pPr>
      <w:r>
        <w:rPr>
          <w:rFonts w:ascii="Arial" w:cs="Arial" w:eastAsia="Arial" w:hAnsi="Arial"/>
          <w:b/>
          <w:bCs/>
          <w:color w:val="333333"/>
          <w:sz w:val="22"/>
          <w:szCs w:val="22"/>
        </w:rPr>
        <w:t xml:space="preserve">Part d'enfants affirmant que leur droit à être entendus et écoutés est respecté</w:t>
      </w:r>
    </w:p>
    <w:p>
      <w:pPr>
        <w:pBdr>
          <w:left w:val="single" w:color="F5A623" w:sz="12" w:space="8"/>
        </w:pBdr>
        <w:spacing w:after="120"/>
        <w:ind w:left="360"/>
        <w:jc w:val="both"/>
      </w:pPr>
      <w:r>
        <w:rPr>
          <w:rFonts w:ascii="Arial" w:cs="Arial" w:eastAsia="Arial" w:hAnsi="Arial"/>
          <w:sz w:val="20"/>
          <w:szCs w:val="20"/>
        </w:rPr>
        <w:t xml:space="preserve">Selon la dernière édition de la Consultation nationale des 6-18 ans mise en place par l'UNICEF France, la majorité des enfants et des adolescents estiment que les adultes de leur famille, de leur école ou de leur ville écoutent et prennent en compte leurs avis, leurs choix et leurs idées. Il faut toutefois nuancer ces données par le contexte dans lequel elles ont été collectées : une partie des réponses sont issues des réseaux UNICEF Villes Amies des enfants, qui s'engagent à des pratiques particulièrement respectueuses de la CIDE.</w:t>
      </w:r>
    </w:p>
    <w:p>
      <w:pPr>
        <w:pBdr>
          <w:left w:val="single" w:color="F5A623" w:sz="12" w:space="8"/>
        </w:pBdr>
        <w:spacing w:after="120"/>
        <w:ind w:left="360"/>
        <w:jc w:val="both"/>
      </w:pPr>
      <w:r>
        <w:rPr>
          <w:rFonts w:ascii="Arial" w:cs="Arial" w:eastAsia="Arial" w:hAnsi="Arial"/>
          <w:sz w:val="20"/>
          <w:szCs w:val="20"/>
        </w:rPr>
        <w:t xml:space="preserve">On observe que plus les adultes sont « éloignés » de l'enfant, moins ces derniers ont le sentiment d'être entendus : 85,6 % des enfants trouvent que les adultes de leur famille considèrent leur opinion, contre 74,6 % à l'école et 57,6 % dans leur ville. Au niveau national, seulement 1 enfant sur 4 (24,7%) estime que les décideurs politiques tiennent compte de l'avis des enfants et des adolescents.</w:t>
      </w:r>
    </w:p>
    <w:p>
      <w:pPr>
        <w:pBdr>
          <w:left w:val="single" w:color="F5A623" w:sz="12" w:space="8"/>
        </w:pBdr>
        <w:spacing w:after="120"/>
        <w:ind w:left="360"/>
        <w:jc w:val="both"/>
      </w:pPr>
      <w:r>
        <w:rPr>
          <w:rFonts w:ascii="Arial" w:cs="Arial" w:eastAsia="Arial" w:hAnsi="Arial"/>
          <w:sz w:val="20"/>
          <w:szCs w:val="20"/>
        </w:rPr>
        <w:t xml:space="preserve">Alors même que les mineurs représentent 1 habitant sur 5 en France, c'est toute une partie de la population qui est exclue de la vie politique. En parallèle, près d'1 enfant sur 2 (42,3 %) indique s'être déjà engagé pour défendre ses idées et opinions.</w:t>
      </w:r>
    </w:p>
    <w:p>
      <w:pPr>
        <w:spacing w:before="280" w:after="100"/>
      </w:pPr>
      <w:r>
        <w:rPr>
          <w:rFonts w:ascii="Arial" w:cs="Arial" w:eastAsia="Arial" w:hAnsi="Arial"/>
          <w:b/>
          <w:bCs/>
          <w:color w:val="333333"/>
          <w:sz w:val="22"/>
          <w:szCs w:val="22"/>
        </w:rPr>
        <w:t xml:space="preserve">Nombre de CME et CMJ</w:t>
      </w:r>
    </w:p>
    <w:p>
      <w:pPr>
        <w:pBdr>
          <w:left w:val="single" w:color="F5A623" w:sz="12" w:space="8"/>
        </w:pBdr>
        <w:spacing w:after="120"/>
        <w:ind w:left="360"/>
        <w:jc w:val="both"/>
      </w:pPr>
      <w:r>
        <w:rPr>
          <w:rFonts w:ascii="Arial" w:cs="Arial" w:eastAsia="Arial" w:hAnsi="Arial"/>
          <w:sz w:val="20"/>
          <w:szCs w:val="20"/>
        </w:rPr>
        <w:t xml:space="preserve">Les conseils d'enfants et de jeunes existent depuis plus de 40 ans, le premier conseil municipal d'enfants ayant été mis en place en 1979 à Schiltigheim (67). Pour autant, il n'existe aujourd'hui aucun recensement officiel de ces instances. Ce manque de données ne permet pas une analyse satisfaisante de ces espaces de démocratie participative, et empêche l'élaboration d'un bilan des actions qu'ils conduisent ou de leur impact sur les politiques publiques.</w:t>
      </w:r>
    </w:p>
    <w:p>
      <w:pPr>
        <w:pBdr>
          <w:left w:val="single" w:color="F5A623" w:sz="12" w:space="8"/>
        </w:pBdr>
        <w:spacing w:after="120"/>
        <w:ind w:left="360"/>
        <w:jc w:val="both"/>
      </w:pPr>
      <w:r>
        <w:rPr>
          <w:rFonts w:ascii="Arial" w:cs="Arial" w:eastAsia="Arial" w:hAnsi="Arial"/>
          <w:sz w:val="20"/>
          <w:szCs w:val="20"/>
        </w:rPr>
        <w:t xml:space="preserve">L'UNICEF France recommande d'effectuer un recensement national des conseils d'enfants et/ou de jeunes mis en place dans les collectivités territoriales. Les enfants et les adolescents devraient être directement associés via leur participation et leur interrogation directe dans les enquêtes, sous réserve de respect du cadre éthique et de l'utilisation d'une méthodologie adaptée au public visé.</w:t>
      </w:r>
    </w:p>
    <w:p>
      <w:pPr>
        <w:spacing w:before="280" w:after="100"/>
      </w:pPr>
      <w:r>
        <w:rPr>
          <w:rFonts w:ascii="Arial" w:cs="Arial" w:eastAsia="Arial" w:hAnsi="Arial"/>
          <w:b/>
          <w:bCs/>
          <w:color w:val="333333"/>
          <w:sz w:val="22"/>
          <w:szCs w:val="22"/>
        </w:rPr>
        <w:t xml:space="preserve">Pourcentages des mineurs (15-17 ans) ayant participé à une manifestation, une grève, signé une pétition dans les 12 derniers mois</w:t>
      </w:r>
    </w:p>
    <w:p>
      <w:pPr>
        <w:pBdr>
          <w:left w:val="single" w:color="F5A623" w:sz="12" w:space="8"/>
        </w:pBdr>
        <w:spacing w:after="120"/>
        <w:ind w:left="360"/>
        <w:jc w:val="both"/>
      </w:pPr>
      <w:r>
        <w:rPr>
          <w:rFonts w:ascii="Arial" w:cs="Arial" w:eastAsia="Arial" w:hAnsi="Arial"/>
          <w:sz w:val="20"/>
          <w:szCs w:val="20"/>
        </w:rPr>
        <w:t xml:space="preserve">Selon les données du Baromètre jeunesse 2024 de l'INJEP, les mineurs âgés de 15 à 17 ans s'engagent de manière significative dans différentes formes de participation politique « non électorale ». La signature de pétitions constitue la forme d'engagement la plus courante, suivie par la participation à des manifestations, puis par les grèves. Ces résultats confirment une tendance : les jeunes s'emparent de formats d'action plus accessibles, moins institutionnels et perçus comme plus immédiatement efficaces.</w:t>
      </w:r>
    </w:p>
    <w:p>
      <w:pPr>
        <w:pBdr>
          <w:left w:val="single" w:color="F5A623" w:sz="12" w:space="8"/>
        </w:pBdr>
        <w:spacing w:after="120"/>
        <w:ind w:left="360"/>
        <w:jc w:val="both"/>
      </w:pPr>
      <w:r>
        <w:rPr>
          <w:rFonts w:ascii="Arial" w:cs="Arial" w:eastAsia="Arial" w:hAnsi="Arial"/>
          <w:sz w:val="20"/>
          <w:szCs w:val="20"/>
        </w:rPr>
        <w:t xml:space="preserve">Ces données doivent être lues en tenant compte de plusieurs limites. Le Baromètre couvre l'ensemble des jeunes de 15 à 30 ans ; les chiffres spécifiques aux 15–17 ans peuvent donc reposer sur un sous-échantillon plus réduit. Par ailleurs, ce type de participation dépend fortement du contexte socio-territorial : les possibilités de participer varient largement selon l'environnement familial, scolaire, associatif et numérique des jeunes.</w:t>
      </w:r>
    </w:p>
    <w:p>
      <w:pPr>
        <w:pBdr>
          <w:left w:val="single" w:color="F5A623" w:sz="12" w:space="8"/>
        </w:pBdr>
        <w:spacing w:after="120"/>
        <w:ind w:left="360"/>
        <w:jc w:val="both"/>
      </w:pPr>
      <w:r>
        <w:rPr>
          <w:rFonts w:ascii="Arial" w:cs="Arial" w:eastAsia="Arial" w:hAnsi="Arial"/>
          <w:sz w:val="20"/>
          <w:szCs w:val="20"/>
        </w:rPr>
        <w:t xml:space="preserve">Cet engagement démontre le besoin de mieux reconnaître et soutenir la participation politique des mineurs, en particulier via des espaces institutionnels adaptés, des dispositifs de participation renforcés dans les territoires, et des pratiques éducatives valorisant l'exercice des droits civiques non électoraux.</w:t>
      </w:r>
    </w:p>
    <w:p>
      <w:pPr>
        <w:spacing w:before="280" w:after="100"/>
      </w:pPr>
      <w:r>
        <w:rPr>
          <w:rFonts w:ascii="Arial" w:cs="Arial" w:eastAsia="Arial" w:hAnsi="Arial"/>
          <w:b/>
          <w:bCs/>
          <w:color w:val="333333"/>
          <w:sz w:val="22"/>
          <w:szCs w:val="22"/>
        </w:rPr>
        <w:t xml:space="preserve">Nombre de Conseils de Vie Sociale (CVS) au sein des structures de protection de l'enfance</w:t>
      </w:r>
    </w:p>
    <w:p>
      <w:pPr>
        <w:pBdr>
          <w:left w:val="single" w:color="F5A623" w:sz="12" w:space="8"/>
        </w:pBdr>
        <w:spacing w:after="120"/>
        <w:ind w:left="360"/>
        <w:jc w:val="both"/>
      </w:pPr>
      <w:r>
        <w:rPr>
          <w:rFonts w:ascii="Arial" w:cs="Arial" w:eastAsia="Arial" w:hAnsi="Arial"/>
          <w:sz w:val="20"/>
          <w:szCs w:val="20"/>
        </w:rPr>
        <w:t xml:space="preserve">Les données manquent pour connaître le nombre exact de CVS au sein des structures de protection de l'enfance. En France, la loi du 2 janvier 2002 rénovant l'action sociale et médico-sociale consacre un droit des usagers à participer à la vie de l'établissement via la création d'un Conseil de vie sociale. Ce conseil est obligatoire pour les établissements accueillant majoritairement des enfants de plus de 11 ans avec hébergement.</w:t>
      </w:r>
    </w:p>
    <w:p>
      <w:pPr>
        <w:pBdr>
          <w:left w:val="single" w:color="F5A623" w:sz="12" w:space="8"/>
        </w:pBdr>
        <w:spacing w:after="120"/>
        <w:ind w:left="360"/>
        <w:jc w:val="both"/>
      </w:pPr>
      <w:r>
        <w:rPr>
          <w:rFonts w:ascii="Arial" w:cs="Arial" w:eastAsia="Arial" w:hAnsi="Arial"/>
          <w:sz w:val="20"/>
          <w:szCs w:val="20"/>
        </w:rPr>
        <w:t xml:space="preserve">Toutefois, cet outil de participation apparaît aujourd'hui encore inégalement mis en œuvre. En 2020, une enquête de l'Ansa auprès de 236 structures indiquait que 42 % d'entre elles n'avaient pas de CVS. Pour autant, 89% des structures ayant répondu à l'enquête déclaraient mettre en place un ou plusieurs espaces de participation collective autres que le CVS.</w:t>
      </w:r>
    </w:p>
    <w:p>
      <w:pPr>
        <w:spacing w:before="280" w:after="100"/>
      </w:pPr>
      <w:r>
        <w:rPr>
          <w:rFonts w:ascii="Arial" w:cs="Arial" w:eastAsia="Arial" w:hAnsi="Arial"/>
          <w:b/>
          <w:bCs/>
          <w:color w:val="333333"/>
          <w:sz w:val="22"/>
          <w:szCs w:val="22"/>
        </w:rPr>
        <w:t xml:space="preserve">Nombre instances nationales (collège des enfants du HCFEA, du CNPE, de la CIVIISE, du CNCPH)</w:t>
      </w:r>
    </w:p>
    <w:p>
      <w:pPr>
        <w:pBdr>
          <w:left w:val="single" w:color="F5A623" w:sz="12" w:space="8"/>
        </w:pBdr>
        <w:spacing w:after="120"/>
        <w:ind w:left="360"/>
        <w:jc w:val="both"/>
      </w:pPr>
      <w:r>
        <w:rPr>
          <w:rFonts w:ascii="Arial" w:cs="Arial" w:eastAsia="Arial" w:hAnsi="Arial"/>
          <w:sz w:val="20"/>
          <w:szCs w:val="20"/>
        </w:rPr>
        <w:t xml:space="preserve">Analyse à compléter.</w:t>
      </w:r>
    </w:p>
    <w:p>
      <w:pPr>
        <w:pBdr>
          <w:bottom w:val="single" w:color="8B0000" w:sz="6" w:space="4"/>
        </w:pBdr>
        <w:spacing w:before="480" w:after="200"/>
      </w:pPr>
      <w:r>
        <w:rPr>
          <w:rFonts w:ascii="Arial" w:cs="Arial" w:eastAsia="Arial" w:hAnsi="Arial"/>
          <w:b/>
          <w:bCs/>
          <w:color w:val="8B0000"/>
          <w:sz w:val="32"/>
          <w:szCs w:val="32"/>
        </w:rPr>
        <w:t xml:space="preserve">4. Pauvreté</w:t>
      </w:r>
    </w:p>
    <w:p>
      <w:pPr>
        <w:spacing w:before="280" w:after="100"/>
      </w:pPr>
      <w:r>
        <w:rPr>
          <w:rFonts w:ascii="Arial" w:cs="Arial" w:eastAsia="Arial" w:hAnsi="Arial"/>
          <w:b/>
          <w:bCs/>
          <w:color w:val="333333"/>
          <w:sz w:val="22"/>
          <w:szCs w:val="22"/>
        </w:rPr>
        <w:t xml:space="preserve">Taux de privation matérielle et sociale par âge et sexe</w:t>
      </w:r>
    </w:p>
    <w:p>
      <w:pPr>
        <w:pBdr>
          <w:left w:val="single" w:color="8B0000" w:sz="12" w:space="8"/>
        </w:pBdr>
        <w:spacing w:after="120"/>
        <w:ind w:left="360"/>
        <w:jc w:val="both"/>
      </w:pPr>
      <w:r>
        <w:rPr>
          <w:rFonts w:ascii="Arial" w:cs="Arial" w:eastAsia="Arial" w:hAnsi="Arial"/>
          <w:sz w:val="20"/>
          <w:szCs w:val="20"/>
        </w:rPr>
        <w:t xml:space="preserve">Les mesures monétaires de la pauvreté ne reflètent pas pleinement les expériences et les conditions de vie des enfants. Il est également nécessaire d'évaluer leur accès aux biens et services qui leur permettent d'exercer leurs droits et favorisent leur bien-être. Au sein de l'Union européenne, l'indicateur de référence est l'indicateur de « privation matérielle et sociale ».</w:t>
      </w:r>
    </w:p>
    <w:p>
      <w:pPr>
        <w:pBdr>
          <w:left w:val="single" w:color="8B0000" w:sz="12" w:space="8"/>
        </w:pBdr>
        <w:spacing w:after="120"/>
        <w:ind w:left="360"/>
        <w:jc w:val="both"/>
      </w:pPr>
      <w:r>
        <w:rPr>
          <w:rFonts w:ascii="Arial" w:cs="Arial" w:eastAsia="Arial" w:hAnsi="Arial"/>
          <w:sz w:val="20"/>
          <w:szCs w:val="20"/>
        </w:rPr>
        <w:t xml:space="preserve">L'indicateur de privation matérielle et sociale rend compte de la proportion d'enfants dans des ménages qui ne disposent pas d'au moins 5 des 13 éléments considérés comme essentiels pour un niveau de vie adéquat dans les pays européens (ex : chauffer son logement, prendre un repas protéiné tous les deux jours, remplacer ses vêtements usés ou participer à des activités de loisirs). En France, 15,9% des enfants vivent dans un ménage en situation de privation matérielle et sociale. Ce taux, supérieur à la moyenne de l'Union européenne, témoigne de l'impact des difficultés économiques rencontrées par les ménages sur les privations quotidiennes des enfants.</w:t>
      </w:r>
    </w:p>
    <w:p>
      <w:pPr>
        <w:spacing w:before="280" w:after="100"/>
      </w:pPr>
      <w:r>
        <w:rPr>
          <w:rFonts w:ascii="Arial" w:cs="Arial" w:eastAsia="Arial" w:hAnsi="Arial"/>
          <w:b/>
          <w:bCs/>
          <w:color w:val="333333"/>
          <w:sz w:val="22"/>
          <w:szCs w:val="22"/>
        </w:rPr>
        <w:t xml:space="preserve">Taux de pauvreté des moins de 18 ans</w:t>
      </w:r>
    </w:p>
    <w:p>
      <w:pPr>
        <w:pBdr>
          <w:left w:val="single" w:color="8B0000" w:sz="12" w:space="8"/>
        </w:pBdr>
        <w:spacing w:after="120"/>
        <w:ind w:left="360"/>
        <w:jc w:val="both"/>
      </w:pPr>
      <w:r>
        <w:rPr>
          <w:rFonts w:ascii="Arial" w:cs="Arial" w:eastAsia="Arial" w:hAnsi="Arial"/>
          <w:sz w:val="20"/>
          <w:szCs w:val="20"/>
        </w:rPr>
        <w:t xml:space="preserve">La pauvreté monétaire reste l'un des indicateurs les plus couramment utilisés. En France, 21,9 % des enfants vivent sous le seuil de pauvreté, soit près de trois millions de mineurs. Il s'agit du taux le plus élevé depuis 1996. En dix ans, la pauvreté infantile a progressé de 2,6 points. Ces données, déjà préoccupantes, le sont d'autant plus dans un contexte socio-économique instable qui laisse entrevoir une possible aggravation de la situation.</w:t>
      </w:r>
    </w:p>
    <w:p>
      <w:pPr>
        <w:pBdr>
          <w:left w:val="single" w:color="8B0000" w:sz="12" w:space="8"/>
        </w:pBdr>
        <w:spacing w:after="120"/>
        <w:ind w:left="360"/>
        <w:jc w:val="both"/>
      </w:pPr>
      <w:r>
        <w:rPr>
          <w:rFonts w:ascii="Arial" w:cs="Arial" w:eastAsia="Arial" w:hAnsi="Arial"/>
          <w:sz w:val="20"/>
          <w:szCs w:val="20"/>
        </w:rPr>
        <w:t xml:space="preserve">De plus, la statistique publique invisibilise certains publics, souvent les plus vulnérables : de nombreuses données ne prennent pas en compte les territoires ultramarins, notamment Mayotte où la pauvreté est exacerbée (8 enfants sur 10 sont pauvres à Mayotte), et ne recensent que les ménages vivant « en logement ordinaire », excluant de fait les enfants sans domicile ou en institution.</w:t>
      </w:r>
    </w:p>
    <w:p>
      <w:pPr>
        <w:spacing w:before="280" w:after="100"/>
      </w:pPr>
      <w:r>
        <w:rPr>
          <w:rFonts w:ascii="Arial" w:cs="Arial" w:eastAsia="Arial" w:hAnsi="Arial"/>
          <w:b/>
          <w:bCs/>
          <w:color w:val="333333"/>
          <w:sz w:val="22"/>
          <w:szCs w:val="22"/>
        </w:rPr>
        <w:t xml:space="preserve">Nombre d'enfants sans abri ou vivant à l'hôtel</w:t>
      </w:r>
    </w:p>
    <w:p>
      <w:pPr>
        <w:pBdr>
          <w:left w:val="single" w:color="8B0000" w:sz="12" w:space="8"/>
        </w:pBdr>
        <w:spacing w:after="120"/>
        <w:ind w:left="360"/>
        <w:jc w:val="both"/>
      </w:pPr>
      <w:r>
        <w:rPr>
          <w:rFonts w:ascii="Arial" w:cs="Arial" w:eastAsia="Arial" w:hAnsi="Arial"/>
          <w:sz w:val="20"/>
          <w:szCs w:val="20"/>
        </w:rPr>
        <w:t xml:space="preserve">Le 7ème baromètre « Enfants à la rue » révèle que le nombre d'enfants en demande non pourvue au 115 ne cesse d'augmenter. Le 18 août 2024, à quelques jours de la rentrée scolaire, 2 159 enfants sont restés sans solution d'hébergement. Leur nombre est en hausse de 6 % par rapport à l'an dernier et de 30 % par rapport à 2022, malgré les engagements pris par les gouvernements successifs de « ne plus avoir aucun enfant à la rue ».</w:t>
      </w:r>
    </w:p>
    <w:p>
      <w:pPr>
        <w:pBdr>
          <w:left w:val="single" w:color="8B0000" w:sz="12" w:space="8"/>
        </w:pBdr>
        <w:spacing w:after="120"/>
        <w:ind w:left="360"/>
        <w:jc w:val="both"/>
      </w:pPr>
      <w:r>
        <w:rPr>
          <w:rFonts w:ascii="Arial" w:cs="Arial" w:eastAsia="Arial" w:hAnsi="Arial"/>
          <w:sz w:val="20"/>
          <w:szCs w:val="20"/>
        </w:rPr>
        <w:t xml:space="preserve">Ces données ne sont pas exhaustives : elles ne permettent pas de comptabiliser les nombreuses familles qui ne parviennent pas à joindre le 115 (57 % des personnes rencontrées lors de la Nuit de la solidarité à Paris en janvier 2025 déclaraient ne pas ou plus appeler le 115), ni les mineurs non accompagnés (MNA) sans abri (1 087 MNA en situation de rue recensés en juin 2025).</w:t>
      </w:r>
    </w:p>
    <w:p>
      <w:pPr>
        <w:pBdr>
          <w:left w:val="single" w:color="8B0000" w:sz="12" w:space="8"/>
        </w:pBdr>
        <w:spacing w:after="120"/>
        <w:ind w:left="360"/>
        <w:jc w:val="both"/>
      </w:pPr>
      <w:r>
        <w:rPr>
          <w:rFonts w:ascii="Arial" w:cs="Arial" w:eastAsia="Arial" w:hAnsi="Arial"/>
          <w:sz w:val="20"/>
          <w:szCs w:val="20"/>
        </w:rPr>
        <w:t xml:space="preserve">Aux enfants sans abri s'ajoutent les milliers d'enfants hébergés à l'hôtel (29 857) : un mode d'hébergement particulièrement inadapté à la vie familiale et aux besoins des enfants (vétusté, manque d'espace, absence de lieu pour cuisiner, instabilité résidentielle). Nous ne disposons pas de données actualisées sur le nombre total d'enfants sans domicile — la dernière enquête de l'INSEE a été publiée en 2012 et la prochaine sera publiée en 2026.</w:t>
      </w:r>
    </w:p>
    <w:p>
      <w:pPr>
        <w:spacing w:before="280" w:after="100"/>
      </w:pPr>
      <w:r>
        <w:rPr>
          <w:rFonts w:ascii="Arial" w:cs="Arial" w:eastAsia="Arial" w:hAnsi="Arial"/>
          <w:b/>
          <w:bCs/>
          <w:color w:val="333333"/>
          <w:sz w:val="22"/>
          <w:szCs w:val="22"/>
        </w:rPr>
        <w:t xml:space="preserve">Taux d'enfants de 0 à 17 ans vivant dans un logement ayant soit des fuites dans la toiture, soit des murs, sols ou fondations humides, soit de la moisissure dans l'encadrement des fenêtres ou au sol</w:t>
      </w:r>
    </w:p>
    <w:p>
      <w:pPr>
        <w:pBdr>
          <w:left w:val="single" w:color="8B0000" w:sz="12" w:space="8"/>
        </w:pBdr>
        <w:spacing w:after="120"/>
        <w:ind w:left="360"/>
        <w:jc w:val="both"/>
      </w:pPr>
      <w:r>
        <w:rPr>
          <w:rFonts w:ascii="Arial" w:cs="Arial" w:eastAsia="Arial" w:hAnsi="Arial"/>
          <w:sz w:val="20"/>
          <w:szCs w:val="20"/>
        </w:rPr>
        <w:t xml:space="preserve">La part d'enfants en situation de mal-logement a augmenté de près de 12 points entre 2012 et 2023. Cette hausse témoigne d'une dégradation croissante des conditions de logement, notamment due à la crise du logement mais aussi à la progression de la pauvreté en France.</w:t>
      </w:r>
    </w:p>
    <w:p>
      <w:pPr>
        <w:pBdr>
          <w:left w:val="single" w:color="8B0000" w:sz="12" w:space="8"/>
        </w:pBdr>
        <w:spacing w:after="120"/>
        <w:ind w:left="360"/>
        <w:jc w:val="both"/>
      </w:pPr>
      <w:r>
        <w:rPr>
          <w:rFonts w:ascii="Arial" w:cs="Arial" w:eastAsia="Arial" w:hAnsi="Arial"/>
          <w:sz w:val="20"/>
          <w:szCs w:val="20"/>
        </w:rPr>
        <w:t xml:space="preserve">D'autres indicateurs vont dans ce sens : 17,7% des enfants de 0 à 17 ans vivent dans un logement surpeuplé, et 11,8% des enfants de 0 à 17 ans vivent dans un ménage ne parvenant pas à maintenir leur logement à une température adéquate.</w:t>
      </w:r>
    </w:p>
    <w:p>
      <w:pPr>
        <w:spacing w:before="280" w:after="100"/>
      </w:pPr>
      <w:r>
        <w:rPr>
          <w:rFonts w:ascii="Arial" w:cs="Arial" w:eastAsia="Arial" w:hAnsi="Arial"/>
          <w:b/>
          <w:bCs/>
          <w:color w:val="333333"/>
          <w:sz w:val="22"/>
          <w:szCs w:val="22"/>
        </w:rPr>
        <w:t xml:space="preserve">Nombre d'enfants sans toit décédés</w:t>
      </w:r>
    </w:p>
    <w:p>
      <w:pPr>
        <w:pBdr>
          <w:left w:val="single" w:color="8B0000" w:sz="12" w:space="8"/>
        </w:pBdr>
        <w:spacing w:after="120"/>
        <w:ind w:left="360"/>
        <w:jc w:val="both"/>
      </w:pPr>
      <w:r>
        <w:rPr>
          <w:rFonts w:ascii="Arial" w:cs="Arial" w:eastAsia="Arial" w:hAnsi="Arial"/>
          <w:sz w:val="20"/>
          <w:szCs w:val="20"/>
        </w:rPr>
        <w:t xml:space="preserve">Selon le recensement annuel du collectif les Morts de la Rue, 38 enfants sans domicile sont décédés en 2024. Le plus jeune avait moins d'une semaine. Ce chiffre accablant démontre que l'absence de domicile représente une atteinte au droit des enfants à la survie et au développement (article 6 de la Convention internationale des droits de l'enfant).</w:t>
      </w:r>
    </w:p>
    <w:p>
      <w:pPr>
        <w:pBdr>
          <w:left w:val="single" w:color="8B0000" w:sz="12" w:space="8"/>
        </w:pBdr>
        <w:spacing w:after="120"/>
        <w:ind w:left="360"/>
        <w:jc w:val="both"/>
      </w:pPr>
      <w:r>
        <w:rPr>
          <w:rFonts w:ascii="Arial" w:cs="Arial" w:eastAsia="Arial" w:hAnsi="Arial"/>
          <w:sz w:val="20"/>
          <w:szCs w:val="20"/>
        </w:rPr>
        <w:t xml:space="preserve">Comme le souligne le rapport « Grandir sans chez-soi » publié par l'UNICEF France et le Samusocial de Paris, l'absence de domicile affecte l'ensemble des environnements dans lesquels évolue l'enfant (familial, scolaire, social) et entrave ainsi l'effectivité de nombreux droits. À travers son recensement, le Collectif les Morts de la Rue alerte sur le fait que le sans-domicilisme constitue une urgence sociale et sanitaire.</w:t>
      </w:r>
    </w:p>
    <w:p>
      <w:pPr>
        <w:pBdr>
          <w:bottom w:val="single" w:color="1F6FEB" w:sz="6" w:space="4"/>
        </w:pBdr>
        <w:spacing w:before="480" w:after="200"/>
      </w:pPr>
      <w:r>
        <w:rPr>
          <w:rFonts w:ascii="Arial" w:cs="Arial" w:eastAsia="Arial" w:hAnsi="Arial"/>
          <w:b/>
          <w:bCs/>
          <w:color w:val="1F6FEB"/>
          <w:sz w:val="32"/>
          <w:szCs w:val="32"/>
        </w:rPr>
        <w:t xml:space="preserve">5. Protection</w:t>
      </w:r>
    </w:p>
    <w:p>
      <w:pPr>
        <w:spacing w:before="280" w:after="100"/>
      </w:pPr>
      <w:r>
        <w:rPr>
          <w:rFonts w:ascii="Arial" w:cs="Arial" w:eastAsia="Arial" w:hAnsi="Arial"/>
          <w:b/>
          <w:bCs/>
          <w:color w:val="333333"/>
          <w:sz w:val="22"/>
          <w:szCs w:val="22"/>
        </w:rPr>
        <w:t xml:space="preserve">Nombre de mineurs décédés de mort violente au sein de la famille en France</w:t>
      </w:r>
    </w:p>
    <w:p>
      <w:pPr>
        <w:pBdr>
          <w:left w:val="single" w:color="1F6FEB" w:sz="12" w:space="8"/>
        </w:pBdr>
        <w:spacing w:after="120"/>
        <w:ind w:left="360"/>
        <w:jc w:val="both"/>
      </w:pPr>
      <w:r>
        <w:rPr>
          <w:rFonts w:ascii="Arial" w:cs="Arial" w:eastAsia="Arial" w:hAnsi="Arial"/>
          <w:sz w:val="20"/>
          <w:szCs w:val="20"/>
        </w:rPr>
        <w:t xml:space="preserve">La protection des enfants contre toute forme de violence est un droit fondamental garanti par la CIDE. D'après les chiffres de l'ONPE, 60 enfants ont été victimes de mort violente au sein de leur famille en 2022, ils étaient 80 en 2018. Ainsi, au moins tous les cinq jours, un enfant décède des suites de mauvais traitements infligés par ses parents ou par un proche.</w:t>
      </w:r>
    </w:p>
    <w:p>
      <w:pPr>
        <w:pBdr>
          <w:left w:val="single" w:color="1F6FEB" w:sz="12" w:space="8"/>
        </w:pBdr>
        <w:spacing w:after="120"/>
        <w:ind w:left="360"/>
        <w:jc w:val="both"/>
      </w:pPr>
      <w:r>
        <w:rPr>
          <w:rFonts w:ascii="Arial" w:cs="Arial" w:eastAsia="Arial" w:hAnsi="Arial"/>
          <w:sz w:val="20"/>
          <w:szCs w:val="20"/>
        </w:rPr>
        <w:t xml:space="preserve">Toutefois, ces chiffres ne sont pas complètement représentatifs de la totalité des enfants ayant trouvé la mort des suites des maltraitances subies car, comme l'indique la CNCDH, aucun recensement précis et centralisé n'est effectué à ce jour. Ce défaut de fiabilité laisse à penser que le nombre de morts violentes d'enfants est plus important dans la réalité.</w:t>
      </w:r>
    </w:p>
    <w:p>
      <w:pPr>
        <w:spacing w:before="280" w:after="100"/>
      </w:pPr>
      <w:r>
        <w:rPr>
          <w:rFonts w:ascii="Arial" w:cs="Arial" w:eastAsia="Arial" w:hAnsi="Arial"/>
          <w:b/>
          <w:bCs/>
          <w:color w:val="333333"/>
          <w:sz w:val="22"/>
          <w:szCs w:val="22"/>
        </w:rPr>
        <w:t xml:space="preserve">Nombre d'enfants suivis par l'Aide sociale à l'enfance (ASE)</w:t>
      </w:r>
    </w:p>
    <w:p>
      <w:pPr>
        <w:pBdr>
          <w:left w:val="single" w:color="1F6FEB" w:sz="12" w:space="8"/>
        </w:pBdr>
        <w:spacing w:after="120"/>
        <w:ind w:left="360"/>
        <w:jc w:val="both"/>
      </w:pPr>
      <w:r>
        <w:rPr>
          <w:rFonts w:ascii="Arial" w:cs="Arial" w:eastAsia="Arial" w:hAnsi="Arial"/>
          <w:sz w:val="20"/>
          <w:szCs w:val="20"/>
        </w:rPr>
        <w:t xml:space="preserve">Selon la DREES, 272 926 enfants étaient suivis par l'ASE en 2000, et au 31 décembre 2023, 384 900 mineurs et jeunes majeurs bénéficient au total de 396 900 mesures d'ASE. Depuis plusieurs années, les besoins en protection de l'enfance augmentent donc de manière significative. La DREES relève une hausse annuelle moyenne de 1,4 % du nombre d'enfants confiés à l'ASE depuis vingt ans, alors que les ressources départementales diminuent en raison de la crise immobilière, de l'inflation, et des coûts supplémentaires liés aux revalorisations salariales dans l'action sociale.</w:t>
      </w:r>
    </w:p>
    <w:p>
      <w:pPr>
        <w:pBdr>
          <w:left w:val="single" w:color="1F6FEB" w:sz="12" w:space="8"/>
        </w:pBdr>
        <w:spacing w:after="120"/>
        <w:ind w:left="360"/>
        <w:jc w:val="both"/>
      </w:pPr>
      <w:r>
        <w:rPr>
          <w:rFonts w:ascii="Arial" w:cs="Arial" w:eastAsia="Arial" w:hAnsi="Arial"/>
          <w:sz w:val="20"/>
          <w:szCs w:val="20"/>
        </w:rPr>
        <w:t xml:space="preserve">Il en résulte que de nombreux enfants ayant fait l'objet d'une mesure de protection par le juge demeurent en attente d'une action des services ASE ou d'un placement, entraînant une inexécution des mesures en assistance éducative. Ces mesures non exécutées et les délais d'exécution ne sont, à ce jour, aucunement recensés par des données statistiques globales et fiables sur l'ensemble du territoire.</w:t>
      </w:r>
    </w:p>
    <w:p>
      <w:pPr>
        <w:spacing w:before="280" w:after="100"/>
      </w:pPr>
      <w:r>
        <w:rPr>
          <w:rFonts w:ascii="Arial" w:cs="Arial" w:eastAsia="Arial" w:hAnsi="Arial"/>
          <w:b/>
          <w:bCs/>
          <w:color w:val="333333"/>
          <w:sz w:val="22"/>
          <w:szCs w:val="22"/>
        </w:rPr>
        <w:t xml:space="preserve">Nombre et part d'enfants suivis par la Protection judiciaire de la jeunesse (PJJ)</w:t>
      </w:r>
    </w:p>
    <w:p>
      <w:pPr>
        <w:pBdr>
          <w:left w:val="single" w:color="1F6FEB" w:sz="12" w:space="8"/>
        </w:pBdr>
        <w:spacing w:after="120"/>
        <w:ind w:left="360"/>
        <w:jc w:val="both"/>
      </w:pPr>
      <w:r>
        <w:rPr>
          <w:rFonts w:ascii="Arial" w:cs="Arial" w:eastAsia="Arial" w:hAnsi="Arial"/>
          <w:sz w:val="20"/>
          <w:szCs w:val="20"/>
        </w:rPr>
        <w:t xml:space="preserve">Les chiffres de la Direction de la Protection judiciaire de la jeunesse (DPJJ) révèlent qu'il y a eu peu d'augmentation du nombre d'enfants pris en charge entre 2014 et 2023. Dans le cadre pénal, la PJJ a pour objectifs d'éviter la récidive, de protéger et d'éduquer un enfant ayant commis des infractions, en l'accompagnant dans sa réinsertion.</w:t>
      </w:r>
    </w:p>
    <w:p>
      <w:pPr>
        <w:pBdr>
          <w:left w:val="single" w:color="1F6FEB" w:sz="12" w:space="8"/>
        </w:pBdr>
        <w:spacing w:after="120"/>
        <w:ind w:left="360"/>
        <w:jc w:val="both"/>
      </w:pPr>
      <w:r>
        <w:rPr>
          <w:rFonts w:ascii="Arial" w:cs="Arial" w:eastAsia="Arial" w:hAnsi="Arial"/>
          <w:sz w:val="20"/>
          <w:szCs w:val="20"/>
        </w:rPr>
        <w:t xml:space="preserve">L'UNICEF France rappelle que, selon les chiffres de l'ONPE, environ la moitié des mineurs pris en charge pénalement ont également fait l'objet d'un suivi au titre de l'enfance en danger. Si ces chiffres ne doivent pas stigmatiser les enfants pris en charge par l'ASE, ils soulignent la nécessité de renforcer la détection et la protection des enfants contre toute forme de maltraitance comme un axe de travail significatif.</w:t>
      </w:r>
    </w:p>
    <w:p>
      <w:pPr>
        <w:spacing w:before="280" w:after="100"/>
      </w:pPr>
      <w:r>
        <w:rPr>
          <w:rFonts w:ascii="Arial" w:cs="Arial" w:eastAsia="Arial" w:hAnsi="Arial"/>
          <w:b/>
          <w:bCs/>
          <w:color w:val="333333"/>
          <w:sz w:val="22"/>
          <w:szCs w:val="22"/>
        </w:rPr>
        <w:t xml:space="preserve">Nombre d'enfants concernés par une situation de danger ou en risque de l'être, faisant l'objet d'un appel au 119</w:t>
      </w:r>
    </w:p>
    <w:p>
      <w:pPr>
        <w:pBdr>
          <w:left w:val="single" w:color="1F6FEB" w:sz="12" w:space="8"/>
        </w:pBdr>
        <w:spacing w:after="120"/>
        <w:ind w:left="360"/>
        <w:jc w:val="both"/>
      </w:pPr>
      <w:r>
        <w:rPr>
          <w:rFonts w:ascii="Arial" w:cs="Arial" w:eastAsia="Arial" w:hAnsi="Arial"/>
          <w:sz w:val="20"/>
          <w:szCs w:val="20"/>
        </w:rPr>
        <w:t xml:space="preserve">Le 119, numéro d'appel du Service national d'accueil téléphonique de l'enfance en danger (SNATED), relève qu'en 2024, 40 709 sollicitations ont été traitées. Un total de 49 363 enfants en danger ou en risque de l'être ont été évoqués, en hausse de 13% par rapport à 2023. Parmi les 94% des enfants pour lesquels le sexe est connu, 53% sont des filles.</w:t>
      </w:r>
    </w:p>
    <w:p>
      <w:pPr>
        <w:pBdr>
          <w:left w:val="single" w:color="1F6FEB" w:sz="12" w:space="8"/>
        </w:pBdr>
        <w:spacing w:after="120"/>
        <w:ind w:left="360"/>
        <w:jc w:val="both"/>
      </w:pPr>
      <w:r>
        <w:rPr>
          <w:rFonts w:ascii="Arial" w:cs="Arial" w:eastAsia="Arial" w:hAnsi="Arial"/>
          <w:sz w:val="20"/>
          <w:szCs w:val="20"/>
        </w:rPr>
        <w:t xml:space="preserve">Ces chiffres sont à mettre en parallèle avec la méconnaissance persistante du numéro 119 : selon la Consultation nationale des 6-18 ans 2024 de l'UNICEF France, 43,1% des participants ne connaissent pas ce numéro ou à quoi il sert. Par ailleurs, 45,1% des appels reçoivent une invitation à rappeler lorsque le plateau d'écoute est saturé, soulignant la difficulté du 119 à répondre à la totalité des demandes.</w:t>
      </w:r>
    </w:p>
    <w:p>
      <w:pPr>
        <w:spacing w:before="280" w:after="100"/>
      </w:pPr>
      <w:r>
        <w:rPr>
          <w:rFonts w:ascii="Arial" w:cs="Arial" w:eastAsia="Arial" w:hAnsi="Arial"/>
          <w:b/>
          <w:bCs/>
          <w:color w:val="333333"/>
          <w:sz w:val="22"/>
          <w:szCs w:val="22"/>
        </w:rPr>
        <w:t xml:space="preserve">Nombre d'enfants victimes de violences physiques (dont violences intrafamiliales)</w:t>
      </w:r>
    </w:p>
    <w:p>
      <w:pPr>
        <w:pBdr>
          <w:left w:val="single" w:color="1F6FEB" w:sz="12" w:space="8"/>
        </w:pBdr>
        <w:spacing w:after="120"/>
        <w:ind w:left="360"/>
        <w:jc w:val="both"/>
      </w:pPr>
      <w:r>
        <w:rPr>
          <w:rFonts w:ascii="Arial" w:cs="Arial" w:eastAsia="Arial" w:hAnsi="Arial"/>
          <w:sz w:val="20"/>
          <w:szCs w:val="20"/>
        </w:rPr>
        <w:t xml:space="preserve">D'après les chiffres du ministère de l'Intérieur, le nombre de victimes mineures de violence physique a largement augmenté ces dernières années. L'année 2024 a de nouveau été marquée par une hausse importante par rapport à 2023 et on dépasse désormais les 100 000 mineurs victimes de violences physiques, majoritairement dans le cadre intrafamilial (55%). Ces violences peuvent être commises par des adultes et des enfants.</w:t>
      </w:r>
    </w:p>
    <w:p>
      <w:pPr>
        <w:spacing w:before="280" w:after="100"/>
      </w:pPr>
      <w:r>
        <w:rPr>
          <w:rFonts w:ascii="Arial" w:cs="Arial" w:eastAsia="Arial" w:hAnsi="Arial"/>
          <w:b/>
          <w:bCs/>
          <w:color w:val="333333"/>
          <w:sz w:val="22"/>
          <w:szCs w:val="22"/>
        </w:rPr>
        <w:t xml:space="preserve">Nombre d'enfants victimes de violences sexuelles (dont violences intrafamiliales)</w:t>
      </w:r>
    </w:p>
    <w:p>
      <w:pPr>
        <w:pBdr>
          <w:left w:val="single" w:color="1F6FEB" w:sz="12" w:space="8"/>
        </w:pBdr>
        <w:spacing w:after="120"/>
        <w:ind w:left="360"/>
        <w:jc w:val="both"/>
      </w:pPr>
      <w:r>
        <w:rPr>
          <w:rFonts w:ascii="Arial" w:cs="Arial" w:eastAsia="Arial" w:hAnsi="Arial"/>
          <w:sz w:val="20"/>
          <w:szCs w:val="20"/>
        </w:rPr>
        <w:t xml:space="preserve">Les violences sexuelles commises à l'égard des enfants augmentent significativement : en 2016, le ministère relevait 29 727 victimes, 28 % étant intrafamiliales. Ce chiffre a plus que doublé pour atteindre 71 085 (dont 21 704 enfants dans le cadre intrafamilial). Cette augmentation révèle une libération de la parole et une meilleure prise en compte de la parole des enfants victimes.</w:t>
      </w:r>
    </w:p>
    <w:p>
      <w:pPr>
        <w:pBdr>
          <w:left w:val="single" w:color="1F6FEB" w:sz="12" w:space="8"/>
        </w:pBdr>
        <w:spacing w:after="120"/>
        <w:ind w:left="360"/>
        <w:jc w:val="both"/>
      </w:pPr>
      <w:r>
        <w:rPr>
          <w:rFonts w:ascii="Arial" w:cs="Arial" w:eastAsia="Arial" w:hAnsi="Arial"/>
          <w:sz w:val="20"/>
          <w:szCs w:val="20"/>
        </w:rPr>
        <w:t xml:space="preserve">Toutefois, ces chiffres restent bien en dessous de la réalité. La CIIVISE relève chaque année 160 000 enfants victimes de violences sexuelles, soit un enfant victime d'inceste, de viol ou d'agression sexuelle toutes les trois minutes.</w:t>
      </w:r>
    </w:p>
    <w:p>
      <w:pPr>
        <w:spacing w:before="280" w:after="100"/>
      </w:pPr>
      <w:r>
        <w:rPr>
          <w:rFonts w:ascii="Arial" w:cs="Arial" w:eastAsia="Arial" w:hAnsi="Arial"/>
          <w:b/>
          <w:bCs/>
          <w:color w:val="333333"/>
          <w:sz w:val="22"/>
          <w:szCs w:val="22"/>
        </w:rPr>
        <w:t xml:space="preserve">Pourcentage de parents déclarant avoir eu recours à au moins une violence éducative ordinaire (en %)</w:t>
      </w:r>
    </w:p>
    <w:p>
      <w:pPr>
        <w:pBdr>
          <w:left w:val="single" w:color="1F6FEB" w:sz="12" w:space="8"/>
        </w:pBdr>
        <w:spacing w:after="120"/>
        <w:ind w:left="360"/>
        <w:jc w:val="both"/>
      </w:pPr>
      <w:r>
        <w:rPr>
          <w:rFonts w:ascii="Arial" w:cs="Arial" w:eastAsia="Arial" w:hAnsi="Arial"/>
          <w:sz w:val="20"/>
          <w:szCs w:val="20"/>
        </w:rPr>
        <w:t xml:space="preserve">La notoriété des violences éducatives ordinaires (VEO) continue de progresser dans la population : près de 8 Français sur 10 déclarent aujourd'hui savoir ce que recouvre cette notion (79%), soit une augmentation de 7 points par rapport à 2022. Ce progrès dans l'identification des VEO contraste toutefois avec la persistance, voire l'augmentation, de leur mise en œuvre au sein des familles.</w:t>
      </w:r>
    </w:p>
    <w:p>
      <w:pPr>
        <w:pBdr>
          <w:left w:val="single" w:color="1F6FEB" w:sz="12" w:space="8"/>
        </w:pBdr>
        <w:spacing w:after="120"/>
        <w:ind w:left="360"/>
        <w:jc w:val="both"/>
      </w:pPr>
      <w:r>
        <w:rPr>
          <w:rFonts w:ascii="Arial" w:cs="Arial" w:eastAsia="Arial" w:hAnsi="Arial"/>
          <w:sz w:val="20"/>
          <w:szCs w:val="20"/>
        </w:rPr>
        <w:t xml:space="preserve">Ainsi, 81% des parents déclarent avoir eu recours à au moins une violence éducative ordinaire au cours de la semaine précédant l'enquête, soit une hausse de 2 points. Les pratiques physiques restent présentes : 24% des parents reconnaissent avoir donné une fessée et 16% une gifle au cours des sept derniers jours. Ces résultats soulignent la nécessité de renforcer les actions de prévention, de sensibilisation et d'accompagnement des parents.</w:t>
      </w:r>
    </w:p>
    <w:p>
      <w:pPr>
        <w:spacing w:before="280" w:after="100"/>
      </w:pPr>
      <w:r>
        <w:rPr>
          <w:rFonts w:ascii="Arial" w:cs="Arial" w:eastAsia="Arial" w:hAnsi="Arial"/>
          <w:b/>
          <w:bCs/>
          <w:color w:val="333333"/>
          <w:sz w:val="22"/>
          <w:szCs w:val="22"/>
        </w:rPr>
        <w:t xml:space="preserve">Nombre d'enfants victimes d'exploitation à des fins d'activités criminelles</w:t>
      </w:r>
    </w:p>
    <w:p>
      <w:pPr>
        <w:pBdr>
          <w:left w:val="single" w:color="1F6FEB" w:sz="12" w:space="8"/>
        </w:pBdr>
        <w:spacing w:after="120"/>
        <w:ind w:left="360"/>
        <w:jc w:val="both"/>
      </w:pPr>
      <w:r>
        <w:rPr>
          <w:rFonts w:ascii="Arial" w:cs="Arial" w:eastAsia="Arial" w:hAnsi="Arial"/>
          <w:sz w:val="20"/>
          <w:szCs w:val="20"/>
        </w:rPr>
        <w:t xml:space="preserve">Environ 499 enfants ont été identifiés en 2023 comme victimes d'exploitation à des fins d'activités criminelles sur le territoire national — des situations dans lesquelles des mineurs sont poussés ou contraints par des adultes ou des réseaux criminels à commettre des actes illégaux (vol, trafic de stupéfiants, etc.), dans un contexte de vulnérabilité et d'emprise. Cet ordre de grandeur est vraisemblablement sous-estimé.</w:t>
      </w:r>
    </w:p>
    <w:p>
      <w:pPr>
        <w:pBdr>
          <w:left w:val="single" w:color="1F6FEB" w:sz="12" w:space="8"/>
        </w:pBdr>
        <w:spacing w:after="120"/>
        <w:ind w:left="360"/>
        <w:jc w:val="both"/>
      </w:pPr>
      <w:r>
        <w:rPr>
          <w:rFonts w:ascii="Arial" w:cs="Arial" w:eastAsia="Arial" w:hAnsi="Arial"/>
          <w:sz w:val="20"/>
          <w:szCs w:val="20"/>
        </w:rPr>
        <w:t xml:space="preserve">Les dispositifs de repérage sont jugés insuffisants en France : les enfants exploités sont souvent identifiés dans le cadre de procédures pénales plutôt que comme victimes de traite, ce qui empêche leur reconnaissance et prise en charge adéquate. Les mineurs non accompagnés représentent une part importante des victimes repérées. Cet indicateur met en évidence un phénomène structurel qui dépasse la simple délinquance juvénile : ces enfants ne commettent pas des actes criminels par choix mais sous contrainte ou dépendance.</w:t>
      </w:r>
    </w:p>
    <w:p>
      <w:pPr>
        <w:pBdr>
          <w:bottom w:val="single" w:color="4A90D9" w:sz="6" w:space="4"/>
        </w:pBdr>
        <w:spacing w:before="480" w:after="200"/>
      </w:pPr>
      <w:r>
        <w:rPr>
          <w:rFonts w:ascii="Arial" w:cs="Arial" w:eastAsia="Arial" w:hAnsi="Arial"/>
          <w:b/>
          <w:bCs/>
          <w:color w:val="4A90D9"/>
          <w:sz w:val="32"/>
          <w:szCs w:val="32"/>
        </w:rPr>
        <w:t xml:space="preserve">6. Migration</w:t>
      </w:r>
    </w:p>
    <w:p>
      <w:pPr>
        <w:spacing w:before="280" w:after="100"/>
      </w:pPr>
      <w:r>
        <w:rPr>
          <w:rFonts w:ascii="Arial" w:cs="Arial" w:eastAsia="Arial" w:hAnsi="Arial"/>
          <w:b/>
          <w:bCs/>
          <w:color w:val="333333"/>
          <w:sz w:val="22"/>
          <w:szCs w:val="22"/>
        </w:rPr>
        <w:t xml:space="preserve">Nombre de demandeurs d'asile considérés comme mineurs non accompagnés par nationalité, âge et sexe</w:t>
      </w:r>
    </w:p>
    <w:p>
      <w:pPr>
        <w:pBdr>
          <w:left w:val="single" w:color="4A90D9" w:sz="12" w:space="8"/>
        </w:pBdr>
        <w:spacing w:after="120"/>
        <w:ind w:left="360"/>
        <w:jc w:val="both"/>
      </w:pPr>
      <w:r>
        <w:rPr>
          <w:rFonts w:ascii="Arial" w:cs="Arial" w:eastAsia="Arial" w:hAnsi="Arial"/>
          <w:sz w:val="20"/>
          <w:szCs w:val="20"/>
        </w:rPr>
        <w:t xml:space="preserve">La demande d'asile des mineurs non accompagnés diminue légèrement entre 2023 et 2024. En 2024, 1 027 mineurs non accompagnés ont demandé une protection internationale en France. Ce chiffre est particulièrement faible si on le compare au nombre total de MNA pris en charge en France (31 100 en 2023 selon l'ODAS). Le taux des protections octroyées par l'OFPRA aux MNA est en revanche relativement élevé et en forte hausse : de 33,3% en 2013 à 80,1% en 2024.</w:t>
      </w:r>
    </w:p>
    <w:p>
      <w:pPr>
        <w:pBdr>
          <w:left w:val="single" w:color="4A90D9" w:sz="12" w:space="8"/>
        </w:pBdr>
        <w:spacing w:after="120"/>
        <w:ind w:left="360"/>
        <w:jc w:val="both"/>
      </w:pPr>
      <w:r>
        <w:rPr>
          <w:rFonts w:ascii="Arial" w:cs="Arial" w:eastAsia="Arial" w:hAnsi="Arial"/>
          <w:sz w:val="20"/>
          <w:szCs w:val="20"/>
        </w:rPr>
        <w:t xml:space="preserve">Trois facteurs principaux expliquent l'écart entre MNA pris en charge et MNA demandeurs d'asile : une absence de formation du personnel éducatif, des conditions de premier accueil peu propices au repérage et à l'accompagnement, et des obstacles structurels au sein des services de premier accueil. L'UNICEF appelle à lever ces obstacles pour que l'ensemble des MNA qui remplissent les conditions puissent bénéficier d'une protection internationale.</w:t>
      </w:r>
    </w:p>
    <w:p>
      <w:pPr>
        <w:spacing w:before="280" w:after="100"/>
      </w:pPr>
      <w:r>
        <w:rPr>
          <w:rFonts w:ascii="Arial" w:cs="Arial" w:eastAsia="Arial" w:hAnsi="Arial"/>
          <w:b/>
          <w:bCs/>
          <w:color w:val="333333"/>
          <w:sz w:val="22"/>
          <w:szCs w:val="22"/>
        </w:rPr>
        <w:t xml:space="preserve">Nombre de MNA pris en charge par l'Aide sociale à l'enfance</w:t>
      </w:r>
    </w:p>
    <w:p>
      <w:pPr>
        <w:pBdr>
          <w:left w:val="single" w:color="4A90D9" w:sz="12" w:space="8"/>
        </w:pBdr>
        <w:spacing w:after="120"/>
        <w:ind w:left="360"/>
        <w:jc w:val="both"/>
      </w:pPr>
      <w:r>
        <w:rPr>
          <w:rFonts w:ascii="Arial" w:cs="Arial" w:eastAsia="Arial" w:hAnsi="Arial"/>
          <w:sz w:val="20"/>
          <w:szCs w:val="20"/>
        </w:rPr>
        <w:t xml:space="preserve">Contrairement à certaines idées reçues, le nombre de mineurs non accompagnés confiés sur décision judiciaire aux conseils départementaux est relativement stable depuis 5 ans, voire en diminution : il s'élève à 13 554 en 2024 (par rapport à 19 370 en 2023). S'agissant du nombre total de MNA accueillis au 31/12 par les départements, la dernière donnée disponible date de 2023 et s'élève à 31 100, ce qui ne représente qu'une part relative du nombre total de mineurs accueillis en protection de l'enfance (181 100 au 31 décembre 2023).</w:t>
      </w:r>
    </w:p>
    <w:p>
      <w:pPr>
        <w:pBdr>
          <w:left w:val="single" w:color="4A90D9" w:sz="12" w:space="8"/>
        </w:pBdr>
        <w:spacing w:after="120"/>
        <w:ind w:left="360"/>
        <w:jc w:val="both"/>
      </w:pPr>
      <w:r>
        <w:rPr>
          <w:rFonts w:ascii="Arial" w:cs="Arial" w:eastAsia="Arial" w:hAnsi="Arial"/>
          <w:sz w:val="20"/>
          <w:szCs w:val="20"/>
        </w:rPr>
        <w:t xml:space="preserve">La mise en place depuis 2013 d'un mécanisme national de répartition des jeunes confiés à l'ASE permet de recueillir ces statistiques. Ce n'est que depuis 2017 que les données recueillies par la DPJJ sont complètes et mises à jour régulièrement. Selon la Cour des comptes, une marge d'imprécision demeure cependant puisque certains juges des enfants saisis directement par les jeunes ne sollicitent pas le dispositif de répartition du ministère de la Justice.</w:t>
      </w:r>
    </w:p>
    <w:p>
      <w:pPr>
        <w:spacing w:before="280" w:after="100"/>
      </w:pPr>
      <w:r>
        <w:rPr>
          <w:rFonts w:ascii="Arial" w:cs="Arial" w:eastAsia="Arial" w:hAnsi="Arial"/>
          <w:b/>
          <w:bCs/>
          <w:color w:val="333333"/>
          <w:sz w:val="22"/>
          <w:szCs w:val="22"/>
        </w:rPr>
        <w:t xml:space="preserve">Nombre de mineurs enfermés en rétention administrative à Mayotte</w:t>
      </w:r>
    </w:p>
    <w:p>
      <w:pPr>
        <w:pBdr>
          <w:left w:val="single" w:color="4A90D9" w:sz="12" w:space="8"/>
        </w:pBdr>
        <w:spacing w:after="120"/>
        <w:ind w:left="360"/>
        <w:jc w:val="both"/>
      </w:pPr>
      <w:r>
        <w:rPr>
          <w:rFonts w:ascii="Arial" w:cs="Arial" w:eastAsia="Arial" w:hAnsi="Arial"/>
          <w:sz w:val="20"/>
          <w:szCs w:val="20"/>
        </w:rPr>
        <w:t xml:space="preserve">La rétention administrative des enfants est contraire au droit international. La Cour européenne des droits de l'Homme a condamné la France à neuf occasions, estimant que la privation de liberté de mineurs étrangers correspondait à un « traitement inhumain et dégradant ». Le Comité des droits de l'enfant des Nations unies a demandé aux États d'éradiquer cette pratique.</w:t>
      </w:r>
    </w:p>
    <w:p>
      <w:pPr>
        <w:pBdr>
          <w:left w:val="single" w:color="4A90D9" w:sz="12" w:space="8"/>
        </w:pBdr>
        <w:spacing w:after="120"/>
        <w:ind w:left="360"/>
        <w:jc w:val="both"/>
      </w:pPr>
      <w:r>
        <w:rPr>
          <w:rFonts w:ascii="Arial" w:cs="Arial" w:eastAsia="Arial" w:hAnsi="Arial"/>
          <w:sz w:val="20"/>
          <w:szCs w:val="20"/>
        </w:rPr>
        <w:t xml:space="preserve">Après une large campagne de mobilisation portée par l'UNICEF France et d'autres organisations, le législateur a interdit la rétention administrative des enfants dans l'Hexagone le 25 janvier 2024. En revanche, la pratique demeure à Mayotte où 1 860 enfants ont été enfermés en 2024. La loi de refondation de Mayotte a créé en 2025 des « unités familiales » qui constitueront de nouveaux lieux d'enfermement. L'enfermement aux frontières au sein des zones d'attente reste également largement pratiqué.</w:t>
      </w:r>
    </w:p>
    <w:p>
      <w:pPr>
        <w:spacing w:before="280" w:after="100"/>
      </w:pPr>
      <w:r>
        <w:rPr>
          <w:rFonts w:ascii="Arial" w:cs="Arial" w:eastAsia="Arial" w:hAnsi="Arial"/>
          <w:b/>
          <w:bCs/>
          <w:color w:val="333333"/>
          <w:sz w:val="22"/>
          <w:szCs w:val="22"/>
        </w:rPr>
        <w:t xml:space="preserve">Nombre de mineurs enfermés en rétention administrative en Hexagone</w:t>
      </w:r>
    </w:p>
    <w:p>
      <w:pPr>
        <w:pBdr>
          <w:left w:val="single" w:color="4A90D9" w:sz="12" w:space="8"/>
        </w:pBdr>
        <w:spacing w:after="120"/>
        <w:ind w:left="360"/>
        <w:jc w:val="both"/>
      </w:pPr>
      <w:r>
        <w:rPr>
          <w:rFonts w:ascii="Arial" w:cs="Arial" w:eastAsia="Arial" w:hAnsi="Arial"/>
          <w:sz w:val="20"/>
          <w:szCs w:val="20"/>
        </w:rPr>
        <w:t xml:space="preserve">Suite à la loi du 25 janvier 2024 interdisant la rétention administrative des enfants dans l'Hexagone, le nombre de mineurs enfermés en rétention y est tombé à 6 en 2024, contre 291 en 2019. Cette avancée législative majeure, obtenue après une large campagne de mobilisation portée par l'UNICEF France, marque une étape importante dans la protection des droits des enfants migrants.</w:t>
      </w:r>
    </w:p>
    <w:p>
      <w:pPr>
        <w:pBdr>
          <w:left w:val="single" w:color="4A90D9" w:sz="12" w:space="8"/>
        </w:pBdr>
        <w:spacing w:after="120"/>
        <w:ind w:left="360"/>
        <w:jc w:val="both"/>
      </w:pPr>
      <w:r>
        <w:rPr>
          <w:rFonts w:ascii="Arial" w:cs="Arial" w:eastAsia="Arial" w:hAnsi="Arial"/>
          <w:sz w:val="20"/>
          <w:szCs w:val="20"/>
        </w:rPr>
        <w:t xml:space="preserve">Cependant, l'enfermement aux frontières au sein des zones d'attente reste largement pratiqué et concerne plusieurs centaines d'enfants accompagnés ou non accompagnés chaque année. La pratique demeure également à Mayotte, où 1 860 enfants ont été enfermés en 2024.</w:t>
      </w:r>
    </w:p>
    <w:p>
      <w:pPr>
        <w:pBdr>
          <w:bottom w:val="single" w:color="E05C00" w:sz="6" w:space="4"/>
        </w:pBdr>
        <w:spacing w:before="480" w:after="200"/>
      </w:pPr>
      <w:r>
        <w:rPr>
          <w:rFonts w:ascii="Arial" w:cs="Arial" w:eastAsia="Arial" w:hAnsi="Arial"/>
          <w:b/>
          <w:bCs/>
          <w:color w:val="E05C00"/>
          <w:sz w:val="32"/>
          <w:szCs w:val="32"/>
        </w:rPr>
        <w:t xml:space="preserve">7. Santé</w:t>
      </w:r>
    </w:p>
    <w:p>
      <w:pPr>
        <w:spacing w:before="280" w:after="100"/>
      </w:pPr>
      <w:r>
        <w:rPr>
          <w:rFonts w:ascii="Arial" w:cs="Arial" w:eastAsia="Arial" w:hAnsi="Arial"/>
          <w:b/>
          <w:bCs/>
          <w:color w:val="333333"/>
          <w:sz w:val="22"/>
          <w:szCs w:val="22"/>
        </w:rPr>
        <w:t xml:space="preserve">Taux de couverture des services essentiels de santé (en %)</w:t>
      </w:r>
    </w:p>
    <w:p>
      <w:pPr>
        <w:pBdr>
          <w:left w:val="single" w:color="E05C00" w:sz="12" w:space="8"/>
        </w:pBdr>
        <w:spacing w:after="120"/>
        <w:ind w:left="360"/>
        <w:jc w:val="both"/>
      </w:pPr>
      <w:r>
        <w:rPr>
          <w:rFonts w:ascii="Arial" w:cs="Arial" w:eastAsia="Arial" w:hAnsi="Arial"/>
          <w:sz w:val="20"/>
          <w:szCs w:val="20"/>
        </w:rPr>
        <w:t xml:space="preserve">L'indicateur du taux de couverture des services essentiels de santé mesure la capacité d'un système national à fournir à l'ensemble de sa population les services de santé dont elle a besoin sans faire face à des difficultés financières majeures. Cet indicateur est particulièrement pertinent car l'accès aux services de santé de qualité est un droit fondamental de l'enfant, explicitement consacré par la Convention internationale des droits de l'enfant (article 24).</w:t>
      </w:r>
    </w:p>
    <w:p>
      <w:pPr>
        <w:pBdr>
          <w:left w:val="single" w:color="E05C00" w:sz="12" w:space="8"/>
        </w:pBdr>
        <w:spacing w:after="120"/>
        <w:ind w:left="360"/>
        <w:jc w:val="both"/>
      </w:pPr>
      <w:r>
        <w:rPr>
          <w:rFonts w:ascii="Arial" w:cs="Arial" w:eastAsia="Arial" w:hAnsi="Arial"/>
          <w:sz w:val="20"/>
          <w:szCs w:val="20"/>
        </w:rPr>
        <w:t xml:space="preserve">En 2025, la France affiche un taux de couverture estimé à environ 81 %. Ce taux masque des inégalités persistantes : certains services essentiels comme la prévention sont moins bien couverts, et certaines populations — notamment les enfants vivant dans la pauvreté ou dans des zones rurales — rencontrent des obstacles plus importants d'accès. La prévention ne représente qu'environ 2 à 2,5 % de la dépense courante de santé, une part structurellement faible au regard des enjeux de santé publique.</w:t>
      </w:r>
    </w:p>
    <w:p>
      <w:pPr>
        <w:spacing w:before="280" w:after="100"/>
      </w:pPr>
      <w:r>
        <w:rPr>
          <w:rFonts w:ascii="Arial" w:cs="Arial" w:eastAsia="Arial" w:hAnsi="Arial"/>
          <w:b/>
          <w:bCs/>
          <w:color w:val="333333"/>
          <w:sz w:val="22"/>
          <w:szCs w:val="22"/>
        </w:rPr>
        <w:t xml:space="preserve">Taux de mortalité infantile (en ‰)</w:t>
      </w:r>
    </w:p>
    <w:p>
      <w:pPr>
        <w:pBdr>
          <w:left w:val="single" w:color="E05C00" w:sz="12" w:space="8"/>
        </w:pBdr>
        <w:spacing w:after="120"/>
        <w:ind w:left="360"/>
        <w:jc w:val="both"/>
      </w:pPr>
      <w:r>
        <w:rPr>
          <w:rFonts w:ascii="Arial" w:cs="Arial" w:eastAsia="Arial" w:hAnsi="Arial"/>
          <w:sz w:val="20"/>
          <w:szCs w:val="20"/>
        </w:rPr>
        <w:t xml:space="preserve">En 2024, le taux de mortalité infantile est de 4,1 pour 1 000 en France, soit environ 2 700 enfants. Un enfant sur 250 meurt donc avant son premier anniversaire. Selon l'INSEE, un quart de ces décès ont lieu le jour de la naissance, la moitié entre 1 et 27 jours de vie, un quart dans la période post-néonatale.</w:t>
      </w:r>
    </w:p>
    <w:p>
      <w:pPr>
        <w:pBdr>
          <w:left w:val="single" w:color="E05C00" w:sz="12" w:space="8"/>
        </w:pBdr>
        <w:spacing w:after="120"/>
        <w:ind w:left="360"/>
        <w:jc w:val="both"/>
      </w:pPr>
      <w:r>
        <w:rPr>
          <w:rFonts w:ascii="Arial" w:cs="Arial" w:eastAsia="Arial" w:hAnsi="Arial"/>
          <w:sz w:val="20"/>
          <w:szCs w:val="20"/>
        </w:rPr>
        <w:t xml:space="preserve">Le taux de mortalité infantile en France demeure supérieur à la moyenne de l'Union européenne depuis 2015. Plusieurs tendances sont à signaler : les garçons et les jumeaux risquent davantage de mourir avant un an, les mères très jeunes ou très âgées ont plus de risque de perdre leur enfant. Par ailleurs, la mortalité infantile est deux fois plus élevée en Outre-Mer qu'en France hexagonale.</w:t>
      </w:r>
    </w:p>
    <w:p>
      <w:pPr>
        <w:spacing w:before="280" w:after="100"/>
      </w:pPr>
      <w:r>
        <w:rPr>
          <w:rFonts w:ascii="Arial" w:cs="Arial" w:eastAsia="Arial" w:hAnsi="Arial"/>
          <w:b/>
          <w:bCs/>
          <w:color w:val="333333"/>
          <w:sz w:val="22"/>
          <w:szCs w:val="22"/>
        </w:rPr>
        <w:t xml:space="preserve">Taux de vaccination des enfants (en %)</w:t>
      </w:r>
    </w:p>
    <w:p>
      <w:pPr>
        <w:pBdr>
          <w:left w:val="single" w:color="E05C00" w:sz="12" w:space="8"/>
        </w:pBdr>
        <w:spacing w:after="120"/>
        <w:ind w:left="360"/>
        <w:jc w:val="both"/>
      </w:pPr>
      <w:r>
        <w:rPr>
          <w:rFonts w:ascii="Arial" w:cs="Arial" w:eastAsia="Arial" w:hAnsi="Arial"/>
          <w:sz w:val="20"/>
          <w:szCs w:val="20"/>
        </w:rPr>
        <w:t xml:space="preserve">Le taux de vaccination des enfants en France contre la diphtérie, le tétanos et la coqueluche est globalement stable entre 2000 et 2024, malgré de légères variations — dont une baisse notable en 2020. Le taux de vaccination des enfants contre la rougeole est, lui, en constante progression sur la période, avec une augmentation de plus de 20 points en 12 ans.</w:t>
      </w:r>
    </w:p>
    <w:p>
      <w:pPr>
        <w:spacing w:before="280" w:after="100"/>
      </w:pPr>
      <w:r>
        <w:rPr>
          <w:rFonts w:ascii="Arial" w:cs="Arial" w:eastAsia="Arial" w:hAnsi="Arial"/>
          <w:b/>
          <w:bCs/>
          <w:color w:val="333333"/>
          <w:sz w:val="22"/>
          <w:szCs w:val="22"/>
        </w:rPr>
        <w:t xml:space="preserve">Nombre d'enfants et adolescents handicapés accompagnés dans les établissements et services médico-sociaux qui leur sont dédiés</w:t>
      </w:r>
    </w:p>
    <w:p>
      <w:pPr>
        <w:pBdr>
          <w:left w:val="single" w:color="E05C00" w:sz="12" w:space="8"/>
        </w:pBdr>
        <w:spacing w:after="120"/>
        <w:ind w:left="360"/>
        <w:jc w:val="both"/>
      </w:pPr>
      <w:r>
        <w:rPr>
          <w:rFonts w:ascii="Arial" w:cs="Arial" w:eastAsia="Arial" w:hAnsi="Arial"/>
          <w:sz w:val="20"/>
          <w:szCs w:val="20"/>
        </w:rPr>
        <w:t xml:space="preserve">Selon la DREES, au 31 décembre 2022, les établissements et services médico-sociaux pour enfants et adolescents handicapés proposaient 173 790 places dans 4 030 structures. Au total, 174 160 enfants et adolescents sont accompagnés dans l'ensemble de ces structures, soit 1 % des moins de 20 ans.</w:t>
      </w:r>
    </w:p>
    <w:p>
      <w:pPr>
        <w:pBdr>
          <w:left w:val="single" w:color="E05C00" w:sz="12" w:space="8"/>
        </w:pBdr>
        <w:spacing w:after="120"/>
        <w:ind w:left="360"/>
        <w:jc w:val="both"/>
      </w:pPr>
      <w:r>
        <w:rPr>
          <w:rFonts w:ascii="Arial" w:cs="Arial" w:eastAsia="Arial" w:hAnsi="Arial"/>
          <w:sz w:val="20"/>
          <w:szCs w:val="20"/>
        </w:rPr>
        <w:t xml:space="preserve">Les enfants accueillis sont principalement des garçons pour deux tiers d'entre eux, et 40% des enfants accueillis ont entre 11 et 15 ans.</w:t>
      </w:r>
    </w:p>
    <w:p>
      <w:pPr>
        <w:pBdr>
          <w:bottom w:val="single" w:color="FF7100" w:sz="6" w:space="4"/>
        </w:pBdr>
        <w:spacing w:before="480" w:after="200"/>
      </w:pPr>
      <w:r>
        <w:rPr>
          <w:rFonts w:ascii="Arial" w:cs="Arial" w:eastAsia="Arial" w:hAnsi="Arial"/>
          <w:b/>
          <w:bCs/>
          <w:color w:val="FF7100"/>
          <w:sz w:val="32"/>
          <w:szCs w:val="32"/>
        </w:rPr>
        <w:t xml:space="preserve">8. Santé mentale</w:t>
      </w:r>
    </w:p>
    <w:p>
      <w:pPr>
        <w:spacing w:before="280" w:after="100"/>
      </w:pPr>
      <w:r>
        <w:rPr>
          <w:rFonts w:ascii="Arial" w:cs="Arial" w:eastAsia="Arial" w:hAnsi="Arial"/>
          <w:b/>
          <w:bCs/>
          <w:color w:val="333333"/>
          <w:sz w:val="22"/>
          <w:szCs w:val="22"/>
        </w:rPr>
        <w:t xml:space="preserve">Score de niveau de bien-être et qualité de vie en lien avec la santé déclarée par les enfants de 6 à 11 ans</w:t>
      </w:r>
    </w:p>
    <w:p>
      <w:pPr>
        <w:pBdr>
          <w:left w:val="single" w:color="FF7100" w:sz="12" w:space="8"/>
        </w:pBdr>
        <w:spacing w:after="120"/>
        <w:ind w:left="360"/>
        <w:jc w:val="both"/>
      </w:pPr>
      <w:r>
        <w:rPr>
          <w:rFonts w:ascii="Arial" w:cs="Arial" w:eastAsia="Arial" w:hAnsi="Arial"/>
          <w:sz w:val="20"/>
          <w:szCs w:val="20"/>
        </w:rPr>
        <w:t xml:space="preserve">En 2022, l'étude ENABEE, lancée par Santé publique France avec l'appui des ministères chargés de la Santé et de l'Education nationale, a permis de produire des indicateurs sur le bien-être et la santé mentale des enfants de 3 à 11 ans en France. Les enfants ont évalué leur niveau de bien-être et de qualité de vie à 71/100, ce qui, sans être dramatique, n'est pas significativement élevé.</w:t>
      </w:r>
    </w:p>
    <w:p>
      <w:pPr>
        <w:pBdr>
          <w:left w:val="single" w:color="FF7100" w:sz="12" w:space="8"/>
        </w:pBdr>
        <w:spacing w:after="120"/>
        <w:ind w:left="360"/>
        <w:jc w:val="both"/>
      </w:pPr>
      <w:r>
        <w:rPr>
          <w:rFonts w:ascii="Arial" w:cs="Arial" w:eastAsia="Arial" w:hAnsi="Arial"/>
          <w:sz w:val="20"/>
          <w:szCs w:val="20"/>
        </w:rPr>
        <w:t xml:space="preserve">L'enquête nationale EnCLASS, déployée la même année auprès de 9 337 élèves du secondaire (11-18 ans), montre que si la grande majorité exprime une satisfaction vis-à-vis de leur vie actuelle, seule la moitié présente un bon niveau de bien-être mental. On observe une part non négligeable de jeunes présentant un risque de dépression, déclarant un sentiment de solitude, des plaintes psychologiques et/ou somatiques ou des pensées suicidaires.</w:t>
      </w:r>
    </w:p>
    <w:p>
      <w:pPr>
        <w:pBdr>
          <w:left w:val="single" w:color="FF7100" w:sz="12" w:space="8"/>
        </w:pBdr>
        <w:spacing w:after="120"/>
        <w:ind w:left="360"/>
        <w:jc w:val="both"/>
      </w:pPr>
      <w:r>
        <w:rPr>
          <w:rFonts w:ascii="Arial" w:cs="Arial" w:eastAsia="Arial" w:hAnsi="Arial"/>
          <w:sz w:val="20"/>
          <w:szCs w:val="20"/>
        </w:rPr>
        <w:t xml:space="preserve">L'étude montre une nette dégradation de la santé mentale entre 2018 et 2022, plus marquée chez les jeunes filles. Quel que soit le niveau de scolarité, les garçons sont plus nombreux que les filles à penser être en bonne santé et à être satisfaits de leur vie actuelle.</w:t>
      </w:r>
    </w:p>
    <w:p>
      <w:pPr>
        <w:spacing w:before="280" w:after="100"/>
      </w:pPr>
      <w:r>
        <w:rPr>
          <w:rFonts w:ascii="Arial" w:cs="Arial" w:eastAsia="Arial" w:hAnsi="Arial"/>
          <w:b/>
          <w:bCs/>
          <w:color w:val="333333"/>
          <w:sz w:val="22"/>
          <w:szCs w:val="22"/>
        </w:rPr>
        <w:t xml:space="preserve">Part des enfants de 11, 13 et 15 ans subissant du harcèlement à l'école en France (en %)</w:t>
      </w:r>
    </w:p>
    <w:p>
      <w:pPr>
        <w:pBdr>
          <w:left w:val="single" w:color="FF7100" w:sz="12" w:space="8"/>
        </w:pBdr>
        <w:spacing w:after="120"/>
        <w:ind w:left="360"/>
        <w:jc w:val="both"/>
      </w:pPr>
      <w:r>
        <w:rPr>
          <w:rFonts w:ascii="Arial" w:cs="Arial" w:eastAsia="Arial" w:hAnsi="Arial"/>
          <w:sz w:val="20"/>
          <w:szCs w:val="20"/>
        </w:rPr>
        <w:t xml:space="preserve">D'après les résultats les plus récents de l'étude internationale HBSC, environ 11 % des adolescents de 11, 13 et 15 ans se déclarent victimes de harcèlement scolaire, ce qui signifie qu'à peu près un enfant sur dix a vécu des situations d'intimidation répétée par ses camarades.</w:t>
      </w:r>
    </w:p>
    <w:p>
      <w:pPr>
        <w:pBdr>
          <w:left w:val="single" w:color="FF7100" w:sz="12" w:space="8"/>
        </w:pBdr>
        <w:spacing w:after="120"/>
        <w:ind w:left="360"/>
        <w:jc w:val="both"/>
      </w:pPr>
      <w:r>
        <w:rPr>
          <w:rFonts w:ascii="Arial" w:cs="Arial" w:eastAsia="Arial" w:hAnsi="Arial"/>
          <w:sz w:val="20"/>
          <w:szCs w:val="20"/>
        </w:rPr>
        <w:t xml:space="preserve">Cette proportion reflète des difficultés persistantes dans les relations entre élèves, malgré les politiques de lutte contre le harcèlement mises en place dans les établissements. À la fois indicateur de conditions sociales et de climat scolaire, ce chiffre constitue une mesure directe de l'expérience des élèves.</w:t>
      </w:r>
    </w:p>
    <w:p>
      <w:pPr>
        <w:pBdr>
          <w:left w:val="single" w:color="FF7100" w:sz="12" w:space="8"/>
        </w:pBdr>
        <w:spacing w:after="120"/>
        <w:ind w:left="360"/>
        <w:jc w:val="both"/>
      </w:pPr>
      <w:r>
        <w:rPr>
          <w:rFonts w:ascii="Arial" w:cs="Arial" w:eastAsia="Arial" w:hAnsi="Arial"/>
          <w:sz w:val="20"/>
          <w:szCs w:val="20"/>
        </w:rPr>
        <w:t xml:space="preserve">Un niveau de 11 % appelle à des actions soutenues pour améliorer les milieux scolaires, renforcer les dispositifs de détection et d'accompagnement, et promouvoir des compétences sociales favorisant des relations non violentes entre pairs.</w:t>
      </w:r>
    </w:p>
    <w:p>
      <w:pPr>
        <w:spacing w:before="280" w:after="100"/>
      </w:pPr>
      <w:r>
        <w:rPr>
          <w:rFonts w:ascii="Arial" w:cs="Arial" w:eastAsia="Arial" w:hAnsi="Arial"/>
          <w:b/>
          <w:bCs/>
          <w:color w:val="333333"/>
          <w:sz w:val="22"/>
          <w:szCs w:val="22"/>
        </w:rPr>
        <w:t xml:space="preserve">Part des enfants présentant un trouble probable de santé mentale (en %)</w:t>
      </w:r>
    </w:p>
    <w:p>
      <w:pPr>
        <w:pBdr>
          <w:left w:val="single" w:color="FF7100" w:sz="12" w:space="8"/>
        </w:pBdr>
        <w:spacing w:after="120"/>
        <w:ind w:left="360"/>
        <w:jc w:val="both"/>
      </w:pPr>
      <w:r>
        <w:rPr>
          <w:rFonts w:ascii="Arial" w:cs="Arial" w:eastAsia="Arial" w:hAnsi="Arial"/>
          <w:sz w:val="20"/>
          <w:szCs w:val="20"/>
        </w:rPr>
        <w:t xml:space="preserve">En 2022, l'étude ENABEE réalisée par Santé publique France vise à produire des indicateurs sur le bien-être et la santé mentale des enfants de 3 à 11 ans en France hexagonale. Les données ont été obtenues en croisant les informations émanant de trois sources : les parents, les enseignants et les enfants.</w:t>
      </w:r>
    </w:p>
    <w:p>
      <w:pPr>
        <w:pBdr>
          <w:left w:val="single" w:color="FF7100" w:sz="12" w:space="8"/>
        </w:pBdr>
        <w:spacing w:after="120"/>
        <w:ind w:left="360"/>
        <w:jc w:val="both"/>
      </w:pPr>
      <w:r>
        <w:rPr>
          <w:rFonts w:ascii="Arial" w:cs="Arial" w:eastAsia="Arial" w:hAnsi="Arial"/>
          <w:sz w:val="20"/>
          <w:szCs w:val="20"/>
        </w:rPr>
        <w:t xml:space="preserve">Les premières données montrent que 13 % des enfants en élémentaire présentent un trouble probable de santé mentale : trouble émotionnel probable, trouble oppositionnel probable ou trouble de déficit de l'attention avec ou sans hyperactivité probable.</w:t>
      </w:r>
    </w:p>
    <w:p>
      <w:pPr>
        <w:pBdr>
          <w:left w:val="single" w:color="FF7100" w:sz="12" w:space="8"/>
        </w:pBdr>
        <w:spacing w:after="120"/>
        <w:ind w:left="360"/>
        <w:jc w:val="both"/>
      </w:pPr>
      <w:r>
        <w:rPr>
          <w:rFonts w:ascii="Arial" w:cs="Arial" w:eastAsia="Arial" w:hAnsi="Arial"/>
          <w:sz w:val="20"/>
          <w:szCs w:val="20"/>
        </w:rPr>
        <w:t xml:space="preserve">Ce taux de prévalence est du même ordre de grandeur que ceux observés dans d'autres pays en Europe sur la même tranche d'âge en 2010 et 2017.</w:t>
      </w:r>
    </w:p>
    <w:p>
      <w:pPr>
        <w:spacing w:before="280" w:after="100"/>
      </w:pPr>
      <w:r>
        <w:rPr>
          <w:rFonts w:ascii="Arial" w:cs="Arial" w:eastAsia="Arial" w:hAnsi="Arial"/>
          <w:b/>
          <w:bCs/>
          <w:color w:val="333333"/>
          <w:sz w:val="22"/>
          <w:szCs w:val="22"/>
        </w:rPr>
        <w:t xml:space="preserve">Nombre annuel moyen de passages aux urgences et part d'activité (‰) pour idées et gestes suicidaires chez les 11-17 ans</w:t>
      </w:r>
    </w:p>
    <w:p>
      <w:pPr>
        <w:pBdr>
          <w:left w:val="single" w:color="FF7100" w:sz="12" w:space="8"/>
        </w:pBdr>
        <w:spacing w:after="120"/>
        <w:ind w:left="360"/>
        <w:jc w:val="both"/>
      </w:pPr>
      <w:r>
        <w:rPr>
          <w:rFonts w:ascii="Arial" w:cs="Arial" w:eastAsia="Arial" w:hAnsi="Arial"/>
          <w:sz w:val="20"/>
          <w:szCs w:val="20"/>
        </w:rPr>
        <w:t xml:space="preserve">Depuis quelques années, Santé publique France alerte sur le fait que les mineurs sont davantage touchés par des idées suicidaires et des gestes auto infligés. La crise du Covid-19 a exacerbé ce risque et la détérioration de la santé mentale aboutit à de nombreuses tentatives de suicide.</w:t>
      </w:r>
    </w:p>
    <w:p>
      <w:pPr>
        <w:pBdr>
          <w:left w:val="single" w:color="FF7100" w:sz="12" w:space="8"/>
        </w:pBdr>
        <w:spacing w:after="120"/>
        <w:ind w:left="360"/>
        <w:jc w:val="both"/>
      </w:pPr>
      <w:r>
        <w:rPr>
          <w:rFonts w:ascii="Arial" w:cs="Arial" w:eastAsia="Arial" w:hAnsi="Arial"/>
          <w:sz w:val="20"/>
          <w:szCs w:val="20"/>
        </w:rPr>
        <w:t xml:space="preserve">Les chiffres présentés mettent en avant cette augmentation, mais aussi les variations territoriales. Les enfants et jeunes de certains départements sont plus touchés par ce phénomène, comme en Guyane, à la Réunion, ou encore en Grand-Est.</w:t>
      </w:r>
    </w:p>
    <w:p>
      <w:pPr>
        <w:pBdr>
          <w:left w:val="single" w:color="FF7100" w:sz="12" w:space="8"/>
        </w:pBdr>
        <w:spacing w:after="120"/>
        <w:ind w:left="360"/>
        <w:jc w:val="both"/>
      </w:pPr>
      <w:r>
        <w:rPr>
          <w:rFonts w:ascii="Arial" w:cs="Arial" w:eastAsia="Arial" w:hAnsi="Arial"/>
          <w:sz w:val="20"/>
          <w:szCs w:val="20"/>
        </w:rPr>
        <w:t xml:space="preserve">Cette tendance s'observe aussi concernant les idées suicidaires : les taux ont augmenté de plusieurs points depuis la crise du Covid-19, notamment dans certains territoires. Les enfants et adolescents de la Réunion sont particulièrement touchés.</w:t>
      </w:r>
    </w:p>
    <w:p>
      <w:pPr>
        <w:spacing w:before="280" w:after="100"/>
      </w:pPr>
      <w:r>
        <w:rPr>
          <w:rFonts w:ascii="Arial" w:cs="Arial" w:eastAsia="Arial" w:hAnsi="Arial"/>
          <w:b/>
          <w:bCs/>
          <w:color w:val="333333"/>
          <w:sz w:val="22"/>
          <w:szCs w:val="22"/>
        </w:rPr>
        <w:t xml:space="preserve">Part d'enfants qui ont été cyberharcelés au moins 1 à 2 fois ces derniers mois (en %)</w:t>
      </w:r>
    </w:p>
    <w:p>
      <w:pPr>
        <w:pBdr>
          <w:left w:val="single" w:color="FF7100" w:sz="12" w:space="8"/>
        </w:pBdr>
        <w:spacing w:after="120"/>
        <w:ind w:left="360"/>
        <w:jc w:val="both"/>
      </w:pPr>
      <w:r>
        <w:rPr>
          <w:rFonts w:ascii="Arial" w:cs="Arial" w:eastAsia="Arial" w:hAnsi="Arial"/>
          <w:sz w:val="20"/>
          <w:szCs w:val="20"/>
        </w:rPr>
        <w:t xml:space="preserve">Dans cette enquête 2024, ces derniers mois correspond aux deux à trois mois précédant la collecte des données. Selon les résultats de l'enquête HBSC coordonnée par l'OMS, environ 15 % des adolescents ont été victimes de cyber-harcèlement, soit un adolescent sur six confronté à des comportements hostiles ou intimidants en ligne.</w:t>
      </w:r>
    </w:p>
    <w:p>
      <w:pPr>
        <w:pBdr>
          <w:left w:val="single" w:color="FF7100" w:sz="12" w:space="8"/>
        </w:pBdr>
        <w:spacing w:after="120"/>
        <w:ind w:left="360"/>
        <w:jc w:val="both"/>
      </w:pPr>
      <w:r>
        <w:rPr>
          <w:rFonts w:ascii="Arial" w:cs="Arial" w:eastAsia="Arial" w:hAnsi="Arial"/>
          <w:sz w:val="20"/>
          <w:szCs w:val="20"/>
        </w:rPr>
        <w:t xml:space="preserve">Ce niveau de prévalence souligne que le cyber-harcèlement n'est pas un phénomène marginal. Il peut se dérouler dans la sphère privée des jeunes via messageries, réseaux sociaux ou plateformes interactives, avec des effets profonds : anxiété, difficultés scolaires, troubles du sommeil ou perte de confiance en soi.</w:t>
      </w:r>
    </w:p>
    <w:p>
      <w:pPr>
        <w:pBdr>
          <w:left w:val="single" w:color="FF7100" w:sz="12" w:space="8"/>
        </w:pBdr>
        <w:spacing w:after="120"/>
        <w:ind w:left="360"/>
        <w:jc w:val="both"/>
      </w:pPr>
      <w:r>
        <w:rPr>
          <w:rFonts w:ascii="Arial" w:cs="Arial" w:eastAsia="Arial" w:hAnsi="Arial"/>
          <w:sz w:val="20"/>
          <w:szCs w:val="20"/>
        </w:rPr>
        <w:t xml:space="preserve">Un encadrement renforcé des usages numériques est indispensable pour limiter ces situations. Limiter la présence des jeunes sur les réseaux sociaux avant l'âge légal constitue un levier important pour diminuer le cyber-harcèlement et renforcer leur protection dans l'environnement numérique.</w:t>
      </w:r>
    </w:p>
    <w:p>
      <w:pPr>
        <w:pBdr>
          <w:bottom w:val="single" w:color="E2231A" w:sz="6" w:space="4"/>
        </w:pBdr>
        <w:spacing w:before="480" w:after="200"/>
      </w:pPr>
      <w:r>
        <w:rPr>
          <w:rFonts w:ascii="Arial" w:cs="Arial" w:eastAsia="Arial" w:hAnsi="Arial"/>
          <w:b/>
          <w:bCs/>
          <w:color w:val="E2231A"/>
          <w:sz w:val="32"/>
          <w:szCs w:val="32"/>
        </w:rPr>
        <w:t xml:space="preserve">9. Nutrition</w:t>
      </w:r>
    </w:p>
    <w:p>
      <w:pPr>
        <w:spacing w:before="280" w:after="100"/>
      </w:pPr>
      <w:r>
        <w:rPr>
          <w:rFonts w:ascii="Arial" w:cs="Arial" w:eastAsia="Arial" w:hAnsi="Arial"/>
          <w:b/>
          <w:bCs/>
          <w:color w:val="333333"/>
          <w:sz w:val="22"/>
          <w:szCs w:val="22"/>
        </w:rPr>
        <w:t xml:space="preserve">Part des ménages avec enfants en situation de précarité alimentaire (en %)</w:t>
      </w:r>
    </w:p>
    <w:p>
      <w:pPr>
        <w:pBdr>
          <w:left w:val="single" w:color="E2231A" w:sz="12" w:space="8"/>
        </w:pBdr>
        <w:spacing w:after="120"/>
        <w:ind w:left="360"/>
        <w:jc w:val="both"/>
      </w:pPr>
      <w:r>
        <w:rPr>
          <w:rFonts w:ascii="Arial" w:cs="Arial" w:eastAsia="Arial" w:hAnsi="Arial"/>
          <w:sz w:val="20"/>
          <w:szCs w:val="20"/>
        </w:rPr>
        <w:t xml:space="preserve">L'enquête « Conditions de vie et aspirations des Français » du CREDOC permet de mesurer l'ampleur de l'insuffisance alimentaire, tant sur le plan quantitatif que qualitatif. Elle révèle une progression de la précarité alimentaire ainsi qu'une exposition particulièrement forte des ménages avec enfants : 22 % des ménages interrogés déclarent qu'il leur arrive de ne pas avoir assez à manger.</w:t>
      </w:r>
    </w:p>
    <w:p>
      <w:pPr>
        <w:pBdr>
          <w:left w:val="single" w:color="E2231A" w:sz="12" w:space="8"/>
        </w:pBdr>
        <w:spacing w:after="120"/>
        <w:ind w:left="360"/>
        <w:jc w:val="both"/>
      </w:pPr>
      <w:r>
        <w:rPr>
          <w:rFonts w:ascii="Arial" w:cs="Arial" w:eastAsia="Arial" w:hAnsi="Arial"/>
          <w:sz w:val="20"/>
          <w:szCs w:val="20"/>
        </w:rPr>
        <w:t xml:space="preserve">Ces données rejoignent celles de la Consultation nationale des 6-18 ans menée par UNICEF France en 2023-2024 auprès de 20 000 enfants : 22,8 % d'entre eux affirment ne pas consommer trois repas par jour. Cette aggravation de la précarité alimentaire est directement liée à la montée de la pauvreté et à l'inflation.</w:t>
      </w:r>
    </w:p>
    <w:p>
      <w:pPr>
        <w:pBdr>
          <w:left w:val="single" w:color="E2231A" w:sz="12" w:space="8"/>
        </w:pBdr>
        <w:spacing w:after="120"/>
        <w:ind w:left="360"/>
        <w:jc w:val="both"/>
      </w:pPr>
      <w:r>
        <w:rPr>
          <w:rFonts w:ascii="Arial" w:cs="Arial" w:eastAsia="Arial" w:hAnsi="Arial"/>
          <w:sz w:val="20"/>
          <w:szCs w:val="20"/>
        </w:rPr>
        <w:t xml:space="preserve">L'insuffisance alimentaire peut avoir des conséquences graves sur la santé des enfants, leur développement et leurs apprentissages.</w:t>
      </w:r>
    </w:p>
    <w:p>
      <w:pPr>
        <w:spacing w:before="280" w:after="100"/>
      </w:pPr>
      <w:r>
        <w:rPr>
          <w:rFonts w:ascii="Arial" w:cs="Arial" w:eastAsia="Arial" w:hAnsi="Arial"/>
          <w:b/>
          <w:bCs/>
          <w:color w:val="333333"/>
          <w:sz w:val="22"/>
          <w:szCs w:val="22"/>
        </w:rPr>
        <w:t xml:space="preserve">Prévalence de l'obésité chez les enfants et les adolescents, IMC &gt; +2 écarts-types au-dessus de la médiane — estimation brute (en %)</w:t>
      </w:r>
    </w:p>
    <w:p>
      <w:pPr>
        <w:pBdr>
          <w:left w:val="single" w:color="E2231A" w:sz="12" w:space="8"/>
        </w:pBdr>
        <w:spacing w:after="120"/>
        <w:ind w:left="360"/>
        <w:jc w:val="both"/>
      </w:pPr>
      <w:r>
        <w:rPr>
          <w:rFonts w:ascii="Arial" w:cs="Arial" w:eastAsia="Arial" w:hAnsi="Arial"/>
          <w:sz w:val="20"/>
          <w:szCs w:val="20"/>
        </w:rPr>
        <w:t xml:space="preserve">Le pourcentage d'enfants et adolescents (de 5 à 19 ans) ayant un indice de masse corporelle supérieur à 2 écarts-types au-dessus de la médiane en France s'élève à 4,1 %. Cette proportion est plus importante qu'en 1990 (+0,7 points) malgré une diminution progressive depuis 2005 (le pourcentage s'élevait alors à 5,4 %).</w:t>
      </w:r>
    </w:p>
    <w:p>
      <w:pPr>
        <w:pBdr>
          <w:left w:val="single" w:color="E2231A" w:sz="12" w:space="8"/>
        </w:pBdr>
        <w:spacing w:after="120"/>
        <w:ind w:left="360"/>
        <w:jc w:val="both"/>
      </w:pPr>
      <w:r>
        <w:rPr>
          <w:rFonts w:ascii="Arial" w:cs="Arial" w:eastAsia="Arial" w:hAnsi="Arial"/>
          <w:sz w:val="20"/>
          <w:szCs w:val="20"/>
        </w:rPr>
        <w:t xml:space="preserve">À titre comparatif, ce taux s'élève à 8 % à l'échelle européenne et à 8,2 % à l'échelle mondiale, ce qui place la France en dessous de la moyenne européenne.</w:t>
      </w:r>
    </w:p>
    <w:p>
      <w:pPr>
        <w:spacing w:before="280" w:after="100"/>
      </w:pPr>
      <w:r>
        <w:rPr>
          <w:rFonts w:ascii="Arial" w:cs="Arial" w:eastAsia="Arial" w:hAnsi="Arial"/>
          <w:b/>
          <w:bCs/>
          <w:color w:val="333333"/>
          <w:sz w:val="22"/>
          <w:szCs w:val="22"/>
        </w:rPr>
        <w:t xml:space="preserve">Pourcentage d'enfants en obésité (en %)</w:t>
      </w:r>
    </w:p>
    <w:p>
      <w:pPr>
        <w:pBdr>
          <w:left w:val="single" w:color="E2231A" w:sz="12" w:space="8"/>
        </w:pBdr>
        <w:spacing w:after="120"/>
        <w:ind w:left="360"/>
        <w:jc w:val="both"/>
      </w:pPr>
      <w:r>
        <w:rPr>
          <w:rFonts w:ascii="Arial" w:cs="Arial" w:eastAsia="Arial" w:hAnsi="Arial"/>
          <w:sz w:val="20"/>
          <w:szCs w:val="20"/>
        </w:rPr>
        <w:t xml:space="preserve">L'indicateur de prévalence du surpoids et de l'obésité chez les enfants et les adolescents en France reflète l'ampleur d'un enjeu de santé publique majeur. En 2024, environ 4 % des enfants et adolescents de 6 à 17 ans sont en situation d'obésité et 17 % sont en situation de surpoids, ce qui signifie qu'un peu moins d'un enfant sur cinq est concerné par un excès de poids.</w:t>
      </w:r>
    </w:p>
    <w:p>
      <w:pPr>
        <w:pBdr>
          <w:left w:val="single" w:color="E2231A" w:sz="12" w:space="8"/>
        </w:pBdr>
        <w:spacing w:after="120"/>
        <w:ind w:left="360"/>
        <w:jc w:val="both"/>
      </w:pPr>
      <w:r>
        <w:rPr>
          <w:rFonts w:ascii="Arial" w:cs="Arial" w:eastAsia="Arial" w:hAnsi="Arial"/>
          <w:sz w:val="20"/>
          <w:szCs w:val="20"/>
        </w:rPr>
        <w:t xml:space="preserve">Même si la proportion d'enfants obèses reste plus faible que chez les adultes, l'ensemble des situations de surcharge pondérale touche une part significative de la jeunesse française. Cela représente un facteur de risque pour la santé à long terme, notamment en raison du lien établi entre surpoids pendant l'enfance et persistance à l'âge adulte ainsi que l'augmentation de risques de maladies métaboliques, cardiovasculaires ou de diabète.</w:t>
      </w:r>
    </w:p>
    <w:p>
      <w:pPr>
        <w:pBdr>
          <w:left w:val="single" w:color="E2231A" w:sz="12" w:space="8"/>
        </w:pBdr>
        <w:spacing w:after="120"/>
        <w:ind w:left="360"/>
        <w:jc w:val="both"/>
      </w:pPr>
      <w:r>
        <w:rPr>
          <w:rFonts w:ascii="Arial" w:cs="Arial" w:eastAsia="Arial" w:hAnsi="Arial"/>
          <w:sz w:val="20"/>
          <w:szCs w:val="20"/>
        </w:rPr>
        <w:t xml:space="preserve">Cet indicateur doit être interprété à la lumière des déterminants sociaux et comportementaux : activité physique insuffisante, habitudes alimentaires déséquilibrées, sédentarité et inégalités socioéconomiques influencent fortement l'apparition du surpoids. Il signale la nécessité d'interventions préventives multi-sectorielles dans les milieux éducatifs, familiaux et communautaires.</w:t>
      </w:r>
    </w:p>
    <w:p>
      <w:pPr>
        <w:pBdr>
          <w:left w:val="single" w:color="E2231A" w:sz="12" w:space="8"/>
        </w:pBdr>
        <w:spacing w:after="120"/>
        <w:ind w:left="360"/>
        <w:jc w:val="both"/>
      </w:pPr>
      <w:r>
        <w:rPr>
          <w:rFonts w:ascii="Arial" w:cs="Arial" w:eastAsia="Arial" w:hAnsi="Arial"/>
          <w:sz w:val="20"/>
          <w:szCs w:val="20"/>
        </w:rPr>
        <w:t xml:space="preserve">Bien que ce pourcentage soit un indicateur agrégé, il souligne l'importance d'un suivi régulier afin d'orienter efficacement les politiques de santé publique, les programmes scolaires de prévention et les stratégies d'accompagnement des enfants en situation de surpoids ou d'obésité.</w:t>
      </w:r>
    </w:p>
    <w:p>
      <w:pPr>
        <w:spacing w:before="280" w:after="100"/>
      </w:pPr>
      <w:r>
        <w:rPr>
          <w:rFonts w:ascii="Arial" w:cs="Arial" w:eastAsia="Arial" w:hAnsi="Arial"/>
          <w:b/>
          <w:bCs/>
          <w:color w:val="333333"/>
          <w:sz w:val="22"/>
          <w:szCs w:val="22"/>
        </w:rPr>
        <w:t xml:space="preserve">Pourcentage d'enfants en surpoids (en %)</w:t>
      </w:r>
    </w:p>
    <w:p>
      <w:pPr>
        <w:pBdr>
          <w:left w:val="single" w:color="E2231A" w:sz="12" w:space="8"/>
        </w:pBdr>
        <w:spacing w:after="120"/>
        <w:ind w:left="360"/>
        <w:jc w:val="both"/>
      </w:pPr>
      <w:r>
        <w:rPr>
          <w:rFonts w:ascii="Arial" w:cs="Arial" w:eastAsia="Arial" w:hAnsi="Arial"/>
          <w:sz w:val="20"/>
          <w:szCs w:val="20"/>
        </w:rPr>
        <w:t xml:space="preserve">L'indicateur de prévalence du surpoids et de l'obésité chez les enfants et les adolescents en France reflète l'ampleur d'un enjeu de santé publique majeur. En 2024, environ 4 % des enfants et adolescents de 6 à 17 ans sont en situation d'obésité et 17 % sont en situation de surpoids, ce qui signifie qu'un peu moins d'un enfant sur cinq est concerné par un excès de poids.</w:t>
      </w:r>
    </w:p>
    <w:p>
      <w:pPr>
        <w:pBdr>
          <w:left w:val="single" w:color="E2231A" w:sz="12" w:space="8"/>
        </w:pBdr>
        <w:spacing w:after="120"/>
        <w:ind w:left="360"/>
        <w:jc w:val="both"/>
      </w:pPr>
      <w:r>
        <w:rPr>
          <w:rFonts w:ascii="Arial" w:cs="Arial" w:eastAsia="Arial" w:hAnsi="Arial"/>
          <w:sz w:val="20"/>
          <w:szCs w:val="20"/>
        </w:rPr>
        <w:t xml:space="preserve">Même si la proportion d'enfants obèses reste plus faible que chez les adultes, l'ensemble des situations de surcharge pondérale touche une part significative de la jeunesse française. Cela représente un facteur de risque pour la santé à long terme, notamment en raison du lien établi entre surpoids pendant l'enfance et persistance à l'âge adulte ainsi que l'augmentation de risques de maladies métaboliques, cardiovasculaires ou de diabète.</w:t>
      </w:r>
    </w:p>
    <w:p>
      <w:pPr>
        <w:pBdr>
          <w:left w:val="single" w:color="E2231A" w:sz="12" w:space="8"/>
        </w:pBdr>
        <w:spacing w:after="120"/>
        <w:ind w:left="360"/>
        <w:jc w:val="both"/>
      </w:pPr>
      <w:r>
        <w:rPr>
          <w:rFonts w:ascii="Arial" w:cs="Arial" w:eastAsia="Arial" w:hAnsi="Arial"/>
          <w:sz w:val="20"/>
          <w:szCs w:val="20"/>
        </w:rPr>
        <w:t xml:space="preserve">Cet indicateur doit être interprété à la lumière des déterminants sociaux et comportementaux : activité physique insuffisante, habitudes alimentaires déséquilibrées, sédentarité et inégalités socioéconomiques influencent fortement l'apparition du surpoids. Il signale la nécessité d'interventions préventives multi-sectorielles dans les milieux éducatifs, familiaux et communautaires.</w:t>
      </w:r>
    </w:p>
    <w:p>
      <w:pPr>
        <w:pBdr>
          <w:left w:val="single" w:color="E2231A" w:sz="12" w:space="8"/>
        </w:pBdr>
        <w:spacing w:after="120"/>
        <w:ind w:left="360"/>
        <w:jc w:val="both"/>
      </w:pPr>
      <w:r>
        <w:rPr>
          <w:rFonts w:ascii="Arial" w:cs="Arial" w:eastAsia="Arial" w:hAnsi="Arial"/>
          <w:sz w:val="20"/>
          <w:szCs w:val="20"/>
        </w:rPr>
        <w:t xml:space="preserve">Bien que ce pourcentage soit un indicateur agrégé, il souligne l'importance d'un suivi régulier afin d'orienter efficacement les politiques de santé publique, les programmes scolaires de prévention et les stratégies d'accompagnement des enfants en situation de surpoids ou d'obésité.</w:t>
      </w:r>
    </w:p>
    <w:p>
      <w:pPr>
        <w:pBdr>
          <w:bottom w:val="single" w:color="00833D" w:sz="6" w:space="4"/>
        </w:pBdr>
        <w:spacing w:before="480" w:after="200"/>
      </w:pPr>
      <w:r>
        <w:rPr>
          <w:rFonts w:ascii="Arial" w:cs="Arial" w:eastAsia="Arial" w:hAnsi="Arial"/>
          <w:b/>
          <w:bCs/>
          <w:color w:val="00833D"/>
          <w:sz w:val="32"/>
          <w:szCs w:val="32"/>
        </w:rPr>
        <w:t xml:space="preserve">10. Changement climatique</w:t>
      </w:r>
    </w:p>
    <w:p>
      <w:pPr>
        <w:spacing w:before="280" w:after="100"/>
      </w:pPr>
      <w:r>
        <w:rPr>
          <w:rFonts w:ascii="Arial" w:cs="Arial" w:eastAsia="Arial" w:hAnsi="Arial"/>
          <w:b/>
          <w:bCs/>
          <w:color w:val="333333"/>
          <w:sz w:val="22"/>
          <w:szCs w:val="22"/>
        </w:rPr>
        <w:t xml:space="preserve">Écart d'exposition aux particules fines de moins de 2,5 micromètres des enfants nés en 2016 selon le niveau de vie, par rapport au niveau de vie médian (µg/m³)</w:t>
      </w:r>
    </w:p>
    <w:p>
      <w:pPr>
        <w:pBdr>
          <w:left w:val="single" w:color="00833D" w:sz="12" w:space="8"/>
        </w:pBdr>
        <w:spacing w:after="120"/>
        <w:ind w:left="360"/>
        <w:jc w:val="both"/>
      </w:pPr>
      <w:r>
        <w:rPr>
          <w:rFonts w:ascii="Arial" w:cs="Arial" w:eastAsia="Arial" w:hAnsi="Arial"/>
          <w:sz w:val="20"/>
          <w:szCs w:val="20"/>
        </w:rPr>
        <w:t xml:space="preserve">En janvier 2024, les analyses de la DREES sont venues confirmer les dires du rapport De l'injustice sociale dans l'air, publié en 2021 par l'UNICEF France et le Réseau Action climat. Cette analyse confirme que les enfants les plus exposés à la pollution de l'air sont généralement les plus pauvres et les plus riches : les plus aisés résident souvent dans les grandes aires urbaines où se concentre la pollution, et les moins aisés dans les communes les plus polluées de ces aires.</w:t>
      </w:r>
    </w:p>
    <w:p>
      <w:pPr>
        <w:pBdr>
          <w:left w:val="single" w:color="00833D" w:sz="12" w:space="8"/>
        </w:pBdr>
        <w:spacing w:after="120"/>
        <w:ind w:left="360"/>
        <w:jc w:val="both"/>
      </w:pPr>
      <w:r>
        <w:rPr>
          <w:rFonts w:ascii="Arial" w:cs="Arial" w:eastAsia="Arial" w:hAnsi="Arial"/>
          <w:sz w:val="20"/>
          <w:szCs w:val="20"/>
        </w:rPr>
        <w:t xml:space="preserve">Outre l'exposition, la vulnérabilité est importante à prendre en compte. Les enfants les plus pauvres sont toujours plus fragiles face à la pollution de l'air : leur capacité à s'extraire temporairement ou durablement d'un environnement pollué est plus faible (déménagement, vacances). Leur accès à des espaces verts ou naturels est généralement moindre.</w:t>
      </w:r>
    </w:p>
    <w:p>
      <w:pPr>
        <w:pBdr>
          <w:left w:val="single" w:color="00833D" w:sz="12" w:space="8"/>
        </w:pBdr>
        <w:spacing w:after="120"/>
        <w:ind w:left="360"/>
        <w:jc w:val="both"/>
      </w:pPr>
      <w:r>
        <w:rPr>
          <w:rFonts w:ascii="Arial" w:cs="Arial" w:eastAsia="Arial" w:hAnsi="Arial"/>
          <w:sz w:val="20"/>
          <w:szCs w:val="20"/>
        </w:rPr>
        <w:t xml:space="preserve">Enfin, leur état de santé est souvent plus dégradé : accès plus difficile à des repas de qualité, sommeil de moindre qualité, moindre accès aux soins de santé.</w:t>
      </w:r>
    </w:p>
    <w:p>
      <w:pPr>
        <w:spacing w:before="280" w:after="100"/>
      </w:pPr>
      <w:r>
        <w:rPr>
          <w:rFonts w:ascii="Arial" w:cs="Arial" w:eastAsia="Arial" w:hAnsi="Arial"/>
          <w:b/>
          <w:bCs/>
          <w:color w:val="333333"/>
          <w:sz w:val="22"/>
          <w:szCs w:val="22"/>
        </w:rPr>
        <w:t xml:space="preserve">Relation entre l'exposition aux particules fines à la naissance et la leucémie chez l'enfant : chaque augmentation de 2 µg/m³ de PM2,5 est associée à une augmentation du risque de leucémie aiguë lymphoblastique chez l'enfant</w:t>
      </w:r>
    </w:p>
    <w:p>
      <w:pPr>
        <w:pBdr>
          <w:left w:val="single" w:color="00833D" w:sz="12" w:space="8"/>
        </w:pBdr>
        <w:spacing w:after="120"/>
        <w:ind w:left="360"/>
        <w:jc w:val="both"/>
      </w:pPr>
      <w:r>
        <w:rPr>
          <w:rFonts w:ascii="Arial" w:cs="Arial" w:eastAsia="Arial" w:hAnsi="Arial"/>
          <w:sz w:val="20"/>
          <w:szCs w:val="20"/>
        </w:rPr>
        <w:t xml:space="preserve">Les travaux menés par l'INSERM montrent des associations significatives entre l'exposition à certains polluants de l'air et la survenue des deux principaux types de leucémies pédiatriques. La leucémie aiguë lymphoblastique (LAL) représente 80 % des cas et la leucémie aiguë myéloïde (LAM) 15 % des cas.</w:t>
      </w:r>
    </w:p>
    <w:p>
      <w:pPr>
        <w:pBdr>
          <w:left w:val="single" w:color="00833D" w:sz="12" w:space="8"/>
        </w:pBdr>
        <w:spacing w:after="120"/>
        <w:ind w:left="360"/>
        <w:jc w:val="both"/>
      </w:pPr>
      <w:r>
        <w:rPr>
          <w:rFonts w:ascii="Arial" w:cs="Arial" w:eastAsia="Arial" w:hAnsi="Arial"/>
          <w:sz w:val="20"/>
          <w:szCs w:val="20"/>
        </w:rPr>
        <w:t xml:space="preserve">Après avoir montré que la proximité du lieu de résidence avec un grand axe routier était associée à un risque accru de développer une LAM, les chercheurs ont observé une association entre l'exposition aux PM2,5 et le risque de développer une LAL. Les enfants les plus exposés présenteraient un risque plus élevé de l'ordre de 70 % par rapport aux enfants les moins exposés.</w:t>
      </w:r>
    </w:p>
    <w:p>
      <w:pPr>
        <w:pBdr>
          <w:left w:val="single" w:color="00833D" w:sz="12" w:space="8"/>
        </w:pBdr>
        <w:spacing w:after="120"/>
        <w:ind w:left="360"/>
        <w:jc w:val="both"/>
      </w:pPr>
      <w:r>
        <w:rPr>
          <w:rFonts w:ascii="Arial" w:cs="Arial" w:eastAsia="Arial" w:hAnsi="Arial"/>
          <w:sz w:val="20"/>
          <w:szCs w:val="20"/>
        </w:rPr>
        <w:t xml:space="preserve">Chaque augmentation de 2 µg/m³ de la concentration en PM2,5 dans l'air serait associée à un accroissement du risque moyen de 14 %. Le potentiel carcinogène pour l'humain de certains composants issus notamment du trafic routier est aujourd'hui reconnu.</w:t>
      </w:r>
    </w:p>
    <w:p>
      <w:pPr>
        <w:spacing w:before="280" w:after="100"/>
      </w:pPr>
      <w:r>
        <w:rPr>
          <w:rFonts w:ascii="Arial" w:cs="Arial" w:eastAsia="Arial" w:hAnsi="Arial"/>
          <w:b/>
          <w:bCs/>
          <w:color w:val="333333"/>
          <w:sz w:val="22"/>
          <w:szCs w:val="22"/>
        </w:rPr>
        <w:t xml:space="preserve">Estimations du nombre d'enfants (0–19 ans) ayant des niveaux de plomb dans le sang (BLL) supérieurs à 5 µg/dL et à 10 µg/dL (en %)</w:t>
      </w:r>
    </w:p>
    <w:p>
      <w:pPr>
        <w:pBdr>
          <w:left w:val="single" w:color="00833D" w:sz="12" w:space="8"/>
        </w:pBdr>
        <w:spacing w:after="120"/>
        <w:ind w:left="360"/>
        <w:jc w:val="both"/>
      </w:pPr>
      <w:r>
        <w:rPr>
          <w:rFonts w:ascii="Arial" w:cs="Arial" w:eastAsia="Arial" w:hAnsi="Arial"/>
          <w:sz w:val="20"/>
          <w:szCs w:val="20"/>
        </w:rPr>
        <w:t xml:space="preserve">Le plomb est une puissante neurotoxine qui cause des dommages irréparables au cerveau des enfants, particulièrement destructeur pour les bébés et les enfants de moins de cinq ans. Il endommage leur cerveau avant qu'ils n'aient pu se développer pleinement, causant des troubles neurologiques, cognitifs et physiques tout au long de leur vie.</w:t>
      </w:r>
    </w:p>
    <w:p>
      <w:pPr>
        <w:pBdr>
          <w:left w:val="single" w:color="00833D" w:sz="12" w:space="8"/>
        </w:pBdr>
        <w:spacing w:after="120"/>
        <w:ind w:left="360"/>
        <w:jc w:val="both"/>
      </w:pPr>
      <w:r>
        <w:rPr>
          <w:rFonts w:ascii="Arial" w:cs="Arial" w:eastAsia="Arial" w:hAnsi="Arial"/>
          <w:sz w:val="20"/>
          <w:szCs w:val="20"/>
        </w:rPr>
        <w:t xml:space="preserve">Depuis les années 90, une diminution importante de la plombémie moyenne des enfants est observée. En 1995, plus d'un quart des enfants de 1 à 6 ans avait une plombémie supérieure à 50 µg/L. Aujourd'hui, la proportion des enfants présentant un taux supérieur à 50 µg/L est tombée à environ 2 %, avec des disparités entre les régions et certains quartiers urbains.</w:t>
      </w:r>
    </w:p>
    <w:p>
      <w:pPr>
        <w:pBdr>
          <w:left w:val="single" w:color="00833D" w:sz="12" w:space="8"/>
        </w:pBdr>
        <w:spacing w:after="120"/>
        <w:ind w:left="360"/>
        <w:jc w:val="both"/>
      </w:pPr>
      <w:r>
        <w:rPr>
          <w:rFonts w:ascii="Arial" w:cs="Arial" w:eastAsia="Arial" w:hAnsi="Arial"/>
          <w:sz w:val="20"/>
          <w:szCs w:val="20"/>
        </w:rPr>
        <w:t xml:space="preserve">En Guyane, le taux d'incidence du saturnisme est cinquante fois plus élevé que dans l'hexagone, correspondant à un enfant sur 5 de 1 à 6 ans selon l'étude Guyaplomb. Ces populations sont également fortement exposées au mercure, dont l'imprégnation a augmenté de 25 % depuis 2005 dans les territoires isolés.</w:t>
      </w:r>
    </w:p>
    <w:p>
      <w:pPr>
        <w:spacing w:before="280" w:after="100"/>
      </w:pPr>
      <w:r>
        <w:rPr>
          <w:rFonts w:ascii="Arial" w:cs="Arial" w:eastAsia="Arial" w:hAnsi="Arial"/>
          <w:b/>
          <w:bCs/>
          <w:color w:val="333333"/>
          <w:sz w:val="22"/>
          <w:szCs w:val="22"/>
        </w:rPr>
        <w:t xml:space="preserve">Pourcentage d'enfants de moins de 18 ans vivant dans des zones à haut risque de pollution par les pesticides (en %)</w:t>
      </w:r>
    </w:p>
    <w:p>
      <w:pPr>
        <w:pBdr>
          <w:left w:val="single" w:color="00833D" w:sz="12" w:space="8"/>
        </w:pBdr>
        <w:spacing w:after="120"/>
        <w:ind w:left="360"/>
        <w:jc w:val="both"/>
      </w:pPr>
      <w:r>
        <w:rPr>
          <w:rFonts w:ascii="Arial" w:cs="Arial" w:eastAsia="Arial" w:hAnsi="Arial"/>
          <w:sz w:val="20"/>
          <w:szCs w:val="20"/>
        </w:rPr>
        <w:t xml:space="preserve">Sur les 55 millions d'hectares que compte le territoire français métropolitain, un peu plus de 28 millions sont occupés par des activités agricoles pouvant donner lieu à l'utilisation de substances potentiellement toxiques.</w:t>
      </w:r>
    </w:p>
    <w:p>
      <w:pPr>
        <w:pBdr>
          <w:left w:val="single" w:color="00833D" w:sz="12" w:space="8"/>
        </w:pBdr>
        <w:spacing w:after="120"/>
        <w:ind w:left="360"/>
        <w:jc w:val="both"/>
      </w:pPr>
      <w:r>
        <w:rPr>
          <w:rFonts w:ascii="Arial" w:cs="Arial" w:eastAsia="Arial" w:hAnsi="Arial"/>
          <w:sz w:val="20"/>
          <w:szCs w:val="20"/>
        </w:rPr>
        <w:t xml:space="preserve">Les enfants courent un risque plus élevé que les adultes face aux pesticides. Leur organisme est plus fragile, et les risques d'exposition in utero sont également importants. La pollution aux pesticides a été associée à des dommages causés aux systèmes nerveux, cardiovasculaire, digestif, reproducteur, endocrinien et immunitaire, ainsi qu'à des cancers dont la leucémie.</w:t>
      </w:r>
    </w:p>
    <w:p>
      <w:pPr>
        <w:pBdr>
          <w:left w:val="single" w:color="00833D" w:sz="12" w:space="8"/>
        </w:pBdr>
        <w:spacing w:after="120"/>
        <w:ind w:left="360"/>
        <w:jc w:val="both"/>
      </w:pPr>
      <w:r>
        <w:rPr>
          <w:rFonts w:ascii="Arial" w:cs="Arial" w:eastAsia="Arial" w:hAnsi="Arial"/>
          <w:sz w:val="20"/>
          <w:szCs w:val="20"/>
        </w:rPr>
        <w:t xml:space="preserve">Une exposition précoce pourrait également être associée à des troubles de l'attention et à des troubles du spectre autistique, bien que des recherches supplémentaires soient nécessaires sur ce sujet.</w:t>
      </w:r>
    </w:p>
    <w:p>
      <w:pPr>
        <w:spacing w:before="280" w:after="100"/>
      </w:pPr>
      <w:r>
        <w:rPr>
          <w:rFonts w:ascii="Arial" w:cs="Arial" w:eastAsia="Arial" w:hAnsi="Arial"/>
          <w:b/>
          <w:bCs/>
          <w:color w:val="333333"/>
          <w:sz w:val="22"/>
          <w:szCs w:val="22"/>
        </w:rPr>
        <w:t xml:space="preserve">Espaces verts urbains par habitant (en m²)</w:t>
      </w:r>
    </w:p>
    <w:p>
      <w:pPr>
        <w:pBdr>
          <w:left w:val="single" w:color="00833D" w:sz="12" w:space="8"/>
        </w:pBdr>
        <w:spacing w:after="120"/>
        <w:ind w:left="360"/>
        <w:jc w:val="both"/>
      </w:pPr>
      <w:r>
        <w:rPr>
          <w:rFonts w:ascii="Arial" w:cs="Arial" w:eastAsia="Arial" w:hAnsi="Arial"/>
          <w:sz w:val="20"/>
          <w:szCs w:val="20"/>
        </w:rPr>
        <w:t xml:space="preserve">L'Organisation mondiale de la santé (OMS) classe les espaces verts parmi les déterminants sociaux de la santé. Les quartiers adaptés aux enfants leur offrent la possibilité de jouer et de faire de l'exercice en plein air.</w:t>
      </w:r>
    </w:p>
    <w:p>
      <w:pPr>
        <w:pBdr>
          <w:left w:val="single" w:color="00833D" w:sz="12" w:space="8"/>
        </w:pBdr>
        <w:spacing w:after="120"/>
        <w:ind w:left="360"/>
        <w:jc w:val="both"/>
      </w:pPr>
      <w:r>
        <w:rPr>
          <w:rFonts w:ascii="Arial" w:cs="Arial" w:eastAsia="Arial" w:hAnsi="Arial"/>
          <w:sz w:val="20"/>
          <w:szCs w:val="20"/>
        </w:rPr>
        <w:t xml:space="preserve">L'activité physique dans la nature améliore le bien-être émotionnel, tandis que la sédentarité dans l'enfance est associée à un risque plus élevé de développer des problèmes de santé physique et mentale. Une meilleure humeur, une meilleure estime de soi, une résilience accrue et une prévalence moindre de la dépression et de l'anxiété sont quelques-uns des effets avérés des espaces verts sur la santé mentale.</w:t>
      </w:r>
    </w:p>
    <w:p>
      <w:pPr>
        <w:pBdr>
          <w:left w:val="single" w:color="00833D" w:sz="12" w:space="8"/>
        </w:pBdr>
        <w:spacing w:after="120"/>
        <w:ind w:left="360"/>
        <w:jc w:val="both"/>
      </w:pPr>
      <w:r>
        <w:rPr>
          <w:rFonts w:ascii="Arial" w:cs="Arial" w:eastAsia="Arial" w:hAnsi="Arial"/>
          <w:sz w:val="20"/>
          <w:szCs w:val="20"/>
        </w:rPr>
        <w:t xml:space="preserve">Des preuves expérimentales montrent que la proximité d'espaces verts et les promenades dans la nature peuvent réduire les symptômes du trouble déficitaire de l'attention et augmenter la concentration chez les enfants touchés.</w:t>
      </w:r>
    </w:p>
    <w:p>
      <w:pPr>
        <w:spacing w:before="280" w:after="100"/>
      </w:pPr>
      <w:r>
        <w:rPr>
          <w:rFonts w:ascii="Arial" w:cs="Arial" w:eastAsia="Arial" w:hAnsi="Arial"/>
          <w:b/>
          <w:bCs/>
          <w:color w:val="333333"/>
          <w:sz w:val="22"/>
          <w:szCs w:val="22"/>
        </w:rPr>
        <w:t xml:space="preserve">Nombre d'élèves touchés par des perturbations scolaires liées au climat, par pays et par risque climatique majeur</w:t>
      </w:r>
    </w:p>
    <w:p>
      <w:pPr>
        <w:pBdr>
          <w:left w:val="single" w:color="00833D" w:sz="12" w:space="8"/>
        </w:pBdr>
        <w:spacing w:after="120"/>
        <w:ind w:left="360"/>
        <w:jc w:val="both"/>
      </w:pPr>
      <w:r>
        <w:rPr>
          <w:rFonts w:ascii="Arial" w:cs="Arial" w:eastAsia="Arial" w:hAnsi="Arial"/>
          <w:sz w:val="20"/>
          <w:szCs w:val="20"/>
        </w:rPr>
        <w:t xml:space="preserve">Non exhaustive, cette donnée permet toutefois de mettre en lumière l'impact du changement climatique sur le présent et l'avenir des enfants en France. Le changement climatique augmentera le nombre et l'intensité des évènements météorologiques extrêmes.</w:t>
      </w:r>
    </w:p>
    <w:p>
      <w:pPr>
        <w:pBdr>
          <w:left w:val="single" w:color="00833D" w:sz="12" w:space="8"/>
        </w:pBdr>
        <w:spacing w:after="120"/>
        <w:ind w:left="360"/>
        <w:jc w:val="both"/>
      </w:pPr>
      <w:r>
        <w:rPr>
          <w:rFonts w:ascii="Arial" w:cs="Arial" w:eastAsia="Arial" w:hAnsi="Arial"/>
          <w:sz w:val="20"/>
          <w:szCs w:val="20"/>
        </w:rPr>
        <w:t xml:space="preserve">Or, les établissements scolaires sont rarement adaptés à ces risques, qu'il s'agisse de chaleur, d'inondations, de vents violents, de risques d'incendie ou d'érosions côtières. Des adaptations sont donc à envisager urgemment afin d'éviter que l'éducation et la protection des enfants soient affectées.</w:t>
      </w:r>
    </w:p>
    <w:p>
      <w:pPr>
        <w:spacing w:before="280" w:after="100"/>
      </w:pPr>
      <w:r>
        <w:rPr>
          <w:rFonts w:ascii="Arial" w:cs="Arial" w:eastAsia="Arial" w:hAnsi="Arial"/>
          <w:b/>
          <w:bCs/>
          <w:color w:val="333333"/>
          <w:sz w:val="22"/>
          <w:szCs w:val="22"/>
        </w:rPr>
        <w:t xml:space="preserve">Nombre d'enfants déplacés à cause d'événements dus au changement climatique (en millions)</w:t>
      </w:r>
    </w:p>
    <w:p>
      <w:pPr>
        <w:pBdr>
          <w:left w:val="single" w:color="00833D" w:sz="12" w:space="8"/>
        </w:pBdr>
        <w:spacing w:after="120"/>
        <w:ind w:left="360"/>
        <w:jc w:val="both"/>
      </w:pPr>
      <w:r>
        <w:rPr>
          <w:rFonts w:ascii="Arial" w:cs="Arial" w:eastAsia="Arial" w:hAnsi="Arial"/>
          <w:sz w:val="20"/>
          <w:szCs w:val="20"/>
        </w:rPr>
        <w:t xml:space="preserve">Les déplacements internes liés au changement climatique sont encore peu fréquents et peu visibles en France. Pourtant, l'intensité ou la récurrence d'évènements météorologiques dans certains territoires pourrait conduire prochainement à des déplacements de population.</w:t>
      </w:r>
    </w:p>
    <w:p>
      <w:pPr>
        <w:pBdr>
          <w:left w:val="single" w:color="00833D" w:sz="12" w:space="8"/>
        </w:pBdr>
        <w:spacing w:after="120"/>
        <w:ind w:left="360"/>
        <w:jc w:val="both"/>
      </w:pPr>
      <w:r>
        <w:rPr>
          <w:rFonts w:ascii="Arial" w:cs="Arial" w:eastAsia="Arial" w:hAnsi="Arial"/>
          <w:sz w:val="20"/>
          <w:szCs w:val="20"/>
        </w:rPr>
        <w:t xml:space="preserve">Aujourd'hui, en France, 20 % du trait de côte est en recul. D'ici 2050, 5 200 logements et 1 400 locaux d'activité pourraient être affectés par le recul du trait de côte, pour un coût total de 1,2 milliard d'euros.</w:t>
      </w:r>
    </w:p>
    <w:p>
      <w:pPr>
        <w:pBdr>
          <w:left w:val="single" w:color="00833D" w:sz="12" w:space="8"/>
        </w:pBdr>
        <w:spacing w:after="120"/>
        <w:ind w:left="360"/>
        <w:jc w:val="both"/>
      </w:pPr>
      <w:r>
        <w:rPr>
          <w:rFonts w:ascii="Arial" w:cs="Arial" w:eastAsia="Arial" w:hAnsi="Arial"/>
          <w:sz w:val="20"/>
          <w:szCs w:val="20"/>
        </w:rPr>
        <w:t xml:space="preserve">Face à ces prévisions, il est urgent d'accompagner ces évolutions pour que les enfants ne soient pas les premières victimes de déplacements internes mal anticipés qui affecteraient leurs droits : continuité scolaire, santé mentale, unité familiale, destruction de leur habitation.</w:t>
      </w:r>
    </w:p>
    <w:p>
      <w:pPr>
        <w:pBdr>
          <w:bottom w:val="single" w:color="80BD41" w:sz="6" w:space="4"/>
        </w:pBdr>
        <w:spacing w:before="480" w:after="200"/>
      </w:pPr>
      <w:r>
        <w:rPr>
          <w:rFonts w:ascii="Arial" w:cs="Arial" w:eastAsia="Arial" w:hAnsi="Arial"/>
          <w:b/>
          <w:bCs/>
          <w:color w:val="80BD41"/>
          <w:sz w:val="32"/>
          <w:szCs w:val="32"/>
        </w:rPr>
        <w:t xml:space="preserve">11. Numérique</w:t>
      </w:r>
    </w:p>
    <w:p>
      <w:pPr>
        <w:spacing w:before="280" w:after="100"/>
      </w:pPr>
      <w:r>
        <w:rPr>
          <w:rFonts w:ascii="Arial" w:cs="Arial" w:eastAsia="Arial" w:hAnsi="Arial"/>
          <w:b/>
          <w:bCs/>
          <w:color w:val="333333"/>
          <w:sz w:val="22"/>
          <w:szCs w:val="22"/>
        </w:rPr>
        <w:t xml:space="preserve">Part d'enfants de 0–6 ans utilisant un écran numérique (ordinateur/tablette) selon l'âge (en %)</w:t>
      </w:r>
    </w:p>
    <w:p>
      <w:pPr>
        <w:pBdr>
          <w:left w:val="single" w:color="80BD41" w:sz="12" w:space="8"/>
        </w:pBdr>
        <w:spacing w:after="120"/>
        <w:ind w:left="360"/>
        <w:jc w:val="both"/>
      </w:pPr>
      <w:r>
        <w:rPr>
          <w:rFonts w:ascii="Arial" w:cs="Arial" w:eastAsia="Arial" w:hAnsi="Arial"/>
          <w:sz w:val="20"/>
          <w:szCs w:val="20"/>
        </w:rPr>
        <w:t xml:space="preserve">Les normes institutionnelles concernant les relations des enfants en bas âge avec les écrans préconisent la règle « 3-6-9-12 » : pas d'écrans avant 3 ans puis à chaque âge ses appropriations. L'étude ELFE, cohorte nationale française qui suit les enfants nés en 2011, permet de décrire les trajectoires de consommation des écrans durant les six premières années de vie.</w:t>
      </w:r>
    </w:p>
    <w:p>
      <w:pPr>
        <w:pBdr>
          <w:left w:val="single" w:color="80BD41" w:sz="12" w:space="8"/>
        </w:pBdr>
        <w:spacing w:after="120"/>
        <w:ind w:left="360"/>
        <w:jc w:val="both"/>
      </w:pPr>
      <w:r>
        <w:rPr>
          <w:rFonts w:ascii="Arial" w:cs="Arial" w:eastAsia="Arial" w:hAnsi="Arial"/>
          <w:sz w:val="20"/>
          <w:szCs w:val="20"/>
        </w:rPr>
        <w:t xml:space="preserve">Les résultats montrent qu'à deux ans, environ 27 % des enfants utilisent déjà un écran numérique, et que cette proportion atteint 54 % à l'âge de cinq ans et demi. À 2 ans, 4 % des enfants étaient dans la catégorie « élevée » (30–60 min/jour) et 1 % dans la catégorie « très élevée » (&gt; 60 min/jour). À 5,5 ans, ces parts deviennent 16 % et 10 % respectivement.</w:t>
      </w:r>
    </w:p>
    <w:p>
      <w:pPr>
        <w:pBdr>
          <w:left w:val="single" w:color="80BD41" w:sz="12" w:space="8"/>
        </w:pBdr>
        <w:spacing w:after="120"/>
        <w:ind w:left="360"/>
        <w:jc w:val="both"/>
      </w:pPr>
      <w:r>
        <w:rPr>
          <w:rFonts w:ascii="Arial" w:cs="Arial" w:eastAsia="Arial" w:hAnsi="Arial"/>
          <w:sz w:val="20"/>
          <w:szCs w:val="20"/>
        </w:rPr>
        <w:t xml:space="preserve">En moyenne, le temps quotidien d'écran passe d'environ 53 minutes par jour à 2 ans, à 92 minutes à 5,5 ans. L'exposition précoce et croissante aux écrans dépasse les recommandations institutionnelles et peut avoir des implications sur le développement cognitif, langagier et social des enfants.</w:t>
      </w:r>
    </w:p>
    <w:p>
      <w:pPr>
        <w:spacing w:before="280" w:after="100"/>
      </w:pPr>
      <w:r>
        <w:rPr>
          <w:rFonts w:ascii="Arial" w:cs="Arial" w:eastAsia="Arial" w:hAnsi="Arial"/>
          <w:b/>
          <w:bCs/>
          <w:color w:val="333333"/>
          <w:sz w:val="22"/>
          <w:szCs w:val="22"/>
        </w:rPr>
        <w:t xml:space="preserve">Pourcentage d'enfants en maternelle exposés aux écrans le matin avant l'école présentant des troubles du langage (en %)</w:t>
      </w:r>
    </w:p>
    <w:p>
      <w:pPr>
        <w:pBdr>
          <w:left w:val="single" w:color="80BD41" w:sz="12" w:space="8"/>
        </w:pBdr>
        <w:spacing w:after="120"/>
        <w:ind w:left="360"/>
        <w:jc w:val="both"/>
      </w:pPr>
      <w:r>
        <w:rPr>
          <w:rFonts w:ascii="Arial" w:cs="Arial" w:eastAsia="Arial" w:hAnsi="Arial"/>
          <w:sz w:val="20"/>
          <w:szCs w:val="20"/>
        </w:rPr>
        <w:t xml:space="preserve">L'étude publiée en 2020 par Santé publique France s'appuie sur une étude cas-témoins réalisée en Ille-et-Vilaine : 167 enfants âgés de 3,5 à 6,5 ans présentant des troubles primaires du langage, comparés à 109 enfants témoins sans trouble de langage.</w:t>
      </w:r>
    </w:p>
    <w:p>
      <w:pPr>
        <w:pBdr>
          <w:left w:val="single" w:color="80BD41" w:sz="12" w:space="8"/>
        </w:pBdr>
        <w:spacing w:after="120"/>
        <w:ind w:left="360"/>
        <w:jc w:val="both"/>
      </w:pPr>
      <w:r>
        <w:rPr>
          <w:rFonts w:ascii="Arial" w:cs="Arial" w:eastAsia="Arial" w:hAnsi="Arial"/>
          <w:sz w:val="20"/>
          <w:szCs w:val="20"/>
        </w:rPr>
        <w:t xml:space="preserve">Les données indiquent que 44,3 % des enfants présentant des troubles du langage étaient exposés aux écrans le matin, contre 22 % des enfants sans trouble. Cela correspond à un risque multiplié par trois de développer un trouble primaire du langage. Ce risque est encore plus élevé lorsque les enfants ne discutent jamais ou rarement du contenu des écrans avec leurs parents.</w:t>
      </w:r>
    </w:p>
    <w:p>
      <w:pPr>
        <w:pBdr>
          <w:left w:val="single" w:color="80BD41" w:sz="12" w:space="8"/>
        </w:pBdr>
        <w:spacing w:after="120"/>
        <w:ind w:left="360"/>
        <w:jc w:val="both"/>
      </w:pPr>
      <w:r>
        <w:rPr>
          <w:rFonts w:ascii="Arial" w:cs="Arial" w:eastAsia="Arial" w:hAnsi="Arial"/>
          <w:sz w:val="20"/>
          <w:szCs w:val="20"/>
        </w:rPr>
        <w:t xml:space="preserve">Cette étude démontre que l'exposition aux écrans ne se pose plus seulement en termes de quantité, mais aussi de moment (le matin avant l'école) et de qualité de la médiation parentale. L'écran n'est pas neutre : ce qui compte n'est pas seulement l'accès ou l'usage, mais le contexte et la qualité des interactions autour du contenu numérique.</w:t>
      </w:r>
    </w:p>
    <w:p>
      <w:pPr>
        <w:spacing w:before="280" w:after="100"/>
      </w:pPr>
      <w:r>
        <w:rPr>
          <w:rFonts w:ascii="Arial" w:cs="Arial" w:eastAsia="Arial" w:hAnsi="Arial"/>
          <w:b/>
          <w:bCs/>
          <w:color w:val="333333"/>
          <w:sz w:val="22"/>
          <w:szCs w:val="22"/>
        </w:rPr>
        <w:t xml:space="preserve">Nombre d'infractions liées au numérique (crimes et délits commis à l'aide d'un outil numérique) sur des mineurs en France</w:t>
      </w:r>
    </w:p>
    <w:p>
      <w:pPr>
        <w:pBdr>
          <w:left w:val="single" w:color="80BD41" w:sz="12" w:space="8"/>
        </w:pBdr>
        <w:spacing w:after="120"/>
        <w:ind w:left="360"/>
        <w:jc w:val="both"/>
      </w:pPr>
      <w:r>
        <w:rPr>
          <w:rFonts w:ascii="Arial" w:cs="Arial" w:eastAsia="Arial" w:hAnsi="Arial"/>
          <w:sz w:val="20"/>
          <w:szCs w:val="20"/>
        </w:rPr>
        <w:t xml:space="preserve">En 2023, environ 9 710 faits impliquant des mineurs ont été recensés, soit environ 2,3 fois plus qu'en 2016. Ce chiffre englobe divers types d'infractions commises via des outils numériques : atteintes à l'intégrité ou à la dignité des mineurs (cyberharcèlement, diffusion de contenus illicites), cyber-pédopornographie et autres formes de victimisation.</w:t>
      </w:r>
    </w:p>
    <w:p>
      <w:pPr>
        <w:pBdr>
          <w:left w:val="single" w:color="80BD41" w:sz="12" w:space="8"/>
        </w:pBdr>
        <w:spacing w:after="120"/>
        <w:ind w:left="360"/>
        <w:jc w:val="both"/>
      </w:pPr>
      <w:r>
        <w:rPr>
          <w:rFonts w:ascii="Arial" w:cs="Arial" w:eastAsia="Arial" w:hAnsi="Arial"/>
          <w:sz w:val="20"/>
          <w:szCs w:val="20"/>
        </w:rPr>
        <w:t xml:space="preserve">L'évolution de cet indicateur témoigne d'une augmentation de l'exposition des enfants à des risques en ligne, reflet à la fois de l'augmentation générale de l'usage d'internet par les mineurs et de l'intensification des dispositifs de détection et de signalement par les forces de sécurité.</w:t>
      </w:r>
    </w:p>
    <w:p>
      <w:pPr>
        <w:pBdr>
          <w:left w:val="single" w:color="80BD41" w:sz="12" w:space="8"/>
        </w:pBdr>
        <w:spacing w:after="120"/>
        <w:ind w:left="360"/>
        <w:jc w:val="both"/>
      </w:pPr>
      <w:r>
        <w:rPr>
          <w:rFonts w:ascii="Arial" w:cs="Arial" w:eastAsia="Arial" w:hAnsi="Arial"/>
          <w:sz w:val="20"/>
          <w:szCs w:val="20"/>
        </w:rPr>
        <w:t xml:space="preserve">Ce chiffre reste une sous-estimation de la réalité car il dépend des cas effectivement signalés. Il révèle l'importance de la prévention, de l'éducation numérique et de la protection juridique des mineurs. La hausse depuis 2016 indique une tendance structurelle qui nécessite des réponses coordonnées : sensibilisation, dispositifs de prévention dans les écoles, accompagnement des victimes et renforcement de la coopération internationale.</w:t>
      </w:r>
    </w:p>
    <w:p>
      <w:pPr>
        <w:spacing w:before="280" w:after="100"/>
      </w:pPr>
      <w:r>
        <w:rPr>
          <w:rFonts w:ascii="Arial" w:cs="Arial" w:eastAsia="Arial" w:hAnsi="Arial"/>
          <w:b/>
          <w:bCs/>
          <w:color w:val="333333"/>
          <w:sz w:val="22"/>
          <w:szCs w:val="22"/>
        </w:rPr>
        <w:t xml:space="preserve">Pourcentage d'enfants entre 6 et 10 ans connectés et équipés d'un smartphone</w:t>
      </w:r>
    </w:p>
    <w:p>
      <w:pPr>
        <w:pBdr>
          <w:left w:val="single" w:color="80BD41" w:sz="12" w:space="8"/>
        </w:pBdr>
        <w:spacing w:after="120"/>
        <w:ind w:left="360"/>
        <w:jc w:val="both"/>
      </w:pPr>
      <w:r>
        <w:rPr>
          <w:rFonts w:ascii="Arial" w:cs="Arial" w:eastAsia="Arial" w:hAnsi="Arial"/>
          <w:sz w:val="20"/>
          <w:szCs w:val="20"/>
        </w:rPr>
        <w:t xml:space="preserve">Selon les données du rapport annuel de l'association e-Enfance, 46 % des enfants âgés de 6 à 10 ans en France possèdent déjà un smartphone : à peine entrés en école élémentaire, presque un enfant sur deux dispose d'un appareil mobile connecté lui permettant d'accéder librement à Internet, aux applications et aux réseaux sociaux.</w:t>
      </w:r>
    </w:p>
    <w:p>
      <w:pPr>
        <w:pBdr>
          <w:left w:val="single" w:color="80BD41" w:sz="12" w:space="8"/>
        </w:pBdr>
        <w:spacing w:after="120"/>
        <w:ind w:left="360"/>
        <w:jc w:val="both"/>
      </w:pPr>
      <w:r>
        <w:rPr>
          <w:rFonts w:ascii="Arial" w:cs="Arial" w:eastAsia="Arial" w:hAnsi="Arial"/>
          <w:sz w:val="20"/>
          <w:szCs w:val="20"/>
        </w:rPr>
        <w:t xml:space="preserve">L'étude associée montre que les premiers pas sur Internet se font souvent avec les parents, mais que le passage à une utilisation indépendante intervient dès environ 6 ans et 10 mois. Un smartphone à cet âge ouvre l'accès à des plateformes sociales, des espaces de communication et des contenus non filtrés, avant même que des compétences critiques soient pleinement acquises.</w:t>
      </w:r>
    </w:p>
    <w:p>
      <w:pPr>
        <w:pBdr>
          <w:left w:val="single" w:color="80BD41" w:sz="12" w:space="8"/>
        </w:pBdr>
        <w:spacing w:after="120"/>
        <w:ind w:left="360"/>
        <w:jc w:val="both"/>
      </w:pPr>
      <w:r>
        <w:rPr>
          <w:rFonts w:ascii="Arial" w:cs="Arial" w:eastAsia="Arial" w:hAnsi="Arial"/>
          <w:sz w:val="20"/>
          <w:szCs w:val="20"/>
        </w:rPr>
        <w:t xml:space="preserve">Ce niveau d'équipement accentue les risques d'exposition à des contenus inadaptés, de cyberharcèlement, d'isolement social et d'interactions avec des prédateurs, particulièrement si l'usage n'est pas encadré. Il souligne la nécessité de mesures concrètes pour protéger les enfants dans les espaces numériques, notamment une tolérance zéro envers les abus en ligne par les plateformes et un encadrement plus strict par les autorités publiques.</w:t>
      </w:r>
    </w:p>
    <w:p>
      <w:pPr>
        <w:spacing w:before="280" w:after="100"/>
      </w:pPr>
      <w:r>
        <w:rPr>
          <w:rFonts w:ascii="Arial" w:cs="Arial" w:eastAsia="Arial" w:hAnsi="Arial"/>
          <w:b/>
          <w:bCs/>
          <w:color w:val="333333"/>
          <w:sz w:val="22"/>
          <w:szCs w:val="22"/>
        </w:rPr>
        <w:t xml:space="preserve">Pourcentage d'enfants utilisant un équipement numérique</w:t>
      </w:r>
    </w:p>
    <w:p>
      <w:pPr>
        <w:pBdr>
          <w:left w:val="single" w:color="80BD41" w:sz="12" w:space="8"/>
        </w:pBdr>
        <w:spacing w:after="120"/>
        <w:ind w:left="360"/>
        <w:jc w:val="both"/>
      </w:pPr>
      <w:r>
        <w:rPr>
          <w:rFonts w:ascii="Arial" w:cs="Arial" w:eastAsia="Arial" w:hAnsi="Arial"/>
          <w:sz w:val="20"/>
          <w:szCs w:val="20"/>
        </w:rPr>
        <w:t xml:space="preserve">L'indicateur portant sur l'utilisation d'au moins un équipement numérique par les enfants en France montre que 96 % des enfants disposent d'un accès à un ordinateur, une tablette, un smartphone ou un autre dispositif numérique. Ce chiffre traduit une pénétration quasi universelle des technologies numériques dans le quotidien des enfants.</w:t>
      </w:r>
    </w:p>
    <w:p>
      <w:pPr>
        <w:pBdr>
          <w:left w:val="single" w:color="80BD41" w:sz="12" w:space="8"/>
        </w:pBdr>
        <w:spacing w:after="120"/>
        <w:ind w:left="360"/>
        <w:jc w:val="both"/>
      </w:pPr>
      <w:r>
        <w:rPr>
          <w:rFonts w:ascii="Arial" w:cs="Arial" w:eastAsia="Arial" w:hAnsi="Arial"/>
          <w:sz w:val="20"/>
          <w:szCs w:val="20"/>
        </w:rPr>
        <w:t xml:space="preserve">Cet indicateur illustre une tendance structurelle vers une socialisation numérique précoce et universelle. Elle rend indispensable de mettre en œuvre une tolérance zéro envers les abus sexuels et le harcèlement en ligne, d'encadrer plus strictement le secteur technologique et d'améliorer l'effectivité de la majorité numérique en renforçant les mécanismes de vérification de l'âge.</w:t>
      </w:r>
    </w:p>
    <w:p>
      <w:pPr>
        <w:pBdr>
          <w:left w:val="single" w:color="80BD41" w:sz="12" w:space="8"/>
        </w:pBdr>
        <w:spacing w:after="120"/>
        <w:ind w:left="360"/>
        <w:jc w:val="both"/>
      </w:pPr>
      <w:r>
        <w:rPr>
          <w:rFonts w:ascii="Arial" w:cs="Arial" w:eastAsia="Arial" w:hAnsi="Arial"/>
          <w:sz w:val="20"/>
          <w:szCs w:val="20"/>
        </w:rPr>
        <w:t xml:space="preserve">Il est également nécessaire de renforcer la prévention contre les violences en ligne, de déployer des actions de sensibilisation à destination des parents et des professionnels, et de mieux informer les enfants sur leurs droits dans l'environnement numérique : droit à l'image, protection des données personnelles et recours possibles en cas de violation.</w:t>
      </w:r>
    </w:p>
    <w:p>
      <w:pPr>
        <w:spacing w:before="280" w:after="100"/>
      </w:pPr>
      <w:r>
        <w:rPr>
          <w:rFonts w:ascii="Arial" w:cs="Arial" w:eastAsia="Arial" w:hAnsi="Arial"/>
          <w:b/>
          <w:bCs/>
          <w:color w:val="333333"/>
          <w:sz w:val="22"/>
          <w:szCs w:val="22"/>
        </w:rPr>
        <w:t xml:space="preserve">Pourcentage d'enfants entre 8 et 10 ans déclarant être inscrits aux réseaux sociaux</w:t>
      </w:r>
    </w:p>
    <w:p>
      <w:pPr>
        <w:pBdr>
          <w:left w:val="single" w:color="80BD41" w:sz="12" w:space="8"/>
        </w:pBdr>
        <w:spacing w:after="120"/>
        <w:ind w:left="360"/>
        <w:jc w:val="both"/>
      </w:pPr>
      <w:r>
        <w:rPr>
          <w:rFonts w:ascii="Arial" w:cs="Arial" w:eastAsia="Arial" w:hAnsi="Arial"/>
          <w:sz w:val="20"/>
          <w:szCs w:val="20"/>
        </w:rPr>
        <w:t xml:space="preserve">Selon le rapport 2023 d'e-Enfance, 67 % des enfants de 8 à 10 ans disposent d'un compte sur au moins une plateforme sociale. Cette réalité expose les enfants à des enjeux majeurs liés au droit à l'image et à la protection des données personnelles, droits qu'ils ne maîtrisent généralement pas.</w:t>
      </w:r>
    </w:p>
    <w:p>
      <w:pPr>
        <w:pBdr>
          <w:left w:val="single" w:color="80BD41" w:sz="12" w:space="8"/>
        </w:pBdr>
        <w:spacing w:after="120"/>
        <w:ind w:left="360"/>
        <w:jc w:val="both"/>
      </w:pPr>
      <w:r>
        <w:rPr>
          <w:rFonts w:ascii="Arial" w:cs="Arial" w:eastAsia="Arial" w:hAnsi="Arial"/>
          <w:sz w:val="20"/>
          <w:szCs w:val="20"/>
        </w:rPr>
        <w:t xml:space="preserve">La mise en œuvre de la majorité numérique, fixée à 13 ans avec autorisation parentale et à 15 ans sans, peine à agir comme un frein efficace : aucune vérification fiable de l'âge n'est systématiquement effectuée sur ces plateformes, et certains parents autorisent eux-mêmes l'inscription avant l'âge légal.</w:t>
      </w:r>
    </w:p>
    <w:p>
      <w:pPr>
        <w:pBdr>
          <w:left w:val="single" w:color="80BD41" w:sz="12" w:space="8"/>
        </w:pBdr>
        <w:spacing w:after="120"/>
        <w:ind w:left="360"/>
        <w:jc w:val="both"/>
      </w:pPr>
      <w:r>
        <w:rPr>
          <w:rFonts w:ascii="Arial" w:cs="Arial" w:eastAsia="Arial" w:hAnsi="Arial"/>
          <w:sz w:val="20"/>
          <w:szCs w:val="20"/>
        </w:rPr>
        <w:t xml:space="preserve">Ces constats mettent en évidence des lacunes importantes dans l'éducation et la prévention numériques. Ils soulignent la nécessité de renforcer l'information, de mettre en place des contrôles plus stricts sur l'accès aux réseaux sociaux pour les jeunes enfants, et de développer des dispositifs pédagogiques et juridiques adaptés pour protéger leurs droits et leur sécurité numérique.</w:t>
      </w:r>
    </w:p>
    <w:p>
      <w:pPr>
        <w:spacing w:before="280" w:after="100"/>
      </w:pPr>
      <w:r>
        <w:rPr>
          <w:rFonts w:ascii="Arial" w:cs="Arial" w:eastAsia="Arial" w:hAnsi="Arial"/>
          <w:b/>
          <w:bCs/>
          <w:color w:val="333333"/>
          <w:sz w:val="22"/>
          <w:szCs w:val="22"/>
        </w:rPr>
        <w:t xml:space="preserve">Temps d'écran des enfants de 2 ans dans enfants de la cohorte nationale ELFE (en minutes)</w:t>
      </w:r>
    </w:p>
    <w:p>
      <w:pPr>
        <w:pBdr>
          <w:left w:val="single" w:color="80BD41" w:sz="12" w:space="8"/>
        </w:pBdr>
        <w:spacing w:after="120"/>
        <w:ind w:left="360"/>
        <w:jc w:val="both"/>
      </w:pPr>
      <w:r>
        <w:rPr>
          <w:rFonts w:ascii="Arial" w:cs="Arial" w:eastAsia="Arial" w:hAnsi="Arial"/>
          <w:sz w:val="20"/>
          <w:szCs w:val="20"/>
        </w:rPr>
        <w:t xml:space="preserve">Les données disponibles montrent que le temps d'écran quotidien des jeunes enfants augmente rapidement avec l'âge. Selon le Bulletin Épidémiologique Hebdomadaire de Santé publique France, les enfants de 2 ans passent en moyenne 56 minutes par jour devant un écran, proportion qui s'accroît à 1h20 pour les enfants de 3,5 ans et atteint 1h34 pour ceux de 5,5 ans.</w:t>
      </w:r>
    </w:p>
    <w:p>
      <w:pPr>
        <w:pBdr>
          <w:left w:val="single" w:color="80BD41" w:sz="12" w:space="8"/>
        </w:pBdr>
        <w:spacing w:after="120"/>
        <w:ind w:left="360"/>
        <w:jc w:val="both"/>
      </w:pPr>
      <w:r>
        <w:rPr>
          <w:rFonts w:ascii="Arial" w:cs="Arial" w:eastAsia="Arial" w:hAnsi="Arial"/>
          <w:sz w:val="20"/>
          <w:szCs w:val="20"/>
        </w:rPr>
        <w:t xml:space="preserve">Cette progression illustre l'intégration croissante des écrans dans le quotidien des tout-petits et reflète l'exposition précoce aux technologies numériques dès l'entrée en âge préscolaire. Un temps d'écran prolongé à cet âge peut interférer avec le sommeil, réduire les moments d'activité physique et limiter les interactions sociales essentielles au développement global du jeune enfant.</w:t>
      </w:r>
    </w:p>
    <w:p>
      <w:pPr>
        <w:spacing w:before="280" w:after="100"/>
      </w:pPr>
      <w:r>
        <w:rPr>
          <w:rFonts w:ascii="Arial" w:cs="Arial" w:eastAsia="Arial" w:hAnsi="Arial"/>
          <w:b/>
          <w:bCs/>
          <w:color w:val="333333"/>
          <w:sz w:val="22"/>
          <w:szCs w:val="22"/>
        </w:rPr>
        <w:t xml:space="preserve">Temps d'écran des enfants de 5 ans et demi dans enfants de la cohorte nationale ELFE (en minutes)</w:t>
      </w:r>
    </w:p>
    <w:p>
      <w:pPr>
        <w:pBdr>
          <w:left w:val="single" w:color="80BD41" w:sz="12" w:space="8"/>
        </w:pBdr>
        <w:spacing w:after="120"/>
        <w:ind w:left="360"/>
        <w:jc w:val="both"/>
      </w:pPr>
      <w:r>
        <w:rPr>
          <w:rFonts w:ascii="Arial" w:cs="Arial" w:eastAsia="Arial" w:hAnsi="Arial"/>
          <w:sz w:val="20"/>
          <w:szCs w:val="20"/>
        </w:rPr>
        <w:t xml:space="preserve">Les données disponibles montrent que le temps d'écran quotidien des jeunes enfants augmente rapidement avec l'âge. Selon le Bulletin Épidémiologique Hebdomadaire de Santé publique France, les enfants de 2 ans passent en moyenne 56 minutes par jour devant un écran, proportion qui s'accroît à 1h20 pour les enfants de 3,5 ans et atteint 1h34 pour ceux de 5,5 ans.</w:t>
      </w:r>
    </w:p>
    <w:p>
      <w:pPr>
        <w:pBdr>
          <w:left w:val="single" w:color="80BD41" w:sz="12" w:space="8"/>
        </w:pBdr>
        <w:spacing w:after="120"/>
        <w:ind w:left="360"/>
        <w:jc w:val="both"/>
      </w:pPr>
      <w:r>
        <w:rPr>
          <w:rFonts w:ascii="Arial" w:cs="Arial" w:eastAsia="Arial" w:hAnsi="Arial"/>
          <w:sz w:val="20"/>
          <w:szCs w:val="20"/>
        </w:rPr>
        <w:t xml:space="preserve">Cette progression illustre l'intégration croissante des écrans dans le quotidien des tout-petits et reflète l'exposition précoce aux technologies numériques dès l'entrée en âge préscolaire. Un temps d'écran prolongé à cet âge peut interférer avec le sommeil, réduire les moments d'activité physique et limiter les interactions sociales essentielles au développement global du jeune enfant.</w:t>
      </w:r>
    </w:p>
    <w:p>
      <w:pPr>
        <w:spacing w:before="280" w:after="100"/>
      </w:pPr>
      <w:r>
        <w:rPr>
          <w:rFonts w:ascii="Arial" w:cs="Arial" w:eastAsia="Arial" w:hAnsi="Arial"/>
          <w:b/>
          <w:bCs/>
          <w:color w:val="333333"/>
          <w:sz w:val="22"/>
          <w:szCs w:val="22"/>
        </w:rPr>
        <w:t xml:space="preserve">Pourcentage des parents qui régulent le temps consacré aux jeux vidéos et à l'utilisation d'internet</w:t>
      </w:r>
    </w:p>
    <w:p>
      <w:pPr>
        <w:pBdr>
          <w:left w:val="single" w:color="80BD41" w:sz="12" w:space="8"/>
        </w:pBdr>
        <w:spacing w:after="120"/>
        <w:ind w:left="360"/>
        <w:jc w:val="both"/>
      </w:pPr>
      <w:r>
        <w:rPr>
          <w:rFonts w:ascii="Arial" w:cs="Arial" w:eastAsia="Arial" w:hAnsi="Arial"/>
          <w:sz w:val="20"/>
          <w:szCs w:val="20"/>
        </w:rPr>
        <w:t xml:space="preserve">Selon le Baromètre du numérique 2025 de l'ARCEP, 62 % des parents déclarent contrôler le temps consacré aux jeux vidéo, 57 % régulent le temps passé sur Internet, et 63 % interviennent sur l'utilisation générale des écrans. Ces chiffres montrent que la majorité des parents s'efforce d'accompagner les enfants et de poser des limites.</w:t>
      </w:r>
    </w:p>
    <w:p>
      <w:pPr>
        <w:pBdr>
          <w:left w:val="single" w:color="80BD41" w:sz="12" w:space="8"/>
        </w:pBdr>
        <w:spacing w:after="120"/>
        <w:ind w:left="360"/>
        <w:jc w:val="both"/>
      </w:pPr>
      <w:r>
        <w:rPr>
          <w:rFonts w:ascii="Arial" w:cs="Arial" w:eastAsia="Arial" w:hAnsi="Arial"/>
          <w:sz w:val="20"/>
          <w:szCs w:val="20"/>
        </w:rPr>
        <w:t xml:space="preserve">Pour autant, malgré cette attention, une part non négligeable des enfants reste exposée à des usages non encadrés ou excessifs. La régulation parentale seule ne suffit pas toujours à compenser la facilité d'accès aux appareils connectés, aux réseaux sociaux et aux plateformes. De nombreux parents se sentent parfois mal équipés pour définir des règles claires ou gérer les risques liés au cyberharcèlement et aux interactions en ligne.</w:t>
      </w:r>
    </w:p>
    <w:p>
      <w:pPr>
        <w:pBdr>
          <w:left w:val="single" w:color="80BD41" w:sz="12" w:space="8"/>
        </w:pBdr>
        <w:spacing w:after="120"/>
        <w:ind w:left="360"/>
        <w:jc w:val="both"/>
      </w:pPr>
      <w:r>
        <w:rPr>
          <w:rFonts w:ascii="Arial" w:cs="Arial" w:eastAsia="Arial" w:hAnsi="Arial"/>
          <w:sz w:val="20"/>
          <w:szCs w:val="20"/>
        </w:rPr>
        <w:t xml:space="preserve">Cela souligne la nécessité d'un encadrement global et coordonné : l'État et les régulateurs ont un rôle central à jouer pour encadrer strictement le secteur technologique et tenir les entreprises responsables de l'exposition des enfants à des contenus ou interactions préjudiciables.</w:t>
      </w:r>
    </w:p>
    <w:p>
      <w:pPr>
        <w:spacing w:before="280" w:after="100"/>
      </w:pPr>
      <w:r>
        <w:rPr>
          <w:rFonts w:ascii="Arial" w:cs="Arial" w:eastAsia="Arial" w:hAnsi="Arial"/>
          <w:b/>
          <w:bCs/>
          <w:color w:val="333333"/>
          <w:sz w:val="22"/>
          <w:szCs w:val="22"/>
        </w:rPr>
        <w:t xml:space="preserve">Pourcentage des parents imposant des restrictions sur les smartphones</w:t>
      </w:r>
    </w:p>
    <w:p>
      <w:pPr>
        <w:pBdr>
          <w:left w:val="single" w:color="80BD41" w:sz="12" w:space="8"/>
        </w:pBdr>
        <w:spacing w:after="120"/>
        <w:ind w:left="360"/>
        <w:jc w:val="both"/>
      </w:pPr>
      <w:r>
        <w:rPr>
          <w:rFonts w:ascii="Arial" w:cs="Arial" w:eastAsia="Arial" w:hAnsi="Arial"/>
          <w:sz w:val="20"/>
          <w:szCs w:val="20"/>
        </w:rPr>
        <w:t xml:space="preserve">Selon le Baromètre du numérique 2025 de l'ARCEP, 62 % des parents déclarent contrôler le temps consacré aux jeux vidéo, 57 % régulent le temps passé sur Internet, et 63 % interviennent sur l'utilisation générale des écrans. Ces chiffres montrent que la majorité des parents s'efforce d'accompagner les enfants et de poser des limites.</w:t>
      </w:r>
    </w:p>
    <w:p>
      <w:pPr>
        <w:pBdr>
          <w:left w:val="single" w:color="80BD41" w:sz="12" w:space="8"/>
        </w:pBdr>
        <w:spacing w:after="120"/>
        <w:ind w:left="360"/>
        <w:jc w:val="both"/>
      </w:pPr>
      <w:r>
        <w:rPr>
          <w:rFonts w:ascii="Arial" w:cs="Arial" w:eastAsia="Arial" w:hAnsi="Arial"/>
          <w:sz w:val="20"/>
          <w:szCs w:val="20"/>
        </w:rPr>
        <w:t xml:space="preserve">Pour autant, malgré cette attention, une part non négligeable des enfants reste exposée à des usages non encadrés ou excessifs. La régulation parentale seule ne suffit pas toujours à compenser la facilité d'accès aux appareils connectés, aux réseaux sociaux et aux plateformes. De nombreux parents se sentent parfois mal équipés pour définir des règles claires ou gérer les risques liés au cyberharcèlement et aux interactions en ligne.</w:t>
      </w:r>
    </w:p>
    <w:p>
      <w:pPr>
        <w:pBdr>
          <w:left w:val="single" w:color="80BD41" w:sz="12" w:space="8"/>
        </w:pBdr>
        <w:spacing w:after="120"/>
        <w:ind w:left="360"/>
        <w:jc w:val="both"/>
      </w:pPr>
      <w:r>
        <w:rPr>
          <w:rFonts w:ascii="Arial" w:cs="Arial" w:eastAsia="Arial" w:hAnsi="Arial"/>
          <w:sz w:val="20"/>
          <w:szCs w:val="20"/>
        </w:rPr>
        <w:t xml:space="preserve">Cela souligne la nécessité d'un encadrement global et coordonné : l'État et les régulateurs ont un rôle central à jouer pour encadrer strictement le secteur technologique et tenir les entreprises responsables de l'exposition des enfants à des contenus ou interactions préjudiciables.</w:t>
      </w:r>
    </w:p>
    <w:p>
      <w:pPr>
        <w:spacing w:before="280" w:after="100"/>
      </w:pPr>
      <w:r>
        <w:rPr>
          <w:rFonts w:ascii="Arial" w:cs="Arial" w:eastAsia="Arial" w:hAnsi="Arial"/>
          <w:b/>
          <w:bCs/>
          <w:color w:val="333333"/>
          <w:sz w:val="22"/>
          <w:szCs w:val="22"/>
        </w:rPr>
        <w:t xml:space="preserve">Proportion d'enfants victimes de cyberharcèlement parmi les 8-18 ans (en %)</w:t>
      </w:r>
    </w:p>
    <w:p>
      <w:pPr>
        <w:pBdr>
          <w:left w:val="single" w:color="80BD41" w:sz="12" w:space="8"/>
        </w:pBdr>
        <w:spacing w:after="120"/>
        <w:ind w:left="360"/>
        <w:jc w:val="both"/>
      </w:pPr>
      <w:r>
        <w:rPr>
          <w:rFonts w:ascii="Arial" w:cs="Arial" w:eastAsia="Arial" w:hAnsi="Arial"/>
          <w:sz w:val="20"/>
          <w:szCs w:val="20"/>
        </w:rPr>
        <w:t xml:space="preserve">Selon l'étude menée par e-Enfance et la Caisse d'Épargne en 2021, 20 % des enfants et adolescents âgés de 8 à 18 ans déclarent avoir été victimes de cyber-harcèlement, c'est-à-dire d'agissements répétés de malveillance ou d'intimidation via les outils numériques, les réseaux sociaux, les messageries ou d'autres plateformes en ligne.</w:t>
      </w:r>
    </w:p>
    <w:p>
      <w:pPr>
        <w:pBdr>
          <w:left w:val="single" w:color="80BD41" w:sz="12" w:space="8"/>
        </w:pBdr>
        <w:spacing w:after="120"/>
        <w:ind w:left="360"/>
        <w:jc w:val="both"/>
      </w:pPr>
      <w:r>
        <w:rPr>
          <w:rFonts w:ascii="Arial" w:cs="Arial" w:eastAsia="Arial" w:hAnsi="Arial"/>
          <w:sz w:val="20"/>
          <w:szCs w:val="20"/>
        </w:rPr>
        <w:t xml:space="preserve">Ce chiffre révèle qu'un enfant sur cinq est confronté à des formes de malveillance numérique. L'indicateur souligne l'ampleur d'un phénomène pouvant avoir des conséquences psychologiques et sociales importantes : anxiété, stress, isolement, baisse de confiance en soi, avec des impacts potentiels sur la scolarité et les relations avec les pairs.</w:t>
      </w:r>
    </w:p>
    <w:p>
      <w:pPr>
        <w:pBdr>
          <w:left w:val="single" w:color="80BD41" w:sz="12" w:space="8"/>
        </w:pBdr>
        <w:spacing w:after="120"/>
        <w:ind w:left="360"/>
        <w:jc w:val="both"/>
      </w:pPr>
      <w:r>
        <w:rPr>
          <w:rFonts w:ascii="Arial" w:cs="Arial" w:eastAsia="Arial" w:hAnsi="Arial"/>
          <w:sz w:val="20"/>
          <w:szCs w:val="20"/>
        </w:rPr>
        <w:t xml:space="preserve">Il met en évidence les vulnérabilités associées à l'usage précoce et autonome du numérique : les enfants, souvent insuffisamment informés sur la protection de leur vie privée et sur les recours possibles, sont exposés à des interactions potentiellement nuisibles avant d'avoir développé les compétences nécessaires pour s'en protéger.</w:t>
      </w:r>
    </w:p>
    <w:p>
      <w:pPr>
        <w:pBdr>
          <w:bottom w:val="single" w:color="1CABE2" w:sz="6" w:space="4"/>
        </w:pBdr>
        <w:spacing w:before="480" w:after="200"/>
      </w:pPr>
      <w:r>
        <w:rPr>
          <w:rFonts w:ascii="Arial" w:cs="Arial" w:eastAsia="Arial" w:hAnsi="Arial"/>
          <w:b/>
          <w:bCs/>
          <w:color w:val="1CABE2"/>
          <w:sz w:val="32"/>
          <w:szCs w:val="32"/>
        </w:rPr>
        <w:t xml:space="preserve">12. Petite enfance</w:t>
      </w:r>
    </w:p>
    <w:p>
      <w:pPr>
        <w:spacing w:before="280" w:after="100"/>
      </w:pPr>
      <w:r>
        <w:rPr>
          <w:rFonts w:ascii="Arial" w:cs="Arial" w:eastAsia="Arial" w:hAnsi="Arial"/>
          <w:b/>
          <w:bCs/>
          <w:color w:val="333333"/>
          <w:sz w:val="22"/>
          <w:szCs w:val="22"/>
        </w:rPr>
        <w:t xml:space="preserve">Nombre d'enfants en mode d'accueil formel</w:t>
      </w:r>
    </w:p>
    <w:p>
      <w:pPr>
        <w:pBdr>
          <w:left w:val="single" w:color="1CABE2" w:sz="12" w:space="8"/>
        </w:pBdr>
        <w:spacing w:after="120"/>
        <w:ind w:left="360"/>
        <w:jc w:val="both"/>
      </w:pPr>
      <w:r>
        <w:rPr>
          <w:rFonts w:ascii="Arial" w:cs="Arial" w:eastAsia="Arial" w:hAnsi="Arial"/>
          <w:sz w:val="20"/>
          <w:szCs w:val="20"/>
        </w:rPr>
        <w:t xml:space="preserve">Analyse à compléter.</w:t>
      </w:r>
    </w:p>
    <w:p>
      <w:pPr>
        <w:spacing w:before="280" w:after="100"/>
      </w:pPr>
      <w:r>
        <w:rPr>
          <w:rFonts w:ascii="Arial" w:cs="Arial" w:eastAsia="Arial" w:hAnsi="Arial"/>
          <w:b/>
          <w:bCs/>
          <w:color w:val="333333"/>
          <w:sz w:val="22"/>
          <w:szCs w:val="22"/>
        </w:rPr>
        <w:t xml:space="preserve">Taux de recours à un mode d'accueil formel des enfants de moins de 3 ans dans les familles aux plus hauts revenus (en %)</w:t>
      </w:r>
    </w:p>
    <w:p>
      <w:pPr>
        <w:pBdr>
          <w:left w:val="single" w:color="1CABE2" w:sz="12" w:space="8"/>
        </w:pBdr>
        <w:spacing w:after="120"/>
        <w:ind w:left="360"/>
        <w:jc w:val="both"/>
      </w:pPr>
      <w:r>
        <w:rPr>
          <w:rFonts w:ascii="Arial" w:cs="Arial" w:eastAsia="Arial" w:hAnsi="Arial"/>
          <w:sz w:val="20"/>
          <w:szCs w:val="20"/>
        </w:rPr>
        <w:t xml:space="preserve">Les familles les plus modestes recourent trois fois moins souvent que les autres à un mode d'accueil formel. Les enfants des familles allocataires les plus modestes (ressources sous le seuil de bas revenu) sont 23 % à être confiés à un mode d'accueil en 2022, contre 74 % de ceux dont les familles ont des revenus plus élevés.</w:t>
      </w:r>
    </w:p>
    <w:p>
      <w:pPr>
        <w:pBdr>
          <w:left w:val="single" w:color="1CABE2" w:sz="12" w:space="8"/>
        </w:pBdr>
        <w:spacing w:after="120"/>
        <w:ind w:left="360"/>
        <w:jc w:val="both"/>
      </w:pPr>
      <w:r>
        <w:rPr>
          <w:rFonts w:ascii="Arial" w:cs="Arial" w:eastAsia="Arial" w:hAnsi="Arial"/>
          <w:sz w:val="20"/>
          <w:szCs w:val="20"/>
        </w:rPr>
        <w:t xml:space="preserve">Ainsi, les enfants vivant dans une famille à bas revenu ne représentent que 18 % des enfants accueillis en EAJE PSU, 6 % des enfants gardés par une assistante maternelle, 5 % de ceux accueillis par un EAJE Paje et 4 % de ceux gardés par une salariée à domicile, alors qu'ils représentent 28 % des enfants de moins de 3 ans des familles allocataires en 2022.</w:t>
      </w:r>
    </w:p>
    <w:p>
      <w:pPr>
        <w:spacing w:before="280" w:after="100"/>
      </w:pPr>
      <w:r>
        <w:rPr>
          <w:rFonts w:ascii="Arial" w:cs="Arial" w:eastAsia="Arial" w:hAnsi="Arial"/>
          <w:b/>
          <w:bCs/>
          <w:color w:val="333333"/>
          <w:sz w:val="22"/>
          <w:szCs w:val="22"/>
        </w:rPr>
        <w:t xml:space="preserve">Taux de recours à un mode d'accueil formel des enfants de moins de 3 ans dans les familles modestes (en %)</w:t>
      </w:r>
    </w:p>
    <w:p>
      <w:pPr>
        <w:pBdr>
          <w:left w:val="single" w:color="1CABE2" w:sz="12" w:space="8"/>
        </w:pBdr>
        <w:spacing w:after="120"/>
        <w:ind w:left="360"/>
        <w:jc w:val="both"/>
      </w:pPr>
      <w:r>
        <w:rPr>
          <w:rFonts w:ascii="Arial" w:cs="Arial" w:eastAsia="Arial" w:hAnsi="Arial"/>
          <w:sz w:val="20"/>
          <w:szCs w:val="20"/>
        </w:rPr>
        <w:t xml:space="preserve">Les familles les plus modestes recourent trois fois moins souvent que les autres à un mode d'accueil formel. Les enfants des familles allocataires les plus modestes (ressources sous le seuil de bas revenu) sont 23 % à être confiés à un mode d'accueil en 2022, contre 74 % de ceux dont les familles ont des revenus plus élevés.</w:t>
      </w:r>
    </w:p>
    <w:p>
      <w:pPr>
        <w:pBdr>
          <w:left w:val="single" w:color="1CABE2" w:sz="12" w:space="8"/>
        </w:pBdr>
        <w:spacing w:after="120"/>
        <w:ind w:left="360"/>
        <w:jc w:val="both"/>
      </w:pPr>
      <w:r>
        <w:rPr>
          <w:rFonts w:ascii="Arial" w:cs="Arial" w:eastAsia="Arial" w:hAnsi="Arial"/>
          <w:sz w:val="20"/>
          <w:szCs w:val="20"/>
        </w:rPr>
        <w:t xml:space="preserve">Ainsi, les enfants vivant dans une famille à bas revenu ne représentent que 18 % des enfants accueillis en EAJE PSU, 6 % des enfants gardés par une assistante maternelle, 5 % de ceux accueillis par un EAJE Paje et 4 % de ceux gardés par une salariée à domicile, alors qu'ils représentent 28 % des enfants de moins de 3 ans des familles allocataires en 2022.</w:t>
      </w:r>
    </w:p>
    <w:p>
      <w:pPr>
        <w:spacing w:before="280" w:after="100"/>
      </w:pPr>
      <w:r>
        <w:rPr>
          <w:rFonts w:ascii="Arial" w:cs="Arial" w:eastAsia="Arial" w:hAnsi="Arial"/>
          <w:b/>
          <w:bCs/>
          <w:color w:val="333333"/>
          <w:sz w:val="22"/>
          <w:szCs w:val="22"/>
        </w:rPr>
        <w:t xml:space="preserve">Taux de couverture des PMI par rapport aux besoins de consultations infantiles (en %)</w:t>
      </w:r>
    </w:p>
    <w:p>
      <w:pPr>
        <w:pBdr>
          <w:left w:val="single" w:color="1CABE2" w:sz="12" w:space="8"/>
        </w:pBdr>
        <w:spacing w:after="120"/>
        <w:ind w:left="360"/>
        <w:jc w:val="both"/>
      </w:pPr>
      <w:r>
        <w:rPr>
          <w:rFonts w:ascii="Arial" w:cs="Arial" w:eastAsia="Arial" w:hAnsi="Arial"/>
          <w:sz w:val="20"/>
          <w:szCs w:val="20"/>
        </w:rPr>
        <w:t xml:space="preserve">En 2016, le nombre de consultants était de 557 000 et le volume d'examens de 1,49 millions. Avec 16 examens obligatoires dans les 6 premières années, chaque classe d'âge nécessite en moyenne 2,66 examens par enfant et par an, ce qui correspond à un volume total de 12 millions de consultations pour toute la population des 0-6 ans.</w:t>
      </w:r>
    </w:p>
    <w:p>
      <w:pPr>
        <w:pBdr>
          <w:left w:val="single" w:color="1CABE2" w:sz="12" w:space="8"/>
        </w:pBdr>
        <w:spacing w:after="120"/>
        <w:ind w:left="360"/>
        <w:jc w:val="both"/>
      </w:pPr>
      <w:r>
        <w:rPr>
          <w:rFonts w:ascii="Arial" w:cs="Arial" w:eastAsia="Arial" w:hAnsi="Arial"/>
          <w:sz w:val="20"/>
          <w:szCs w:val="20"/>
        </w:rPr>
        <w:t xml:space="preserve">Avec 1 490 000 examens, la PMI ne couvre donc que 12 % des besoins en consultations infantiles pour les 0-6 ans. Si l'on voulait que la PMI assure les consultations infantiles obligatoires pour 20 % des 0-6 ans (soit la part des enfants en situation de pauvreté monétaire), il faudrait porter le volume à 2,4 millions de consultations.</w:t>
      </w:r>
    </w:p>
    <w:p>
      <w:pPr>
        <w:pBdr>
          <w:left w:val="single" w:color="1CABE2" w:sz="12" w:space="8"/>
        </w:pBdr>
        <w:spacing w:after="120"/>
        <w:ind w:left="360"/>
        <w:jc w:val="both"/>
      </w:pPr>
      <w:r>
        <w:rPr>
          <w:rFonts w:ascii="Arial" w:cs="Arial" w:eastAsia="Arial" w:hAnsi="Arial"/>
          <w:sz w:val="20"/>
          <w:szCs w:val="20"/>
        </w:rPr>
        <w:t xml:space="preserve">Un tel volume n'est pas hors de portée : il est inférieur au volume d'examens qui avait cours en 1985 ou en 1995 (2,7 millions/an). Ce recul illustre une fragilisation progressive des services de PMI qui mérite une attention urgente des pouvoirs publics.</w:t>
      </w:r>
    </w:p>
    <w:p>
      <w:pPr>
        <w:spacing w:before="280" w:after="100"/>
      </w:pPr>
      <w:r>
        <w:rPr>
          <w:rFonts w:ascii="Arial" w:cs="Arial" w:eastAsia="Arial" w:hAnsi="Arial"/>
          <w:b/>
          <w:bCs/>
          <w:color w:val="333333"/>
          <w:sz w:val="22"/>
          <w:szCs w:val="22"/>
        </w:rPr>
        <w:t xml:space="preserve">Nombre de femmes ayant pu suivre au moins 7 consultations prénatales</w:t>
      </w:r>
    </w:p>
    <w:p>
      <w:pPr>
        <w:pBdr>
          <w:left w:val="single" w:color="1CABE2" w:sz="12" w:space="8"/>
        </w:pBdr>
        <w:spacing w:after="120"/>
        <w:ind w:left="360"/>
        <w:jc w:val="both"/>
      </w:pPr>
      <w:r>
        <w:rPr>
          <w:rFonts w:ascii="Arial" w:cs="Arial" w:eastAsia="Arial" w:hAnsi="Arial"/>
          <w:sz w:val="20"/>
          <w:szCs w:val="20"/>
        </w:rPr>
        <w:t xml:space="preserve">Analyse à compléter.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2026-03-09T09:25:28.224Z</dcterms:created>
  <dcterms:modified xsi:type="dcterms:W3CDTF">2026-03-09T09:25:28.225Z</dcterms:modified>
</cp:coreProperties>
</file>

<file path=docProps/custom.xml><?xml version="1.0" encoding="utf-8"?>
<Properties xmlns="http://schemas.openxmlformats.org/officeDocument/2006/custom-properties" xmlns:vt="http://schemas.openxmlformats.org/officeDocument/2006/docPropsVTypes"/>
</file>