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64"/>
          <w:szCs w:val="64"/>
        </w:rPr>
        <w:t xml:space="preserve"/>
      </w:r>
    </w:p>
    <w:p>
      <w:pPr>
        <w:spacing w:after="120" w:before="0"/>
        <w:jc w:val="center"/>
      </w:pPr>
      <w:r>
        <w:rPr>
          <w:rFonts w:ascii="Arial" w:cs="Arial" w:eastAsia="Arial" w:hAnsi="Arial"/>
          <w:b/>
          <w:bCs/>
          <w:color w:val="1F4E79"/>
          <w:sz w:val="56"/>
          <w:szCs w:val="56"/>
        </w:rPr>
        <w:t xml:space="preserve">RAISE FRONTEND</w:t>
      </w:r>
    </w:p>
    <w:p>
      <w:pPr>
        <w:spacing w:after="240" w:before="0"/>
        <w:jc w:val="center"/>
      </w:pPr>
      <w:r>
        <w:rPr>
          <w:rFonts w:ascii="Arial" w:cs="Arial" w:eastAsia="Arial" w:hAnsi="Arial"/>
          <w:color w:val="2E75B6"/>
          <w:sz w:val="30"/>
          <w:szCs w:val="30"/>
        </w:rPr>
        <w:t xml:space="preserve">Technical Reference Documentation</w:t>
      </w:r>
    </w:p>
    <w:p>
      <w:pPr>
        <w:pBdr>
          <w:bottom w:val="single" w:color="2E75B6" w:sz="4" w:space="1"/>
        </w:pBdr>
        <w:spacing w:after="120" w:before="0"/>
        <w:jc w:val="center"/>
      </w:pPr>
      <w:r>
        <w:rPr>
          <w:rFonts w:ascii="Arial" w:cs="Arial" w:eastAsia="Arial" w:hAnsi="Arial"/>
          <w:i/>
          <w:iCs/>
          <w:color w:val="444466"/>
          <w:sz w:val="24"/>
          <w:szCs w:val="24"/>
        </w:rPr>
        <w:t xml:space="preserve">AI Scalability Platform — React / TypeScript Application</w:t>
      </w:r>
    </w:p>
    <w:p>
      <w:r>
        <w:rPr>
          <w:sz w:val="16"/>
          <w:szCs w:val="16"/>
        </w:rPr>
        <w:t xml:space="preserve"/>
      </w:r>
    </w:p>
    <w:p>
      <w:pPr>
        <w:jc w:val="center"/>
      </w:pPr>
      <w:r>
        <w:rPr>
          <w:rFonts w:ascii="Arial" w:cs="Arial" w:eastAsia="Arial" w:hAnsi="Arial"/>
          <w:color w:val="666688"/>
          <w:sz w:val="22"/>
          <w:szCs w:val="22"/>
        </w:rPr>
        <w:t xml:space="preserve">Version 1.0  |  March 2026</w:t>
      </w:r>
    </w:p>
    <w:p>
      <w:pPr>
        <w:spacing w:before="80"/>
        <w:jc w:val="center"/>
      </w:pPr>
      <w:r>
        <w:rPr>
          <w:rFonts w:ascii="Arial" w:cs="Arial" w:eastAsia="Arial" w:hAnsi="Arial"/>
          <w:b/>
          <w:bCs/>
          <w:color w:val="AA3333"/>
          <w:sz w:val="20"/>
          <w:szCs w:val="20"/>
        </w:rPr>
        <w:t xml:space="preserve">Confidential — Internal Use Only</w:t>
      </w:r>
    </w:p>
    <w:p>
      <w:r>
        <w:rPr>
          <w:sz w:val="48"/>
          <w:szCs w:val="48"/>
        </w:rPr>
        <w:t xml:space="preserve"/>
      </w:r>
    </w:p>
    <w:p>
      <w:r>
        <w:br w:type="page"/>
      </w:r>
    </w:p>
    <w:p>
      <w:pPr>
        <w:pStyle w:val="Heading1"/>
        <w:spacing w:after="16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360"/>
      </w:pPr>
      <w:r>
        <w:rPr>
          <w:rFonts w:ascii="Arial" w:cs="Arial" w:eastAsia="Arial" w:hAnsi="Arial"/>
          <w:b/>
          <w:bCs/>
          <w:color w:val="1F4E79"/>
          <w:sz w:val="32"/>
          <w:szCs w:val="32"/>
        </w:rPr>
        <w:t xml:space="preserve">1. Application Overview</w:t>
      </w:r>
    </w:p>
    <w:p>
      <w:pPr>
        <w:spacing w:after="120" w:before="80"/>
      </w:pPr>
      <w:r>
        <w:rPr>
          <w:rFonts w:ascii="Arial" w:cs="Arial" w:eastAsia="Arial" w:hAnsi="Arial"/>
          <w:color w:val="1A1A2E"/>
          <w:sz w:val="22"/>
          <w:szCs w:val="22"/>
        </w:rPr>
        <w:t xml:space="preserve">RAISE (Rapid AI Solution Engine) Frontend is a production-grade React 19 single-page application built for the Snowflake + Capgemini AI Scalability Platform. It serves as the primary user interface for creating, deploying, experimenting with, and monitoring AI chatbots backed by Snowflake Cortex pipelines.</w:t>
      </w:r>
    </w:p>
    <w:p>
      <w:pPr>
        <w:spacing w:after="120" w:before="80"/>
      </w:pPr>
      <w:r>
        <w:rPr>
          <w:rFonts w:ascii="Arial" w:cs="Arial" w:eastAsia="Arial" w:hAnsi="Arial"/>
          <w:color w:val="1A1A2E"/>
          <w:sz w:val="22"/>
          <w:szCs w:val="22"/>
        </w:rPr>
        <w:t xml:space="preserve">The application is built around a strict TypeScript codebase using a modular, feature-organised directory structure. All API communication flows through a centralised Axios-based client with structured error handling and toast notification integration. Role-based access control (RBAC) is enforced at both the route and UI component levels, ensuring each user sees only the features they are permitted to access.</w:t>
      </w:r>
    </w:p>
    <w:p>
      <w:pPr>
        <w:pStyle w:val="Heading2"/>
        <w:spacing w:after="120" w:before="280"/>
      </w:pPr>
      <w:r>
        <w:rPr>
          <w:rFonts w:ascii="Arial" w:cs="Arial" w:eastAsia="Arial" w:hAnsi="Arial"/>
          <w:b/>
          <w:bCs/>
          <w:color w:val="2E75B6"/>
          <w:sz w:val="26"/>
          <w:szCs w:val="26"/>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4360"/>
      </w:tblGrid>
      <w:tr>
        <w:trPr>
          <w:tblHeader/>
        </w:trPr>
        <w:tc>
          <w:tcPr>
            <w:tcW w:type="dxa" w:w="18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0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12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43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UI Framework</w:t>
            </w:r>
          </w:p>
        </w:tc>
        <w:tc>
          <w:tcPr>
            <w:tcW w:type="dxa" w:w="2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w:t>
            </w:r>
          </w:p>
        </w:tc>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19.1.1</w:t>
            </w:r>
          </w:p>
        </w:tc>
        <w:tc>
          <w:tcPr>
            <w:tcW w:type="dxa" w:w="43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Component rendering, hooks, lazy routes</w:t>
            </w:r>
          </w:p>
        </w:tc>
      </w:tr>
      <w:tr>
        <w:tc>
          <w:tcPr>
            <w:tcW w:type="dxa" w:w="1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Language</w:t>
            </w:r>
          </w:p>
        </w:tc>
        <w:tc>
          <w:tcPr>
            <w:tcW w:type="dxa" w:w="2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TypeScript</w:t>
            </w:r>
          </w:p>
        </w:tc>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~5.9.3</w:t>
            </w:r>
          </w:p>
        </w:tc>
        <w:tc>
          <w:tcPr>
            <w:tcW w:type="dxa" w:w="43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Strict type safety across all files</w:t>
            </w:r>
          </w:p>
        </w:tc>
      </w:tr>
      <w:tr>
        <w:tc>
          <w:tcPr>
            <w:tcW w:type="dxa" w:w="1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Build Tool</w:t>
            </w:r>
          </w:p>
        </w:tc>
        <w:tc>
          <w:tcPr>
            <w:tcW w:type="dxa" w:w="2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Vite</w:t>
            </w:r>
          </w:p>
        </w:tc>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7.1.7</w:t>
            </w:r>
          </w:p>
        </w:tc>
        <w:tc>
          <w:tcPr>
            <w:tcW w:type="dxa" w:w="43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Dev server, HMR, production bundling</w:t>
            </w:r>
          </w:p>
        </w:tc>
      </w:tr>
      <w:tr>
        <w:tc>
          <w:tcPr>
            <w:tcW w:type="dxa" w:w="1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Component Library</w:t>
            </w:r>
          </w:p>
        </w:tc>
        <w:tc>
          <w:tcPr>
            <w:tcW w:type="dxa" w:w="2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MUI (Material UI)</w:t>
            </w:r>
          </w:p>
        </w:tc>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7.3.4</w:t>
            </w:r>
          </w:p>
        </w:tc>
        <w:tc>
          <w:tcPr>
            <w:tcW w:type="dxa" w:w="43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Buttons, dialogs, tables, selects</w:t>
            </w:r>
          </w:p>
        </w:tc>
      </w:tr>
      <w:tr>
        <w:tc>
          <w:tcPr>
            <w:tcW w:type="dxa" w:w="1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Routing</w:t>
            </w:r>
          </w:p>
        </w:tc>
        <w:tc>
          <w:tcPr>
            <w:tcW w:type="dxa" w:w="2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 Router DOM</w:t>
            </w:r>
          </w:p>
        </w:tc>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7.9.4</w:t>
            </w:r>
          </w:p>
        </w:tc>
        <w:tc>
          <w:tcPr>
            <w:tcW w:type="dxa" w:w="43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Client-side routing, lazy loading</w:t>
            </w:r>
          </w:p>
        </w:tc>
      </w:tr>
      <w:tr>
        <w:tc>
          <w:tcPr>
            <w:tcW w:type="dxa" w:w="1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HTTP Client</w:t>
            </w:r>
          </w:p>
        </w:tc>
        <w:tc>
          <w:tcPr>
            <w:tcW w:type="dxa" w:w="2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Axios</w:t>
            </w:r>
          </w:p>
        </w:tc>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1.12.2</w:t>
            </w:r>
          </w:p>
        </w:tc>
        <w:tc>
          <w:tcPr>
            <w:tcW w:type="dxa" w:w="43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API requests with interceptors</w:t>
            </w:r>
          </w:p>
        </w:tc>
      </w:tr>
      <w:tr>
        <w:tc>
          <w:tcPr>
            <w:tcW w:type="dxa" w:w="1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Charts</w:t>
            </w:r>
          </w:p>
        </w:tc>
        <w:tc>
          <w:tcPr>
            <w:tcW w:type="dxa" w:w="2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Recharts</w:t>
            </w:r>
          </w:p>
        </w:tc>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3.3.0</w:t>
            </w:r>
          </w:p>
        </w:tc>
        <w:tc>
          <w:tcPr>
            <w:tcW w:type="dxa" w:w="43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Bar, Line, Area, Pie (Donut) charts</w:t>
            </w:r>
          </w:p>
        </w:tc>
      </w:tr>
      <w:tr>
        <w:tc>
          <w:tcPr>
            <w:tcW w:type="dxa" w:w="1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Graph/Flow</w:t>
            </w:r>
          </w:p>
        </w:tc>
        <w:tc>
          <w:tcPr>
            <w:tcW w:type="dxa" w:w="2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XYFlow (@xyflow/react)</w:t>
            </w:r>
          </w:p>
        </w:tc>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12.10.0</w:t>
            </w:r>
          </w:p>
        </w:tc>
        <w:tc>
          <w:tcPr>
            <w:tcW w:type="dxa" w:w="43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Pipeline and lineage graph visualisation</w:t>
            </w:r>
          </w:p>
        </w:tc>
      </w:tr>
      <w:tr>
        <w:tc>
          <w:tcPr>
            <w:tcW w:type="dxa" w:w="1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CSS</w:t>
            </w:r>
          </w:p>
        </w:tc>
        <w:tc>
          <w:tcPr>
            <w:tcW w:type="dxa" w:w="2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SCSS Modules</w:t>
            </w:r>
          </w:p>
        </w:tc>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43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Scoped styles with design tokens</w:t>
            </w:r>
          </w:p>
        </w:tc>
      </w:tr>
      <w:tr>
        <w:tc>
          <w:tcPr>
            <w:tcW w:type="dxa" w:w="1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Validation</w:t>
            </w:r>
          </w:p>
        </w:tc>
        <w:tc>
          <w:tcPr>
            <w:tcW w:type="dxa" w:w="2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Zod</w:t>
            </w:r>
          </w:p>
        </w:tc>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3.25.76</w:t>
            </w:r>
          </w:p>
        </w:tc>
        <w:tc>
          <w:tcPr>
            <w:tcW w:type="dxa" w:w="43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Runtime schema validation</w:t>
            </w:r>
          </w:p>
        </w:tc>
      </w:tr>
      <w:tr>
        <w:tc>
          <w:tcPr>
            <w:tcW w:type="dxa" w:w="1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Error Tracking</w:t>
            </w:r>
          </w:p>
        </w:tc>
        <w:tc>
          <w:tcPr>
            <w:tcW w:type="dxa" w:w="2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Sentry</w:t>
            </w:r>
          </w:p>
        </w:tc>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8.55.0</w:t>
            </w:r>
          </w:p>
        </w:tc>
        <w:tc>
          <w:tcPr>
            <w:tcW w:type="dxa" w:w="43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Production error monitoring</w:t>
            </w:r>
          </w:p>
        </w:tc>
      </w:tr>
      <w:tr>
        <w:tc>
          <w:tcPr>
            <w:tcW w:type="dxa" w:w="1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Date Picker</w:t>
            </w:r>
          </w:p>
        </w:tc>
        <w:tc>
          <w:tcPr>
            <w:tcW w:type="dxa" w:w="2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MUI X Date Pickers</w:t>
            </w:r>
          </w:p>
        </w:tc>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43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Date and date-range selection</w:t>
            </w:r>
          </w:p>
        </w:tc>
      </w:tr>
      <w:tr>
        <w:tc>
          <w:tcPr>
            <w:tcW w:type="dxa" w:w="1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Markdown</w:t>
            </w:r>
          </w:p>
        </w:tc>
        <w:tc>
          <w:tcPr>
            <w:tcW w:type="dxa" w:w="2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react-markdown</w:t>
            </w:r>
          </w:p>
        </w:tc>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43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Render chatbot responses as Markdown</w:t>
            </w:r>
          </w:p>
        </w:tc>
      </w:tr>
      <w:tr>
        <w:tc>
          <w:tcPr>
            <w:tcW w:type="dxa" w:w="1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Date Utils</w:t>
            </w:r>
          </w:p>
        </w:tc>
        <w:tc>
          <w:tcPr>
            <w:tcW w:type="dxa" w:w="2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dayjs</w:t>
            </w:r>
          </w:p>
        </w:tc>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43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Chart axis formatting and date arithmetic</w:t>
            </w:r>
          </w:p>
        </w:tc>
      </w:tr>
    </w:tbl>
    <w:p>
      <w:r>
        <w:rPr>
          <w:sz w:val="16"/>
          <w:szCs w:val="16"/>
        </w:rPr>
        <w:t xml:space="preserve"/>
      </w:r>
    </w:p>
    <w:p>
      <w:pPr>
        <w:pStyle w:val="Heading2"/>
        <w:spacing w:after="120" w:before="280"/>
      </w:pPr>
      <w:r>
        <w:rPr>
          <w:rFonts w:ascii="Arial" w:cs="Arial" w:eastAsia="Arial" w:hAnsi="Arial"/>
          <w:b/>
          <w:bCs/>
          <w:color w:val="2E75B6"/>
          <w:sz w:val="26"/>
          <w:szCs w:val="26"/>
        </w:rPr>
        <w:t xml:space="preserve">1.2 Project Structure</w:t>
      </w:r>
    </w:p>
    <w:p>
      <w:pPr>
        <w:spacing w:after="120" w:before="80"/>
      </w:pPr>
      <w:r>
        <w:rPr>
          <w:rFonts w:ascii="Arial" w:cs="Arial" w:eastAsia="Arial" w:hAnsi="Arial"/>
          <w:color w:val="1A1A2E"/>
          <w:sz w:val="22"/>
          <w:szCs w:val="22"/>
        </w:rPr>
        <w:t xml:space="preserve">The source tree is organised by technical role rather than feature, with the exception of the pages/ directory which uses one folder per route. This layout keeps global concerns (API, context, types, utilities) flat and easy to locate, while page-specific logic stays co-located with each route component.</w:t>
      </w:r>
    </w:p>
    <w:p>
      <w:pPr>
        <w:spacing w:after="120" w:before="80"/>
      </w:pPr>
      <w:r>
        <w:rPr>
          <w:rFonts w:ascii="Arial" w:cs="Arial" w:eastAsia="Arial" w:hAnsi="Arial"/>
          <w:color w:val="1A1A2E"/>
          <w:sz w:val="22"/>
          <w:szCs w:val="22"/>
        </w:rPr>
        <w:t xml:space="preserve">Key top-level directories under src/ include:</w:t>
      </w:r>
    </w:p>
    <w:p>
      <w:pPr>
        <w:pStyle w:val="ListParagraph"/>
        <w:numPr>
          <w:ilvl w:val="0"/>
          <w:numId w:val="2"/>
        </w:numPr>
        <w:spacing w:after="60" w:before="40"/>
      </w:pPr>
      <w:r>
        <w:rPr>
          <w:rFonts w:ascii="Arial" w:cs="Arial" w:eastAsia="Arial" w:hAnsi="Arial"/>
          <w:color w:val="1A1A2E"/>
          <w:sz w:val="22"/>
          <w:szCs w:val="22"/>
        </w:rPr>
        <w:t xml:space="preserve">api/ — Centralised HTTP layer consisting of the base Axios instance, the higher-level apiClient wrapper, error enrichment logic, user-facing error string maps, a singleton notification bridge, and one endpoint module per backend domain.</w:t>
      </w:r>
    </w:p>
    <w:p>
      <w:pPr>
        <w:pStyle w:val="ListParagraph"/>
        <w:numPr>
          <w:ilvl w:val="0"/>
          <w:numId w:val="2"/>
        </w:numPr>
        <w:spacing w:after="60" w:before="40"/>
      </w:pPr>
      <w:r>
        <w:rPr>
          <w:rFonts w:ascii="Arial" w:cs="Arial" w:eastAsia="Arial" w:hAnsi="Arial"/>
          <w:color w:val="1A1A2E"/>
          <w:sz w:val="22"/>
          <w:szCs w:val="22"/>
        </w:rPr>
        <w:t xml:space="preserve">components/ — Divided into common/ (application-wide utilities such as ErrorBoundary and Loader) and ui/ (reusable presentational components such as charts, dialogs, dropdowns, and chat bubbles).</w:t>
      </w:r>
    </w:p>
    <w:p>
      <w:pPr>
        <w:pStyle w:val="ListParagraph"/>
        <w:numPr>
          <w:ilvl w:val="0"/>
          <w:numId w:val="2"/>
        </w:numPr>
        <w:spacing w:after="60" w:before="40"/>
      </w:pPr>
      <w:r>
        <w:rPr>
          <w:rFonts w:ascii="Arial" w:cs="Arial" w:eastAsia="Arial" w:hAnsi="Arial"/>
          <w:color w:val="1A1A2E"/>
          <w:sz w:val="22"/>
          <w:szCs w:val="22"/>
        </w:rPr>
        <w:t xml:space="preserve">context/ — Three React Context providers: AppContext for user identity and RBAC state, ChatbotContext for chatbot/pipeline/prompt selection, and NotificationContext for global toast notifications.</w:t>
      </w:r>
    </w:p>
    <w:p>
      <w:pPr>
        <w:pStyle w:val="ListParagraph"/>
        <w:numPr>
          <w:ilvl w:val="0"/>
          <w:numId w:val="2"/>
        </w:numPr>
        <w:spacing w:after="60" w:before="40"/>
      </w:pPr>
      <w:r>
        <w:rPr>
          <w:rFonts w:ascii="Arial" w:cs="Arial" w:eastAsia="Arial" w:hAnsi="Arial"/>
          <w:color w:val="1A1A2E"/>
          <w:sz w:val="22"/>
          <w:szCs w:val="22"/>
        </w:rPr>
        <w:t xml:space="preserve">pages/ — One folder per route, each containing the page component plus any page-specific sub-components and stylesheets.</w:t>
      </w:r>
    </w:p>
    <w:p>
      <w:pPr>
        <w:pStyle w:val="ListParagraph"/>
        <w:numPr>
          <w:ilvl w:val="0"/>
          <w:numId w:val="2"/>
        </w:numPr>
        <w:spacing w:after="60" w:before="40"/>
      </w:pPr>
      <w:r>
        <w:rPr>
          <w:rFonts w:ascii="Arial" w:cs="Arial" w:eastAsia="Arial" w:hAnsi="Arial"/>
          <w:color w:val="1A1A2E"/>
          <w:sz w:val="22"/>
          <w:szCs w:val="22"/>
        </w:rPr>
        <w:t xml:space="preserve">routes/ — The AppRoutes component, which declares all lazy-loaded routes and their RBAC guard wrappers (RequirePermission, RequireAdmin).</w:t>
      </w:r>
    </w:p>
    <w:p>
      <w:pPr>
        <w:pStyle w:val="ListParagraph"/>
        <w:numPr>
          <w:ilvl w:val="0"/>
          <w:numId w:val="2"/>
        </w:numPr>
        <w:spacing w:after="60" w:before="40"/>
      </w:pPr>
      <w:r>
        <w:rPr>
          <w:rFonts w:ascii="Arial" w:cs="Arial" w:eastAsia="Arial" w:hAnsi="Arial"/>
          <w:color w:val="1A1A2E"/>
          <w:sz w:val="22"/>
          <w:szCs w:val="22"/>
        </w:rPr>
        <w:t xml:space="preserve">layout/ — The persistent shell (Layout.tsx) comprising the collapsible Sidebar and top Header.</w:t>
      </w:r>
    </w:p>
    <w:p>
      <w:pPr>
        <w:pStyle w:val="ListParagraph"/>
        <w:numPr>
          <w:ilvl w:val="0"/>
          <w:numId w:val="2"/>
        </w:numPr>
        <w:spacing w:after="60" w:before="40"/>
      </w:pPr>
      <w:r>
        <w:rPr>
          <w:rFonts w:ascii="Arial" w:cs="Arial" w:eastAsia="Arial" w:hAnsi="Arial"/>
          <w:color w:val="1A1A2E"/>
          <w:sz w:val="22"/>
          <w:szCs w:val="22"/>
        </w:rPr>
        <w:t xml:space="preserve">styles/ — Global SCSS design tokens (tokens.scss), shared mixins (mixins.scss), and colour palette definitions (color.scss).</w:t>
      </w:r>
    </w:p>
    <w:p>
      <w:pPr>
        <w:pStyle w:val="ListParagraph"/>
        <w:numPr>
          <w:ilvl w:val="0"/>
          <w:numId w:val="2"/>
        </w:numPr>
        <w:spacing w:after="60" w:before="40"/>
      </w:pPr>
      <w:r>
        <w:rPr>
          <w:rFonts w:ascii="Arial" w:cs="Arial" w:eastAsia="Arial" w:hAnsi="Arial"/>
          <w:color w:val="1A1A2E"/>
          <w:sz w:val="22"/>
          <w:szCs w:val="22"/>
        </w:rPr>
        <w:t xml:space="preserve">types/ — All TypeScript type definitions organised by domain, with a barrel index.ts for clean imports.</w:t>
      </w:r>
    </w:p>
    <w:p>
      <w:pPr>
        <w:pStyle w:val="ListParagraph"/>
        <w:numPr>
          <w:ilvl w:val="0"/>
          <w:numId w:val="2"/>
        </w:numPr>
        <w:spacing w:after="60" w:before="40"/>
      </w:pPr>
      <w:r>
        <w:rPr>
          <w:rFonts w:ascii="Arial" w:cs="Arial" w:eastAsia="Arial" w:hAnsi="Arial"/>
          <w:color w:val="1A1A2E"/>
          <w:sz w:val="22"/>
          <w:szCs w:val="22"/>
        </w:rPr>
        <w:t xml:space="preserve">utils/ — Shared pure functions for RBAC access checks, text normalisation, chart formatting, token counting, and session handling.</w:t>
      </w:r>
    </w:p>
    <w:p>
      <w:pPr>
        <w:pStyle w:val="Heading2"/>
        <w:spacing w:after="120" w:before="280"/>
      </w:pPr>
      <w:r>
        <w:rPr>
          <w:rFonts w:ascii="Arial" w:cs="Arial" w:eastAsia="Arial" w:hAnsi="Arial"/>
          <w:b/>
          <w:bCs/>
          <w:color w:val="2E75B6"/>
          <w:sz w:val="26"/>
          <w:szCs w:val="26"/>
        </w:rPr>
        <w:t xml:space="preserve">1.3 Application Entry Flow</w:t>
      </w:r>
    </w:p>
    <w:p>
      <w:pPr>
        <w:spacing w:after="120" w:before="80"/>
      </w:pPr>
      <w:r>
        <w:rPr>
          <w:rFonts w:ascii="Arial" w:cs="Arial" w:eastAsia="Arial" w:hAnsi="Arial"/>
          <w:color w:val="1A1A2E"/>
          <w:sz w:val="22"/>
          <w:szCs w:val="22"/>
        </w:rPr>
        <w:t xml:space="preserve">The application mounts from main.tsx, which creates a React DOM root and renders the top-level RootApp component. App.tsx composes the full provider tree in a deterministic order so that each layer has access to the context it depends on:</w:t>
      </w:r>
    </w:p>
    <w:p>
      <w:pPr>
        <w:pStyle w:val="ListParagraph"/>
        <w:numPr>
          <w:ilvl w:val="0"/>
          <w:numId w:val="2"/>
        </w:numPr>
        <w:spacing w:after="60" w:before="40"/>
      </w:pPr>
      <w:r>
        <w:rPr>
          <w:rFonts w:ascii="Arial" w:cs="Arial" w:eastAsia="Arial" w:hAnsi="Arial"/>
          <w:color w:val="1A1A2E"/>
          <w:sz w:val="22"/>
          <w:szCs w:val="22"/>
        </w:rPr>
        <w:t xml:space="preserve">ErrorBoundary — Wraps the entire tree to catch any unhandled render-time exceptions and display a recovery UI.</w:t>
      </w:r>
    </w:p>
    <w:p>
      <w:pPr>
        <w:pStyle w:val="ListParagraph"/>
        <w:numPr>
          <w:ilvl w:val="0"/>
          <w:numId w:val="2"/>
        </w:numPr>
        <w:spacing w:after="60" w:before="40"/>
      </w:pPr>
      <w:r>
        <w:rPr>
          <w:rFonts w:ascii="Arial" w:cs="Arial" w:eastAsia="Arial" w:hAnsi="Arial"/>
          <w:color w:val="1A1A2E"/>
          <w:sz w:val="22"/>
          <w:szCs w:val="22"/>
        </w:rPr>
        <w:t xml:space="preserve">ThemeProvider — Injects the Material UI light theme, derived from the SCSS design token palette, into all MUI components.</w:t>
      </w:r>
    </w:p>
    <w:p>
      <w:pPr>
        <w:pStyle w:val="ListParagraph"/>
        <w:numPr>
          <w:ilvl w:val="0"/>
          <w:numId w:val="2"/>
        </w:numPr>
        <w:spacing w:after="60" w:before="40"/>
      </w:pPr>
      <w:r>
        <w:rPr>
          <w:rFonts w:ascii="Arial" w:cs="Arial" w:eastAsia="Arial" w:hAnsi="Arial"/>
          <w:color w:val="1A1A2E"/>
          <w:sz w:val="22"/>
          <w:szCs w:val="22"/>
        </w:rPr>
        <w:t xml:space="preserve">BrowserRouter — Enables declarative URL-based navigation via React Router DOM.</w:t>
      </w:r>
    </w:p>
    <w:p>
      <w:pPr>
        <w:pStyle w:val="ListParagraph"/>
        <w:numPr>
          <w:ilvl w:val="0"/>
          <w:numId w:val="2"/>
        </w:numPr>
        <w:spacing w:after="60" w:before="40"/>
      </w:pPr>
      <w:r>
        <w:rPr>
          <w:rFonts w:ascii="Arial" w:cs="Arial" w:eastAsia="Arial" w:hAnsi="Arial"/>
          <w:color w:val="1A1A2E"/>
          <w:sz w:val="22"/>
          <w:szCs w:val="22"/>
        </w:rPr>
        <w:t xml:space="preserve">AppProvider — Initialises user identity, RBAC permissions, application mode (TalkToDocument vs TalkToData), and sidebar collapse state by calling Snowflake and RBAC APIs in parallel on mount.</w:t>
      </w:r>
    </w:p>
    <w:p>
      <w:pPr>
        <w:pStyle w:val="ListParagraph"/>
        <w:numPr>
          <w:ilvl w:val="0"/>
          <w:numId w:val="2"/>
        </w:numPr>
        <w:spacing w:after="60" w:before="40"/>
      </w:pPr>
      <w:r>
        <w:rPr>
          <w:rFonts w:ascii="Arial" w:cs="Arial" w:eastAsia="Arial" w:hAnsi="Arial"/>
          <w:color w:val="1A1A2E"/>
          <w:sz w:val="22"/>
          <w:szCs w:val="22"/>
        </w:rPr>
        <w:t xml:space="preserve">NotificationProvider — Registers the global toast notification system and wires it to the singleton NotificationService used by Axios interceptors.</w:t>
      </w:r>
    </w:p>
    <w:p>
      <w:pPr>
        <w:pStyle w:val="ListParagraph"/>
        <w:numPr>
          <w:ilvl w:val="0"/>
          <w:numId w:val="2"/>
        </w:numPr>
        <w:spacing w:after="60" w:before="40"/>
      </w:pPr>
      <w:r>
        <w:rPr>
          <w:rFonts w:ascii="Arial" w:cs="Arial" w:eastAsia="Arial" w:hAnsi="Arial"/>
          <w:color w:val="1A1A2E"/>
          <w:sz w:val="22"/>
          <w:szCs w:val="22"/>
        </w:rPr>
        <w:t xml:space="preserve">ChatbotProvider — Fetches available chatbots, pipelines, and prompts on mount, and exposes selection state and actions to the Experimentation page and its child components.</w:t>
      </w:r>
    </w:p>
    <w:p>
      <w:pPr>
        <w:pStyle w:val="ListParagraph"/>
        <w:numPr>
          <w:ilvl w:val="0"/>
          <w:numId w:val="2"/>
        </w:numPr>
        <w:spacing w:after="60" w:before="40"/>
      </w:pPr>
      <w:r>
        <w:rPr>
          <w:rFonts w:ascii="Arial" w:cs="Arial" w:eastAsia="Arial" w:hAnsi="Arial"/>
          <w:color w:val="1A1A2E"/>
          <w:sz w:val="22"/>
          <w:szCs w:val="22"/>
        </w:rPr>
        <w:t xml:space="preserve">Layout — Renders the persistent Sidebar and Header around a main content area.</w:t>
      </w:r>
    </w:p>
    <w:p>
      <w:pPr>
        <w:pStyle w:val="ListParagraph"/>
        <w:numPr>
          <w:ilvl w:val="0"/>
          <w:numId w:val="2"/>
        </w:numPr>
        <w:spacing w:after="60" w:before="40"/>
      </w:pPr>
      <w:r>
        <w:rPr>
          <w:rFonts w:ascii="Arial" w:cs="Arial" w:eastAsia="Arial" w:hAnsi="Arial"/>
          <w:color w:val="1A1A2E"/>
          <w:sz w:val="22"/>
          <w:szCs w:val="22"/>
        </w:rPr>
        <w:t xml:space="preserve">Suspense + AppRoutes — Lazy-loads each page component on demand, showing a Loader fallback during the import phase.</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2. Global State Management</w:t>
      </w:r>
    </w:p>
    <w:p>
      <w:pPr>
        <w:spacing w:after="120" w:before="80"/>
      </w:pPr>
      <w:r>
        <w:rPr>
          <w:rFonts w:ascii="Arial" w:cs="Arial" w:eastAsia="Arial" w:hAnsi="Arial"/>
          <w:color w:val="1A1A2E"/>
          <w:sz w:val="22"/>
          <w:szCs w:val="22"/>
        </w:rPr>
        <w:t xml:space="preserve">Application state is partitioned across three React Context providers. Each provider is responsible for a clearly bounded domain, minimising unnecessary re-renders and keeping related logic co-located.</w:t>
      </w:r>
    </w:p>
    <w:p>
      <w:pPr>
        <w:pStyle w:val="Heading2"/>
        <w:spacing w:after="120" w:before="280"/>
      </w:pPr>
      <w:r>
        <w:rPr>
          <w:rFonts w:ascii="Arial" w:cs="Arial" w:eastAsia="Arial" w:hAnsi="Arial"/>
          <w:b/>
          <w:bCs/>
          <w:color w:val="2E75B6"/>
          <w:sz w:val="26"/>
          <w:szCs w:val="26"/>
        </w:rPr>
        <w:t xml:space="preserve">2.1 AppContext</w:t>
      </w:r>
    </w:p>
    <w:p>
      <w:pPr>
        <w:spacing w:after="120" w:before="80"/>
      </w:pPr>
      <w:r>
        <w:rPr>
          <w:rFonts w:ascii="Arial" w:cs="Arial" w:eastAsia="Arial" w:hAnsi="Arial"/>
          <w:color w:val="1A1A2E"/>
          <w:sz w:val="22"/>
          <w:szCs w:val="22"/>
        </w:rPr>
        <w:t xml:space="preserve">AppContext is the central application state provider. It initialises on mount by calling Snowflake and RBAC APIs in parallel, then exposes user data, RBAC permissions, the application mode switch, and sidebar collapse state to all descendants.</w:t>
      </w:r>
    </w:p>
    <w:p>
      <w:pPr>
        <w:pStyle w:val="Heading3"/>
        <w:spacing w:after="100" w:before="200"/>
      </w:pPr>
      <w:r>
        <w:rPr>
          <w:rFonts w:ascii="Arial" w:cs="Arial" w:eastAsia="Arial" w:hAnsi="Arial"/>
          <w:b/>
          <w:bCs/>
          <w:color w:val="1A1A2E"/>
          <w:sz w:val="22"/>
          <w:szCs w:val="22"/>
        </w:rPr>
        <w:t xml:space="preserve">2.1.1 State Shape</w:t>
      </w:r>
    </w:p>
    <w:p>
      <w:pPr>
        <w:spacing w:after="120" w:before="80"/>
      </w:pPr>
      <w:r>
        <w:rPr>
          <w:rFonts w:ascii="Arial" w:cs="Arial" w:eastAsia="Arial" w:hAnsi="Arial"/>
          <w:color w:val="1A1A2E"/>
          <w:sz w:val="22"/>
          <w:szCs w:val="22"/>
        </w:rPr>
        <w:t xml:space="preserve">AppContext exposes the following state properties and actions to consuming components:</w:t>
      </w:r>
    </w:p>
    <w:p>
      <w:pPr>
        <w:pStyle w:val="ListParagraph"/>
        <w:numPr>
          <w:ilvl w:val="0"/>
          <w:numId w:val="2"/>
        </w:numPr>
        <w:spacing w:after="60" w:before="40"/>
      </w:pPr>
      <w:r>
        <w:rPr>
          <w:rFonts w:ascii="Arial" w:cs="Arial" w:eastAsia="Arial" w:hAnsi="Arial"/>
          <w:color w:val="1A1A2E"/>
          <w:sz w:val="22"/>
          <w:szCs w:val="22"/>
        </w:rPr>
        <w:t xml:space="preserve">sidebarCollapsed / toggleSidebar — Boolean flag and toggle action controlling the left navigation panel width, persisted across navigations within a session.</w:t>
      </w:r>
    </w:p>
    <w:p>
      <w:pPr>
        <w:pStyle w:val="ListParagraph"/>
        <w:numPr>
          <w:ilvl w:val="0"/>
          <w:numId w:val="2"/>
        </w:numPr>
        <w:spacing w:after="60" w:before="40"/>
      </w:pPr>
      <w:r>
        <w:rPr>
          <w:rFonts w:ascii="Arial" w:cs="Arial" w:eastAsia="Arial" w:hAnsi="Arial"/>
          <w:color w:val="1A1A2E"/>
          <w:sz w:val="22"/>
          <w:szCs w:val="22"/>
        </w:rPr>
        <w:t xml:space="preserve">currentUser / isLoadingUser / userError — The authenticated Snowflake user record (containing USERID, USERNAME, LOGINNAME, EMAIL) and its async loading state.</w:t>
      </w:r>
    </w:p>
    <w:p>
      <w:pPr>
        <w:pStyle w:val="ListParagraph"/>
        <w:numPr>
          <w:ilvl w:val="0"/>
          <w:numId w:val="2"/>
        </w:numPr>
        <w:spacing w:after="60" w:before="40"/>
      </w:pPr>
      <w:r>
        <w:rPr>
          <w:rFonts w:ascii="Arial" w:cs="Arial" w:eastAsia="Arial" w:hAnsi="Arial"/>
          <w:color w:val="1A1A2E"/>
          <w:sz w:val="22"/>
          <w:szCs w:val="22"/>
        </w:rPr>
        <w:t xml:space="preserve">mode / setMode — The global application mode toggle between TalkToDocument (retrieval-augmented generation over documents) and TalkToData (natural-language SQL over structured data).</w:t>
      </w:r>
    </w:p>
    <w:p>
      <w:pPr>
        <w:pStyle w:val="ListParagraph"/>
        <w:numPr>
          <w:ilvl w:val="0"/>
          <w:numId w:val="2"/>
        </w:numPr>
        <w:spacing w:after="60" w:before="40"/>
      </w:pPr>
      <w:r>
        <w:rPr>
          <w:rFonts w:ascii="Arial" w:cs="Arial" w:eastAsia="Arial" w:hAnsi="Arial"/>
          <w:color w:val="1A1A2E"/>
          <w:sz w:val="22"/>
          <w:szCs w:val="22"/>
        </w:rPr>
        <w:t xml:space="preserve">currentRole / loadingRole — The user's actual Snowflake role resolved from the RBAC API, used for permission checks and displayed in the Header.</w:t>
      </w:r>
    </w:p>
    <w:p>
      <w:pPr>
        <w:pStyle w:val="ListParagraph"/>
        <w:numPr>
          <w:ilvl w:val="0"/>
          <w:numId w:val="2"/>
        </w:numPr>
        <w:spacing w:after="60" w:before="40"/>
      </w:pPr>
      <w:r>
        <w:rPr>
          <w:rFonts w:ascii="Arial" w:cs="Arial" w:eastAsia="Arial" w:hAnsi="Arial"/>
          <w:color w:val="1A1A2E"/>
          <w:sz w:val="22"/>
          <w:szCs w:val="22"/>
        </w:rPr>
        <w:t xml:space="preserve">permissions — A flat page-keyed boolean map derived from the RBAC permission rows for the currentRole. Computed once and shared to avoid repeated derivation across components.</w:t>
      </w:r>
    </w:p>
    <w:p>
      <w:pPr>
        <w:pStyle w:val="ListParagraph"/>
        <w:numPr>
          <w:ilvl w:val="0"/>
          <w:numId w:val="2"/>
        </w:numPr>
        <w:spacing w:after="60" w:before="40"/>
      </w:pPr>
      <w:r>
        <w:rPr>
          <w:rFonts w:ascii="Arial" w:cs="Arial" w:eastAsia="Arial" w:hAnsi="Arial"/>
          <w:color w:val="1A1A2E"/>
          <w:sz w:val="22"/>
          <w:szCs w:val="22"/>
        </w:rPr>
        <w:t xml:space="preserve">permissionRows — The raw, unfiltered permission matrix for all roles and pages, consumed by the AccessControl admin page.</w:t>
      </w:r>
    </w:p>
    <w:p>
      <w:pPr>
        <w:pStyle w:val="ListParagraph"/>
        <w:numPr>
          <w:ilvl w:val="0"/>
          <w:numId w:val="2"/>
        </w:numPr>
        <w:spacing w:after="60" w:before="40"/>
      </w:pPr>
      <w:r>
        <w:rPr>
          <w:rFonts w:ascii="Arial" w:cs="Arial" w:eastAsia="Arial" w:hAnsi="Arial"/>
          <w:color w:val="1A1A2E"/>
          <w:sz w:val="22"/>
          <w:szCs w:val="22"/>
        </w:rPr>
        <w:t xml:space="preserve">effectiveRole / setEffectiveRole — The admin role-preview override. When an admin selects a role to preview, effectiveRole supersedes currentRole for all permission checks and is persisted to localStorage to survive page refreshes.</w:t>
      </w:r>
    </w:p>
    <w:p>
      <w:pPr>
        <w:pStyle w:val="ListParagraph"/>
        <w:numPr>
          <w:ilvl w:val="0"/>
          <w:numId w:val="2"/>
        </w:numPr>
        <w:spacing w:after="60" w:before="40"/>
      </w:pPr>
      <w:r>
        <w:rPr>
          <w:rFonts w:ascii="Arial" w:cs="Arial" w:eastAsia="Arial" w:hAnsi="Arial"/>
          <w:color w:val="1A1A2E"/>
          <w:sz w:val="22"/>
          <w:szCs w:val="22"/>
        </w:rPr>
        <w:t xml:space="preserve">effectivePermissions — The permission map built for effectiveRole rather than currentRole, so that admin role-preview mode is reflected everywhere in the UI.</w:t>
      </w:r>
    </w:p>
    <w:p>
      <w:pPr>
        <w:pStyle w:val="ListParagraph"/>
        <w:numPr>
          <w:ilvl w:val="0"/>
          <w:numId w:val="2"/>
        </w:numPr>
        <w:spacing w:after="60" w:before="40"/>
      </w:pPr>
      <w:r>
        <w:rPr>
          <w:rFonts w:ascii="Arial" w:cs="Arial" w:eastAsia="Arial" w:hAnsi="Arial"/>
          <w:color w:val="1A1A2E"/>
          <w:sz w:val="22"/>
          <w:szCs w:val="22"/>
        </w:rPr>
        <w:t xml:space="preserve">refreshRoleAndPermissions / refreshPermissions — Async actions that re-fetch RBAC data from the backend and update the permission maps in context, called after any access-control change.</w:t>
      </w:r>
    </w:p>
    <w:p>
      <w:pPr>
        <w:pStyle w:val="Heading3"/>
        <w:spacing w:after="100" w:before="200"/>
      </w:pPr>
      <w:r>
        <w:rPr>
          <w:rFonts w:ascii="Arial" w:cs="Arial" w:eastAsia="Arial" w:hAnsi="Arial"/>
          <w:b/>
          <w:bCs/>
          <w:color w:val="1A1A2E"/>
          <w:sz w:val="22"/>
          <w:szCs w:val="22"/>
        </w:rPr>
        <w:t xml:space="preserve">2.1.2 Permission Map Builder</w:t>
      </w:r>
    </w:p>
    <w:p>
      <w:pPr>
        <w:spacing w:after="120" w:before="80"/>
      </w:pPr>
      <w:r>
        <w:rPr>
          <w:rFonts w:ascii="Arial" w:cs="Arial" w:eastAsia="Arial" w:hAnsi="Arial"/>
          <w:color w:val="1A1A2E"/>
          <w:sz w:val="22"/>
          <w:szCs w:val="22"/>
        </w:rPr>
        <w:t xml:space="preserve">The buildPermissionMapForRole utility function converts the flat PermissionRow array returned by the RBAC API into a page-keyed boolean lookup. It filters rows by role name (case- and whitespace-insensitive) and produces an object where each key is a page identifier and the value indicates whether the role has access. This map is used by canAccess() throughout the sidebar, route guards, and the Application hub card grid.</w:t>
      </w:r>
    </w:p>
    <w:p>
      <w:pPr>
        <w:pStyle w:val="Heading3"/>
        <w:spacing w:after="100" w:before="200"/>
      </w:pPr>
      <w:r>
        <w:rPr>
          <w:rFonts w:ascii="Arial" w:cs="Arial" w:eastAsia="Arial" w:hAnsi="Arial"/>
          <w:b/>
          <w:bCs/>
          <w:color w:val="1A1A2E"/>
          <w:sz w:val="22"/>
          <w:szCs w:val="22"/>
        </w:rPr>
        <w:t xml:space="preserve">2.1.3 Admin Preview Mode</w:t>
      </w:r>
    </w:p>
    <w:p>
      <w:pPr>
        <w:spacing w:after="120" w:before="80"/>
      </w:pPr>
      <w:r>
        <w:rPr>
          <w:rFonts w:ascii="Arial" w:cs="Arial" w:eastAsia="Arial" w:hAnsi="Arial"/>
          <w:color w:val="1A1A2E"/>
          <w:sz w:val="22"/>
          <w:szCs w:val="22"/>
        </w:rPr>
        <w:t xml:space="preserve">Admin users can impersonate any role by selecting it in the AccessControl page. The chosen role is stored in localStorage under the key rbacPreviewRole, allowing the preview to survive browser refreshes. While preview mode is active, effectiveRole is non-null and the Header/Sidebar display a visible badge identifying the previewed role. Setting effectiveRole back to null clears the localStorage entry and restores the admin's own permissions.</w:t>
      </w:r>
    </w:p>
    <w:p>
      <w:pPr>
        <w:pStyle w:val="Heading2"/>
        <w:spacing w:after="120" w:before="280"/>
      </w:pPr>
      <w:r>
        <w:rPr>
          <w:rFonts w:ascii="Arial" w:cs="Arial" w:eastAsia="Arial" w:hAnsi="Arial"/>
          <w:b/>
          <w:bCs/>
          <w:color w:val="2E75B6"/>
          <w:sz w:val="26"/>
          <w:szCs w:val="26"/>
        </w:rPr>
        <w:t xml:space="preserve">2.2 ChatbotContext</w:t>
      </w:r>
    </w:p>
    <w:p>
      <w:pPr>
        <w:spacing w:after="120" w:before="80"/>
      </w:pPr>
      <w:r>
        <w:rPr>
          <w:rFonts w:ascii="Arial" w:cs="Arial" w:eastAsia="Arial" w:hAnsi="Arial"/>
          <w:color w:val="1A1A2E"/>
          <w:sz w:val="22"/>
          <w:szCs w:val="22"/>
        </w:rPr>
        <w:t xml:space="preserve">ChatbotContext owns all chatbot-related selection state: the active chatbot, pipeline, and prompt, plus the lists of available options loaded on mount. It decouples the Experimentation page's data-fetching concerns from its rendering logic, and allows any descendant — including PipelineSection and ChatWindow — to read or update the current selection without prop drilling.</w:t>
      </w:r>
    </w:p>
    <w:p>
      <w:pPr>
        <w:pStyle w:val="Heading3"/>
        <w:spacing w:after="100" w:before="200"/>
      </w:pPr>
      <w:r>
        <w:rPr>
          <w:rFonts w:ascii="Arial" w:cs="Arial" w:eastAsia="Arial" w:hAnsi="Arial"/>
          <w:b/>
          <w:bCs/>
          <w:color w:val="1A1A2E"/>
          <w:sz w:val="22"/>
          <w:szCs w:val="22"/>
        </w:rPr>
        <w:t xml:space="preserve">2.2.1 State Shape</w:t>
      </w:r>
    </w:p>
    <w:p>
      <w:pPr>
        <w:pStyle w:val="ListParagraph"/>
        <w:numPr>
          <w:ilvl w:val="0"/>
          <w:numId w:val="2"/>
        </w:numPr>
        <w:spacing w:after="60" w:before="40"/>
      </w:pPr>
      <w:r>
        <w:rPr>
          <w:rFonts w:ascii="Arial" w:cs="Arial" w:eastAsia="Arial" w:hAnsi="Arial"/>
          <w:color w:val="1A1A2E"/>
          <w:sz w:val="22"/>
          <w:szCs w:val="22"/>
        </w:rPr>
        <w:t xml:space="preserve">chatbot / pipeline / prompt — The currently selected entities, each storing the full record returned from their respective APIs.</w:t>
      </w:r>
    </w:p>
    <w:p>
      <w:pPr>
        <w:pStyle w:val="ListParagraph"/>
        <w:numPr>
          <w:ilvl w:val="0"/>
          <w:numId w:val="2"/>
        </w:numPr>
        <w:spacing w:after="60" w:before="40"/>
      </w:pPr>
      <w:r>
        <w:rPr>
          <w:rFonts w:ascii="Arial" w:cs="Arial" w:eastAsia="Arial" w:hAnsi="Arial"/>
          <w:color w:val="1A1A2E"/>
          <w:sz w:val="22"/>
          <w:szCs w:val="22"/>
        </w:rPr>
        <w:t xml:space="preserve">availableChatbots / pipelines / prompts — The complete option lists for each selector dropdown, loaded concurrently on context mount.</w:t>
      </w:r>
    </w:p>
    <w:p>
      <w:pPr>
        <w:pStyle w:val="ListParagraph"/>
        <w:numPr>
          <w:ilvl w:val="0"/>
          <w:numId w:val="2"/>
        </w:numPr>
        <w:spacing w:after="60" w:before="40"/>
      </w:pPr>
      <w:r>
        <w:rPr>
          <w:rFonts w:ascii="Arial" w:cs="Arial" w:eastAsia="Arial" w:hAnsi="Arial"/>
          <w:color w:val="1A1A2E"/>
          <w:sz w:val="22"/>
          <w:szCs w:val="22"/>
        </w:rPr>
        <w:t xml:space="preserve">isLoadingChatbots / isLoadingPipelines / isLoadingPrompts — Per-list loading flags for granular skeleton UI.</w:t>
      </w:r>
    </w:p>
    <w:p>
      <w:pPr>
        <w:pStyle w:val="ListParagraph"/>
        <w:numPr>
          <w:ilvl w:val="0"/>
          <w:numId w:val="2"/>
        </w:numPr>
        <w:spacing w:after="60" w:before="40"/>
      </w:pPr>
      <w:r>
        <w:rPr>
          <w:rFonts w:ascii="Arial" w:cs="Arial" w:eastAsia="Arial" w:hAnsi="Arial"/>
          <w:color w:val="1A1A2E"/>
          <w:sz w:val="22"/>
          <w:szCs w:val="22"/>
        </w:rPr>
        <w:t xml:space="preserve">chatbotsError / pipelinesError / promptsError — Per-list error messages displayed inline if a fetch fails.</w:t>
      </w:r>
    </w:p>
    <w:p>
      <w:pPr>
        <w:pStyle w:val="ListParagraph"/>
        <w:numPr>
          <w:ilvl w:val="0"/>
          <w:numId w:val="2"/>
        </w:numPr>
        <w:spacing w:after="60" w:before="40"/>
      </w:pPr>
      <w:r>
        <w:rPr>
          <w:rFonts w:ascii="Arial" w:cs="Arial" w:eastAsia="Arial" w:hAnsi="Arial"/>
          <w:color w:val="1A1A2E"/>
          <w:sz w:val="22"/>
          <w:szCs w:val="22"/>
        </w:rPr>
        <w:t xml:space="preserve">createChatbot — Async action that posts to the chatbot creation endpoint, refreshes the chatbot list, and returns the new chatbot ID for immediate navigation.</w:t>
      </w:r>
    </w:p>
    <w:p>
      <w:pPr>
        <w:pStyle w:val="ListParagraph"/>
        <w:numPr>
          <w:ilvl w:val="0"/>
          <w:numId w:val="2"/>
        </w:numPr>
        <w:spacing w:after="60" w:before="40"/>
      </w:pPr>
      <w:r>
        <w:rPr>
          <w:rFonts w:ascii="Arial" w:cs="Arial" w:eastAsia="Arial" w:hAnsi="Arial"/>
          <w:color w:val="1A1A2E"/>
          <w:sz w:val="22"/>
          <w:szCs w:val="22"/>
        </w:rPr>
        <w:t xml:space="preserve">fetchChatbotById — Loads a single chatbot record by ID, used when navigating directly to /experimentation/:chatbotId.</w:t>
      </w:r>
    </w:p>
    <w:p>
      <w:pPr>
        <w:pStyle w:val="ListParagraph"/>
        <w:numPr>
          <w:ilvl w:val="0"/>
          <w:numId w:val="2"/>
        </w:numPr>
        <w:spacing w:after="60" w:before="40"/>
      </w:pPr>
      <w:r>
        <w:rPr>
          <w:rFonts w:ascii="Arial" w:cs="Arial" w:eastAsia="Arial" w:hAnsi="Arial"/>
          <w:color w:val="1A1A2E"/>
          <w:sz w:val="22"/>
          <w:szCs w:val="22"/>
        </w:rPr>
        <w:t xml:space="preserve">selectChatbot — Synchronous action that updates the selected chatbot and triggers pipeline list re-fetch scoped to that chatbot.</w:t>
      </w:r>
    </w:p>
    <w:p>
      <w:pPr>
        <w:pStyle w:val="ListParagraph"/>
        <w:numPr>
          <w:ilvl w:val="0"/>
          <w:numId w:val="2"/>
        </w:numPr>
        <w:spacing w:after="60" w:before="40"/>
      </w:pPr>
      <w:r>
        <w:rPr>
          <w:rFonts w:ascii="Arial" w:cs="Arial" w:eastAsia="Arial" w:hAnsi="Arial"/>
          <w:color w:val="1A1A2E"/>
          <w:sz w:val="22"/>
          <w:szCs w:val="22"/>
        </w:rPr>
        <w:t xml:space="preserve">updateChatbotPipeline — Patches the currently selected chatbot's active pipeline.</w:t>
      </w:r>
    </w:p>
    <w:p>
      <w:pPr>
        <w:pStyle w:val="ListParagraph"/>
        <w:numPr>
          <w:ilvl w:val="0"/>
          <w:numId w:val="2"/>
        </w:numPr>
        <w:spacing w:after="60" w:before="40"/>
      </w:pPr>
      <w:r>
        <w:rPr>
          <w:rFonts w:ascii="Arial" w:cs="Arial" w:eastAsia="Arial" w:hAnsi="Arial"/>
          <w:color w:val="1A1A2E"/>
          <w:sz w:val="22"/>
          <w:szCs w:val="22"/>
        </w:rPr>
        <w:t xml:space="preserve">clearChatbotData — Resets all selection state to null, called on logout or mode change.</w:t>
      </w:r>
    </w:p>
    <w:p>
      <w:pPr>
        <w:pStyle w:val="ListParagraph"/>
        <w:numPr>
          <w:ilvl w:val="0"/>
          <w:numId w:val="2"/>
        </w:numPr>
        <w:spacing w:after="60" w:before="40"/>
      </w:pPr>
      <w:r>
        <w:rPr>
          <w:rFonts w:ascii="Arial" w:cs="Arial" w:eastAsia="Arial" w:hAnsi="Arial"/>
          <w:color w:val="1A1A2E"/>
          <w:sz w:val="22"/>
          <w:szCs w:val="22"/>
        </w:rPr>
        <w:t xml:space="preserve">refreshChatbots — Re-fetches the full chatbot list from the API and updates availableChatbots.</w:t>
      </w:r>
    </w:p>
    <w:p>
      <w:pPr>
        <w:pStyle w:val="Heading2"/>
        <w:spacing w:after="120" w:before="280"/>
      </w:pPr>
      <w:r>
        <w:rPr>
          <w:rFonts w:ascii="Arial" w:cs="Arial" w:eastAsia="Arial" w:hAnsi="Arial"/>
          <w:b/>
          <w:bCs/>
          <w:color w:val="2E75B6"/>
          <w:sz w:val="26"/>
          <w:szCs w:val="26"/>
        </w:rPr>
        <w:t xml:space="preserve">2.3 NotificationContext</w:t>
      </w:r>
    </w:p>
    <w:p>
      <w:pPr>
        <w:spacing w:after="120" w:before="80"/>
      </w:pPr>
      <w:r>
        <w:rPr>
          <w:rFonts w:ascii="Arial" w:cs="Arial" w:eastAsia="Arial" w:hAnsi="Arial"/>
          <w:color w:val="1A1A2E"/>
          <w:sz w:val="22"/>
          <w:szCs w:val="22"/>
        </w:rPr>
        <w:t xml:space="preserve">NotificationContext provides a global toast notification system backed by a Material UI Snackbar. It exposes a showNotification action that accepts a type (success, error, warning, info), a message string, and an optional auto-hide duration.</w:t>
      </w:r>
    </w:p>
    <w:p>
      <w:pPr>
        <w:spacing w:after="120" w:before="80"/>
      </w:pPr>
      <w:r>
        <w:rPr>
          <w:rFonts w:ascii="Arial" w:cs="Arial" w:eastAsia="Arial" w:hAnsi="Arial"/>
          <w:color w:val="1A1A2E"/>
          <w:sz w:val="22"/>
          <w:szCs w:val="22"/>
        </w:rPr>
        <w:t xml:space="preserve">The key design pattern is a singleton NotificationService class that lives outside React. It holds a reference to the showNotification function registered by NotificationContext at mount time. Axios interceptors call notificationService.showError() synchronously when an API request fails, allowing the HTTP layer to surface errors as toasts without importing any React hook or maintaining a React coupling in the API modules.</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3. API Architecture</w:t>
      </w:r>
    </w:p>
    <w:p>
      <w:pPr>
        <w:spacing w:after="120" w:before="80"/>
      </w:pPr>
      <w:r>
        <w:rPr>
          <w:rFonts w:ascii="Arial" w:cs="Arial" w:eastAsia="Arial" w:hAnsi="Arial"/>
          <w:color w:val="1A1A2E"/>
          <w:sz w:val="22"/>
          <w:szCs w:val="22"/>
        </w:rPr>
        <w:t xml:space="preserve">All HTTP communication is centralised through a two-layer API architecture: a base Axios instance configured with the backend URL and default headers, and a higher-level apiClient wrapper that adds response unwrapping, structured error enrichment, and notification dispatching.</w:t>
      </w:r>
    </w:p>
    <w:p>
      <w:pPr>
        <w:pStyle w:val="Heading2"/>
        <w:spacing w:after="120" w:before="280"/>
      </w:pPr>
      <w:r>
        <w:rPr>
          <w:rFonts w:ascii="Arial" w:cs="Arial" w:eastAsia="Arial" w:hAnsi="Arial"/>
          <w:b/>
          <w:bCs/>
          <w:color w:val="2E75B6"/>
          <w:sz w:val="26"/>
          <w:szCs w:val="26"/>
        </w:rPr>
        <w:t xml:space="preserve">3.1 Centralised API Client (apiClient)</w:t>
      </w:r>
    </w:p>
    <w:p>
      <w:pPr>
        <w:spacing w:after="120" w:before="80"/>
      </w:pPr>
      <w:r>
        <w:rPr>
          <w:rFonts w:ascii="Arial" w:cs="Arial" w:eastAsia="Arial" w:hAnsi="Arial"/>
          <w:color w:val="1A1A2E"/>
          <w:sz w:val="22"/>
          <w:szCs w:val="22"/>
        </w:rPr>
        <w:t xml:space="preserve">apiClient is a thin object wrapper around the base Axios instance that exposes get, post, put, patch, and delete methods. Every method automatically unwraps the { success, data } response envelope returned by the backend, so callers receive the inner data payload directly without needing to navigate the envelope structure.</w:t>
      </w:r>
    </w:p>
    <w:p>
      <w:pPr>
        <w:spacing w:after="120" w:before="80"/>
      </w:pPr>
      <w:r>
        <w:rPr>
          <w:rFonts w:ascii="Arial" w:cs="Arial" w:eastAsia="Arial" w:hAnsi="Arial"/>
          <w:color w:val="1A1A2E"/>
          <w:sz w:val="22"/>
          <w:szCs w:val="22"/>
        </w:rPr>
        <w:t xml:space="preserve">On failure, each method converts the raw Axios error into a typed EnhancedApiError via the enrichError utility. It also calls notificationService.showError() to surface the failure as a toast. This means page components and context providers can await apiClient calls without implementing their own error-handling boilerplate.</w:t>
      </w:r>
    </w:p>
    <w:p>
      <w:pPr>
        <w:pStyle w:val="Heading3"/>
        <w:spacing w:after="100" w:before="200"/>
      </w:pPr>
      <w:r>
        <w:rPr>
          <w:rFonts w:ascii="Arial" w:cs="Arial" w:eastAsia="Arial" w:hAnsi="Arial"/>
          <w:b/>
          <w:bCs/>
          <w:color w:val="1A1A2E"/>
          <w:sz w:val="22"/>
          <w:szCs w:val="22"/>
        </w:rPr>
        <w:t xml:space="preserve">3.1.1 EnhancedApiError Shape</w:t>
      </w:r>
    </w:p>
    <w:p>
      <w:pPr>
        <w:spacing w:after="120" w:before="80"/>
      </w:pPr>
      <w:r>
        <w:rPr>
          <w:rFonts w:ascii="Arial" w:cs="Arial" w:eastAsia="Arial" w:hAnsi="Arial"/>
          <w:color w:val="1A1A2E"/>
          <w:sz w:val="22"/>
          <w:szCs w:val="22"/>
        </w:rPr>
        <w:t xml:space="preserve">The EnhancedApiError interface extends the standard Error with the following diagnostic fields:</w:t>
      </w:r>
    </w:p>
    <w:p>
      <w:pPr>
        <w:pStyle w:val="ListParagraph"/>
        <w:numPr>
          <w:ilvl w:val="0"/>
          <w:numId w:val="2"/>
        </w:numPr>
        <w:spacing w:after="60" w:before="40"/>
      </w:pPr>
      <w:r>
        <w:rPr>
          <w:rFonts w:ascii="Arial" w:cs="Arial" w:eastAsia="Arial" w:hAnsi="Arial"/>
          <w:color w:val="1A1A2E"/>
          <w:sz w:val="22"/>
          <w:szCs w:val="22"/>
        </w:rPr>
        <w:t xml:space="preserve">message — A user-readable string sourced from errorMessages.ts, mapped by HTTP status code or Axios error code.</w:t>
      </w:r>
    </w:p>
    <w:p>
      <w:pPr>
        <w:pStyle w:val="ListParagraph"/>
        <w:numPr>
          <w:ilvl w:val="0"/>
          <w:numId w:val="2"/>
        </w:numPr>
        <w:spacing w:after="60" w:before="40"/>
      </w:pPr>
      <w:r>
        <w:rPr>
          <w:rFonts w:ascii="Arial" w:cs="Arial" w:eastAsia="Arial" w:hAnsi="Arial"/>
          <w:color w:val="1A1A2E"/>
          <w:sz w:val="22"/>
          <w:szCs w:val="22"/>
        </w:rPr>
        <w:t xml:space="preserve">code — The HTTP status code or Axios error code (e.g., ECONNABORTED for timeouts).</w:t>
      </w:r>
    </w:p>
    <w:p>
      <w:pPr>
        <w:pStyle w:val="ListParagraph"/>
        <w:numPr>
          <w:ilvl w:val="0"/>
          <w:numId w:val="2"/>
        </w:numPr>
        <w:spacing w:after="60" w:before="40"/>
      </w:pPr>
      <w:r>
        <w:rPr>
          <w:rFonts w:ascii="Arial" w:cs="Arial" w:eastAsia="Arial" w:hAnsi="Arial"/>
          <w:color w:val="1A1A2E"/>
          <w:sz w:val="22"/>
          <w:szCs w:val="22"/>
        </w:rPr>
        <w:t xml:space="preserve">status — The raw HTTP status integer, present for server and client errors.</w:t>
      </w:r>
    </w:p>
    <w:p>
      <w:pPr>
        <w:pStyle w:val="ListParagraph"/>
        <w:numPr>
          <w:ilvl w:val="0"/>
          <w:numId w:val="2"/>
        </w:numPr>
        <w:spacing w:after="60" w:before="40"/>
      </w:pPr>
      <w:r>
        <w:rPr>
          <w:rFonts w:ascii="Arial" w:cs="Arial" w:eastAsia="Arial" w:hAnsi="Arial"/>
          <w:color w:val="1A1A2E"/>
          <w:sz w:val="22"/>
          <w:szCs w:val="22"/>
        </w:rPr>
        <w:t xml:space="preserve">data — The raw response body, useful for validation error details from the backend.</w:t>
      </w:r>
    </w:p>
    <w:p>
      <w:pPr>
        <w:pStyle w:val="ListParagraph"/>
        <w:numPr>
          <w:ilvl w:val="0"/>
          <w:numId w:val="2"/>
        </w:numPr>
        <w:spacing w:after="60" w:before="40"/>
      </w:pPr>
      <w:r>
        <w:rPr>
          <w:rFonts w:ascii="Arial" w:cs="Arial" w:eastAsia="Arial" w:hAnsi="Arial"/>
          <w:color w:val="1A1A2E"/>
          <w:sz w:val="22"/>
          <w:szCs w:val="22"/>
        </w:rPr>
        <w:t xml:space="preserve">isNetworkError — True when the request never reached the server (DNS failure, CORS block).</w:t>
      </w:r>
    </w:p>
    <w:p>
      <w:pPr>
        <w:pStyle w:val="ListParagraph"/>
        <w:numPr>
          <w:ilvl w:val="0"/>
          <w:numId w:val="2"/>
        </w:numPr>
        <w:spacing w:after="60" w:before="40"/>
      </w:pPr>
      <w:r>
        <w:rPr>
          <w:rFonts w:ascii="Arial" w:cs="Arial" w:eastAsia="Arial" w:hAnsi="Arial"/>
          <w:color w:val="1A1A2E"/>
          <w:sz w:val="22"/>
          <w:szCs w:val="22"/>
        </w:rPr>
        <w:t xml:space="preserve">isTimeout — True when Axios reports ECONNABORTED, indicating a request timeout.</w:t>
      </w:r>
    </w:p>
    <w:p>
      <w:pPr>
        <w:pStyle w:val="ListParagraph"/>
        <w:numPr>
          <w:ilvl w:val="0"/>
          <w:numId w:val="2"/>
        </w:numPr>
        <w:spacing w:after="60" w:before="40"/>
      </w:pPr>
      <w:r>
        <w:rPr>
          <w:rFonts w:ascii="Arial" w:cs="Arial" w:eastAsia="Arial" w:hAnsi="Arial"/>
          <w:color w:val="1A1A2E"/>
          <w:sz w:val="22"/>
          <w:szCs w:val="22"/>
        </w:rPr>
        <w:t xml:space="preserve">isServerError — True for 5xx responses, indicating a backend fault.</w:t>
      </w:r>
    </w:p>
    <w:p>
      <w:pPr>
        <w:pStyle w:val="ListParagraph"/>
        <w:numPr>
          <w:ilvl w:val="0"/>
          <w:numId w:val="2"/>
        </w:numPr>
        <w:spacing w:after="60" w:before="40"/>
      </w:pPr>
      <w:r>
        <w:rPr>
          <w:rFonts w:ascii="Arial" w:cs="Arial" w:eastAsia="Arial" w:hAnsi="Arial"/>
          <w:color w:val="1A1A2E"/>
          <w:sz w:val="22"/>
          <w:szCs w:val="22"/>
        </w:rPr>
        <w:t xml:space="preserve">isClientError — True for 4xx responses, indicating a request fault.</w:t>
      </w:r>
    </w:p>
    <w:p>
      <w:pPr>
        <w:pStyle w:val="ListParagraph"/>
        <w:numPr>
          <w:ilvl w:val="0"/>
          <w:numId w:val="2"/>
        </w:numPr>
        <w:spacing w:after="60" w:before="40"/>
      </w:pPr>
      <w:r>
        <w:rPr>
          <w:rFonts w:ascii="Arial" w:cs="Arial" w:eastAsia="Arial" w:hAnsi="Arial"/>
          <w:color w:val="1A1A2E"/>
          <w:sz w:val="22"/>
          <w:szCs w:val="22"/>
        </w:rPr>
        <w:t xml:space="preserve">originalError — The raw Axios error object, preserved for debugging.</w:t>
      </w:r>
    </w:p>
    <w:p>
      <w:pPr>
        <w:pStyle w:val="Heading2"/>
        <w:spacing w:after="120" w:before="280"/>
      </w:pPr>
      <w:r>
        <w:rPr>
          <w:rFonts w:ascii="Arial" w:cs="Arial" w:eastAsia="Arial" w:hAnsi="Arial"/>
          <w:b/>
          <w:bCs/>
          <w:color w:val="2E75B6"/>
          <w:sz w:val="26"/>
          <w:szCs w:val="26"/>
        </w:rPr>
        <w:t xml:space="preserve">3.2 API Endpoint Modules</w:t>
      </w:r>
    </w:p>
    <w:p>
      <w:pPr>
        <w:spacing w:after="120" w:before="80"/>
      </w:pPr>
      <w:r>
        <w:rPr>
          <w:rFonts w:ascii="Arial" w:cs="Arial" w:eastAsia="Arial" w:hAnsi="Arial"/>
          <w:color w:val="1A1A2E"/>
          <w:sz w:val="22"/>
          <w:szCs w:val="22"/>
        </w:rPr>
        <w:t xml:space="preserve">Each backend domain has its own module under src/api/endpoints/. All modules use apiClient for consistent error handling, with the exception of models.api.ts (which uses raw fetch() with a hardcoded base URL and is flagged for migration). The table below summarises each module and its 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rPr>
          <w:tblHeader/>
        </w:trPr>
        <w:tc>
          <w:tcPr>
            <w:tcW w:type="dxa" w:w="22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7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Endpoints / Responsibilities</w:t>
            </w:r>
          </w:p>
        </w:tc>
        <w:tc>
          <w:tcPr>
            <w:tcW w:type="dxa" w:w="34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Notable Behaviour</w:t>
            </w:r>
          </w:p>
        </w:tc>
      </w:tr>
      <w:tr>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chatbot.api.ts</w:t>
            </w:r>
          </w:p>
        </w:tc>
        <w:tc>
          <w:tcPr>
            <w:tcW w:type="dxa" w:w="3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createChatbot, getChatbots, deployChatbot, saveResponseREST, saveFeedbackREST</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Also owns CSAT/KPI metric fetches for the ModelComparisonPanel</w:t>
            </w:r>
          </w:p>
        </w:tc>
      </w:tr>
      <w:tr>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pipeline.api.ts</w:t>
            </w:r>
          </w:p>
        </w:tc>
        <w:tc>
          <w:tcPr>
            <w:tcW w:type="dxa" w:w="3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submitPipeline, updatePipeline, getPipelines, getPipelineById, getPipelineConfiguration</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Handles camelCase → snake_case field mapping before sending to backend</w:t>
            </w:r>
          </w:p>
        </w:tc>
      </w:tr>
      <w:tr>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snowflake.api.ts</w:t>
            </w:r>
          </w:p>
        </w:tc>
        <w:tc>
          <w:tcPr>
            <w:tcW w:type="dxa" w:w="3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getCurrentUser, getRoles, getCostHistory</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Returns Snowflake session identity and billing data</w:t>
            </w:r>
          </w:p>
        </w:tc>
      </w:tr>
      <w:tr>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rbac.api.ts</w:t>
            </w:r>
          </w:p>
        </w:tc>
        <w:tc>
          <w:tcPr>
            <w:tcW w:type="dxa" w:w="3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getCurrentRole, getPermissions, updatePermission, getUsersWithRole</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toBool() helper normalises the HAS_ACCESS field from numeric to boolean</w:t>
            </w:r>
          </w:p>
        </w:tc>
      </w:tr>
      <w:tr>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raCompliance.api.ts</w:t>
            </w:r>
          </w:p>
        </w:tc>
        <w:tc>
          <w:tcPr>
            <w:tcW w:type="dxa" w:w="3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getCompliances, getComplianceById, createComplianceCheck</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Handles both array and object response variants from backend</w:t>
            </w:r>
          </w:p>
        </w:tc>
      </w:tr>
      <w:tr>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policyScanner.api.ts</w:t>
            </w:r>
          </w:p>
        </w:tc>
        <w:tc>
          <w:tcPr>
            <w:tcW w:type="dxa" w:w="3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addPolicy, approvePolicies, generateMapping, runComplianceCheck, generateReport, getDatabases, getSchemas, getTables</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Serves the 7-step Policy Scanner wizard backend</w:t>
            </w:r>
          </w:p>
        </w:tc>
      </w:tr>
      <w:tr>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semanticView.api.ts</w:t>
            </w:r>
          </w:p>
        </w:tc>
        <w:tc>
          <w:tcPr>
            <w:tcW w:type="dxa" w:w="3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getDatabases, getSchemas, getTablesBySchema, generateSql, getSemanticModels, getSemanticViews</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Powers AI-driven SQL generation for semantic views</w:t>
            </w:r>
          </w:p>
        </w:tc>
      </w:tr>
      <w:tr>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prompts.api.ts</w:t>
            </w:r>
          </w:p>
        </w:tc>
        <w:tc>
          <w:tcPr>
            <w:tcW w:type="dxa" w:w="3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getPrompts, getPromptById</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Loads prompt templates for the Experimentation page selector</w:t>
            </w:r>
          </w:p>
        </w:tc>
      </w:tr>
      <w:tr>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models.api.ts</w:t>
            </w:r>
          </w:p>
        </w:tc>
        <w:tc>
          <w:tcPr>
            <w:tcW w:type="dxa" w:w="3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getModels</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 Uses raw fetch() with hardcoded base URL — flagged for apiClient migration</w:t>
            </w:r>
          </w:p>
        </w:tc>
      </w:tr>
      <w:tr>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metadata.api.ts</w:t>
            </w:r>
          </w:p>
        </w:tc>
        <w:tc>
          <w:tcPr>
            <w:tcW w:type="dxa" w:w="3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getTables, getColumns</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Provides Snowflake schema metadata for the pipeline creation form</w:t>
            </w:r>
          </w:p>
        </w:tc>
      </w:tr>
      <w:tr>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searchService.api.ts</w:t>
            </w:r>
          </w:p>
        </w:tc>
        <w:tc>
          <w:tcPr>
            <w:tcW w:type="dxa" w:w="3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 (Cortex Search Service)</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Initiates Cortex Search Service provisioning as part of pipeline setup</w:t>
            </w:r>
          </w:p>
        </w:tc>
      </w:tr>
    </w:tbl>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4. Routing and RBAC Guards</w:t>
      </w:r>
    </w:p>
    <w:p>
      <w:pPr>
        <w:spacing w:after="120" w:before="80"/>
      </w:pPr>
      <w:r>
        <w:rPr>
          <w:rFonts w:ascii="Arial" w:cs="Arial" w:eastAsia="Arial" w:hAnsi="Arial"/>
          <w:color w:val="1A1A2E"/>
          <w:sz w:val="22"/>
          <w:szCs w:val="22"/>
        </w:rPr>
        <w:t xml:space="preserve">All routes are declared in AppRoutes using React Router DOM v7. Every page component is loaded via React.lazy() to enable code-splitting, reducing the initial bundle size by deferring page-level code until the user navigates to that route. A Suspense boundary wraps the entire route tree and shows a full-page Loader while a page chunk is being downloaded.</w:t>
      </w:r>
    </w:p>
    <w:p>
      <w:pPr>
        <w:pStyle w:val="Heading2"/>
        <w:spacing w:after="120" w:before="280"/>
      </w:pPr>
      <w:r>
        <w:rPr>
          <w:rFonts w:ascii="Arial" w:cs="Arial" w:eastAsia="Arial" w:hAnsi="Arial"/>
          <w:b/>
          <w:bCs/>
          <w:color w:val="2E75B6"/>
          <w:sz w:val="26"/>
          <w:szCs w:val="26"/>
        </w:rPr>
        <w:t xml:space="preserve">4.1 Route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1500"/>
        <w:gridCol w:w="2660"/>
      </w:tblGrid>
      <w:tr>
        <w:trPr>
          <w:tblHeader/>
        </w:trPr>
        <w:tc>
          <w:tcPr>
            <w:tcW w:type="dxa" w:w="30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22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15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Guard</w:t>
            </w:r>
          </w:p>
        </w:tc>
        <w:tc>
          <w:tcPr>
            <w:tcW w:type="dxa" w:w="26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Permission Key</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Home</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Home</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/application</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Application</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Application</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/experimentation</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Experimentation</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Experiment and Deploy</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/experimentation/:chatbotId</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Experimentation</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Experiment and Deploy</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/deployed-application</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DeployedApplication</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Deployed Applications</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/service-monitoring</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ServiceMonitoring</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Service Monitoring</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/error-monitoring</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ErrorMonitoring</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Error Monitoring</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/cost-calculator</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CostCalculator</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Cost Calculator</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/templates</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Templates</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Templates</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/prompt-generator</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PromptGenerator</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Prompt Generator</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/create-chatbot</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CreateChatbot</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Experiment and Deploy</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/search-chatbot</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SearchChatbot</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Experiment and Deploy</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/data-preparation</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DataPreparation</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Preparation</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/create-pipeline</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CreatePipeline</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Data Preparation</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/edit-pipeline/:id</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EditPipeline</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Preparation</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/pipeline-configuration/:id</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PipelineConfiguration</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Data Preparation</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/review-pipeline</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ReviewPipeline</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 Preparation</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/services</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Services</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Services</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/services/register</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RegisterService</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Services</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/regulatory-audit-compliance</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RACompliance</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RA Compliance</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/create-ra-compliance</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CreateRACompliance</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 Compliance</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/view-ra-compliance/:id</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ViewRACompliance</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RA Compliance</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/policy-scanner</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PolicyScanner</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 Compliance</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/semantic-view-agent</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SemanticViewAgent</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 View Creation Agent</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/semantic-view-agent/view/:queryId</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SemanticViewAgent</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Semantic View Creation Agent</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/semantic-view-agent/edit/:queryId</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SemanticViewAgent</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 View Creation Agent</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/lineage-graph</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LineageGraph</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Lineage Graph</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/lineage-graph/view/:graphId</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LineageGraph</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RequirePermission</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Lineage Graph</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/access-control</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AccessControl</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RequireAdmin</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RAISE_ADMIN only</w:t>
            </w:r>
          </w:p>
        </w:tc>
      </w:tr>
      <w:tr>
        <w:tc>
          <w:tcPr>
            <w:tcW w:type="dxa" w:w="3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/settings</w:t>
            </w:r>
          </w:p>
        </w:tc>
        <w:tc>
          <w:tcPr>
            <w:tcW w:type="dxa" w:w="2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Settings</w:t>
            </w:r>
          </w:p>
        </w:tc>
        <w:tc>
          <w:tcPr>
            <w:tcW w:type="dxa" w:w="1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None</w:t>
            </w:r>
          </w:p>
        </w:tc>
        <w:tc>
          <w:tcPr>
            <w:tcW w:type="dxa" w:w="2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All users</w:t>
            </w:r>
          </w:p>
        </w:tc>
      </w:tr>
      <w:tr>
        <w:tc>
          <w:tcPr>
            <w:tcW w:type="dxa" w:w="3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c>
          <w:tcPr>
            <w:tcW w:type="dxa" w:w="2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NotFound</w:t>
            </w:r>
          </w:p>
        </w:tc>
        <w:tc>
          <w:tcPr>
            <w:tcW w:type="dxa" w:w="1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None</w:t>
            </w:r>
          </w:p>
        </w:tc>
        <w:tc>
          <w:tcPr>
            <w:tcW w:type="dxa" w:w="2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w:t>
            </w:r>
          </w:p>
        </w:tc>
      </w:tr>
    </w:tbl>
    <w:p>
      <w:r>
        <w:rPr>
          <w:sz w:val="16"/>
          <w:szCs w:val="16"/>
        </w:rPr>
        <w:t xml:space="preserve"/>
      </w:r>
    </w:p>
    <w:p>
      <w:pPr>
        <w:pStyle w:val="Heading2"/>
        <w:spacing w:after="120" w:before="280"/>
      </w:pPr>
      <w:r>
        <w:rPr>
          <w:rFonts w:ascii="Arial" w:cs="Arial" w:eastAsia="Arial" w:hAnsi="Arial"/>
          <w:b/>
          <w:bCs/>
          <w:color w:val="2E75B6"/>
          <w:sz w:val="26"/>
          <w:szCs w:val="26"/>
        </w:rPr>
        <w:t xml:space="preserve">4.2 RequirePermission Guard</w:t>
      </w:r>
    </w:p>
    <w:p>
      <w:pPr>
        <w:spacing w:after="120" w:before="80"/>
      </w:pPr>
      <w:r>
        <w:rPr>
          <w:rFonts w:ascii="Arial" w:cs="Arial" w:eastAsia="Arial" w:hAnsi="Arial"/>
          <w:color w:val="1A1A2E"/>
          <w:sz w:val="22"/>
          <w:szCs w:val="22"/>
        </w:rPr>
        <w:t xml:space="preserve">RequirePermission is a React route-level wrapper component that enforces RBAC before rendering its child route. It accepts a page permission key and an optional parent key. On render, it reads effectivePermissions and effectiveRole from AppContext. If the RBAC data is still loading, it renders the full-page Loader component to prevent a flash of unauthorised content. Once loaded, it delegates to canAccess() and either renders the Outlet (the matched child route) or redirects the user to the Home page.</w:t>
      </w:r>
    </w:p>
    <w:p>
      <w:pPr>
        <w:spacing w:after="120" w:before="80"/>
      </w:pPr>
      <w:r>
        <w:rPr>
          <w:rFonts w:ascii="Arial" w:cs="Arial" w:eastAsia="Arial" w:hAnsi="Arial"/>
          <w:color w:val="1A1A2E"/>
          <w:sz w:val="22"/>
          <w:szCs w:val="22"/>
        </w:rPr>
        <w:t xml:space="preserve">The parent key parameter supports hierarchical permissions: if a parent permission group is explicitly denied, all child pages within that group are also denied, regardless of their individual permission values.</w:t>
      </w:r>
    </w:p>
    <w:p>
      <w:pPr>
        <w:pStyle w:val="Heading2"/>
        <w:spacing w:after="120" w:before="280"/>
      </w:pPr>
      <w:r>
        <w:rPr>
          <w:rFonts w:ascii="Arial" w:cs="Arial" w:eastAsia="Arial" w:hAnsi="Arial"/>
          <w:b/>
          <w:bCs/>
          <w:color w:val="2E75B6"/>
          <w:sz w:val="26"/>
          <w:szCs w:val="26"/>
        </w:rPr>
        <w:t xml:space="preserve">4.3 canAccess() Utility</w:t>
      </w:r>
    </w:p>
    <w:p>
      <w:pPr>
        <w:spacing w:after="120" w:before="80"/>
      </w:pPr>
      <w:r>
        <w:rPr>
          <w:rFonts w:ascii="Arial" w:cs="Arial" w:eastAsia="Arial" w:hAnsi="Arial"/>
          <w:color w:val="1A1A2E"/>
          <w:sz w:val="22"/>
          <w:szCs w:val="22"/>
        </w:rPr>
        <w:t xml:space="preserve">The canAccess() utility function in src/utils/rbacAccess.ts is the single source of truth for permission evaluation. It is used identically by RequirePermission, RequireAdmin, the Sidebar nav filter, and the Application hub card grid. Its evaluation logic follows this precedence:</w:t>
      </w:r>
    </w:p>
    <w:p>
      <w:pPr>
        <w:pStyle w:val="ListParagraph"/>
        <w:numPr>
          <w:ilvl w:val="0"/>
          <w:numId w:val="2"/>
        </w:numPr>
        <w:spacing w:after="60" w:before="40"/>
      </w:pPr>
      <w:r>
        <w:rPr>
          <w:rFonts w:ascii="Arial" w:cs="Arial" w:eastAsia="Arial" w:hAnsi="Arial"/>
          <w:color w:val="1A1A2E"/>
          <w:sz w:val="22"/>
          <w:szCs w:val="22"/>
        </w:rPr>
        <w:t xml:space="preserve">If the current role (case-insensitive) is RAISE_ADMIN, access is unconditionally granted.</w:t>
      </w:r>
    </w:p>
    <w:p>
      <w:pPr>
        <w:pStyle w:val="ListParagraph"/>
        <w:numPr>
          <w:ilvl w:val="0"/>
          <w:numId w:val="2"/>
        </w:numPr>
        <w:spacing w:after="60" w:before="40"/>
      </w:pPr>
      <w:r>
        <w:rPr>
          <w:rFonts w:ascii="Arial" w:cs="Arial" w:eastAsia="Arial" w:hAnsi="Arial"/>
          <w:color w:val="1A1A2E"/>
          <w:sz w:val="22"/>
          <w:szCs w:val="22"/>
        </w:rPr>
        <w:t xml:space="preserve">If a parent permission key is provided and that key is explicitly set to false in the permissions map, access is denied regardless of the child key's value.</w:t>
      </w:r>
    </w:p>
    <w:p>
      <w:pPr>
        <w:pStyle w:val="ListParagraph"/>
        <w:numPr>
          <w:ilvl w:val="0"/>
          <w:numId w:val="2"/>
        </w:numPr>
        <w:spacing w:after="60" w:before="40"/>
      </w:pPr>
      <w:r>
        <w:rPr>
          <w:rFonts w:ascii="Arial" w:cs="Arial" w:eastAsia="Arial" w:hAnsi="Arial"/>
          <w:color w:val="1A1A2E"/>
          <w:sz w:val="22"/>
          <w:szCs w:val="22"/>
        </w:rPr>
        <w:t xml:space="preserve">If the child key exists in the permissions map, its boolean value is returned directly.</w:t>
      </w:r>
    </w:p>
    <w:p>
      <w:pPr>
        <w:pStyle w:val="ListParagraph"/>
        <w:numPr>
          <w:ilvl w:val="0"/>
          <w:numId w:val="2"/>
        </w:numPr>
        <w:spacing w:after="60" w:before="40"/>
      </w:pPr>
      <w:r>
        <w:rPr>
          <w:rFonts w:ascii="Arial" w:cs="Arial" w:eastAsia="Arial" w:hAnsi="Arial"/>
          <w:color w:val="1A1A2E"/>
          <w:sz w:val="22"/>
          <w:szCs w:val="22"/>
        </w:rPr>
        <w:t xml:space="preserve">If the child key is absent but a parent key is present and exists in the map, the parent's value is used as a fallback.</w:t>
      </w:r>
    </w:p>
    <w:p>
      <w:pPr>
        <w:pStyle w:val="ListParagraph"/>
        <w:numPr>
          <w:ilvl w:val="0"/>
          <w:numId w:val="2"/>
        </w:numPr>
        <w:spacing w:after="60" w:before="40"/>
      </w:pPr>
      <w:r>
        <w:rPr>
          <w:rFonts w:ascii="Arial" w:cs="Arial" w:eastAsia="Arial" w:hAnsi="Arial"/>
          <w:color w:val="1A1A2E"/>
          <w:sz w:val="22"/>
          <w:szCs w:val="22"/>
        </w:rPr>
        <w:t xml:space="preserve">If neither key is found, access is denied.</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5. Layout and Navigation Components</w:t>
      </w:r>
    </w:p>
    <w:p>
      <w:pPr>
        <w:pStyle w:val="Heading2"/>
        <w:spacing w:after="120" w:before="280"/>
      </w:pPr>
      <w:r>
        <w:rPr>
          <w:rFonts w:ascii="Arial" w:cs="Arial" w:eastAsia="Arial" w:hAnsi="Arial"/>
          <w:b/>
          <w:bCs/>
          <w:color w:val="2E75B6"/>
          <w:sz w:val="26"/>
          <w:szCs w:val="26"/>
        </w:rPr>
        <w:t xml:space="preserve">5.1 Layout</w:t>
      </w:r>
    </w:p>
    <w:p>
      <w:pPr>
        <w:spacing w:after="120" w:before="80"/>
      </w:pPr>
      <w:r>
        <w:rPr>
          <w:rFonts w:ascii="Arial" w:cs="Arial" w:eastAsia="Arial" w:hAnsi="Arial"/>
          <w:color w:val="1A1A2E"/>
          <w:sz w:val="22"/>
          <w:szCs w:val="22"/>
        </w:rPr>
        <w:t xml:space="preserve">The Layout component is the persistent shell rendered around all authenticated pages. It composes the Sidebar and Header into a two-region flex layout, with the main content area occupying the remaining horizontal space. The outer container applies a CSS class based on the sidebarCollapsed flag from AppContext, which adjusts the left margin of the content region to match the sidebar width transition.</w:t>
      </w:r>
    </w:p>
    <w:p>
      <w:pPr>
        <w:spacing w:after="120" w:before="80"/>
      </w:pPr>
      <w:r>
        <w:rPr>
          <w:rFonts w:ascii="Arial" w:cs="Arial" w:eastAsia="Arial" w:hAnsi="Arial"/>
          <w:color w:val="1A1A2E"/>
          <w:sz w:val="22"/>
          <w:szCs w:val="22"/>
        </w:rPr>
        <w:t xml:space="preserve">Layout accepts an optional children prop for direct rendering (used in edge cases) but primarily acts as an Outlet host for React Router's nested route rendering. The main content area uses overflow-y: auto so that long pages scroll independently of the fixed header and sidebar.</w:t>
      </w:r>
    </w:p>
    <w:p>
      <w:pPr>
        <w:pStyle w:val="Heading2"/>
        <w:spacing w:after="120" w:before="280"/>
      </w:pPr>
      <w:r>
        <w:rPr>
          <w:rFonts w:ascii="Arial" w:cs="Arial" w:eastAsia="Arial" w:hAnsi="Arial"/>
          <w:b/>
          <w:bCs/>
          <w:color w:val="2E75B6"/>
          <w:sz w:val="26"/>
          <w:szCs w:val="26"/>
        </w:rPr>
        <w:t xml:space="preserve">5.2 Sidebar</w:t>
      </w:r>
    </w:p>
    <w:p>
      <w:pPr>
        <w:spacing w:after="120" w:before="80"/>
      </w:pPr>
      <w:r>
        <w:rPr>
          <w:rFonts w:ascii="Arial" w:cs="Arial" w:eastAsia="Arial" w:hAnsi="Arial"/>
          <w:color w:val="1A1A2E"/>
          <w:sz w:val="22"/>
          <w:szCs w:val="22"/>
        </w:rPr>
        <w:t xml:space="preserve">The Sidebar is a collapsible left navigation panel that renders filtered navigation links based on the user's effective permissions. Its two visual states are expanded (240px wide, showing icons and text labels) and collapsed (60px wide, showing icons only with tooltip labels on hover).</w:t>
      </w:r>
    </w:p>
    <w:p>
      <w:pPr>
        <w:pStyle w:val="Heading3"/>
        <w:spacing w:after="100" w:before="200"/>
      </w:pPr>
      <w:r>
        <w:rPr>
          <w:rFonts w:ascii="Arial" w:cs="Arial" w:eastAsia="Arial" w:hAnsi="Arial"/>
          <w:b/>
          <w:bCs/>
          <w:color w:val="1A1A2E"/>
          <w:sz w:val="22"/>
          <w:szCs w:val="22"/>
        </w:rPr>
        <w:t xml:space="preserve">5.2.1 Navigation Structure and Permission Filtering</w:t>
      </w:r>
    </w:p>
    <w:p>
      <w:pPr>
        <w:spacing w:after="120" w:before="80"/>
      </w:pPr>
      <w:r>
        <w:rPr>
          <w:rFonts w:ascii="Arial" w:cs="Arial" w:eastAsia="Arial" w:hAnsi="Arial"/>
          <w:color w:val="1A1A2E"/>
          <w:sz w:val="22"/>
          <w:szCs w:val="22"/>
        </w:rPr>
        <w:t xml:space="preserve">The sidebar's navigation items are defined as a static array of objects, each containing a display label, a route path constant from the ROUTES map, a permission key, and an optional icon component. Before rendering, this array is filtered using canAccess() against the user's effectivePermissions map. Only items for which the user has access are rendered, ensuring that the sidebar acts as a first-line permission enforcement layer visible to the user.</w:t>
      </w:r>
    </w:p>
    <w:p>
      <w:pPr>
        <w:spacing w:after="120" w:before="80"/>
      </w:pPr>
      <w:r>
        <w:rPr>
          <w:rFonts w:ascii="Arial" w:cs="Arial" w:eastAsia="Arial" w:hAnsi="Arial"/>
          <w:color w:val="1A1A2E"/>
          <w:sz w:val="22"/>
          <w:szCs w:val="22"/>
        </w:rPr>
        <w:t xml:space="preserve">Each rendered item uses React Router's NavLink, which automatically applies an active CSS class when the current URL matches the link's path. This provides visual feedback for the current route without requiring manual state management. When sidebar is collapsed, labels are hidden via CSS and MUI Tooltips display the label text on hover to maintain usability.</w:t>
      </w:r>
    </w:p>
    <w:p>
      <w:pPr>
        <w:spacing w:after="120" w:before="80"/>
      </w:pPr>
      <w:r>
        <w:rPr>
          <w:rFonts w:ascii="Arial" w:cs="Arial" w:eastAsia="Arial" w:hAnsi="Arial"/>
          <w:color w:val="1A1A2E"/>
          <w:sz w:val="22"/>
          <w:szCs w:val="22"/>
        </w:rPr>
        <w:t xml:space="preserve">If effectiveRole is non-null (indicating an admin is in role-preview mode), the Sidebar displays a coloured badge beneath the logo identifying the previewed role. This helps admins remember they are viewing the application from another role's perspective.</w:t>
      </w:r>
    </w:p>
    <w:p>
      <w:pPr>
        <w:pStyle w:val="Heading2"/>
        <w:spacing w:after="120" w:before="280"/>
      </w:pPr>
      <w:r>
        <w:rPr>
          <w:rFonts w:ascii="Arial" w:cs="Arial" w:eastAsia="Arial" w:hAnsi="Arial"/>
          <w:b/>
          <w:bCs/>
          <w:color w:val="2E75B6"/>
          <w:sz w:val="26"/>
          <w:szCs w:val="26"/>
        </w:rPr>
        <w:t xml:space="preserve">5.3 Header</w:t>
      </w:r>
    </w:p>
    <w:p>
      <w:pPr>
        <w:spacing w:after="120" w:before="80"/>
      </w:pPr>
      <w:r>
        <w:rPr>
          <w:rFonts w:ascii="Arial" w:cs="Arial" w:eastAsia="Arial" w:hAnsi="Arial"/>
          <w:color w:val="1A1A2E"/>
          <w:sz w:val="22"/>
          <w:szCs w:val="22"/>
        </w:rPr>
        <w:t xml:space="preserve">The Header is a fixed-height top bar spanning the full width of the content region. It is divided into a left section (branding logos) and a right section (user identity and menu).</w:t>
      </w:r>
    </w:p>
    <w:p>
      <w:pPr>
        <w:spacing w:after="120" w:before="80"/>
      </w:pPr>
      <w:r>
        <w:rPr>
          <w:rFonts w:ascii="Arial" w:cs="Arial" w:eastAsia="Arial" w:hAnsi="Arial"/>
          <w:color w:val="1A1A2E"/>
          <w:sz w:val="22"/>
          <w:szCs w:val="22"/>
        </w:rPr>
        <w:t xml:space="preserve">The left section renders two logos side-by-side: the AI Scalability Platform logo and the combined Snowflake/Capgemini logo, establishing the platform's dual-brand identity.</w:t>
      </w:r>
    </w:p>
    <w:p>
      <w:pPr>
        <w:spacing w:after="120" w:before="80"/>
      </w:pPr>
      <w:r>
        <w:rPr>
          <w:rFonts w:ascii="Arial" w:cs="Arial" w:eastAsia="Arial" w:hAnsi="Arial"/>
          <w:color w:val="1A1A2E"/>
          <w:sz w:val="22"/>
          <w:szCs w:val="22"/>
        </w:rPr>
        <w:t xml:space="preserve">The right section displays the current role name (from AppContext.currentRole) alongside an account icon. Clicking this area opens a Material UI Menu with three options: About (opens an AboutDialog modal with version information), Settings (navigates to /settings), and Access Control (visible only to RAISE_ADMIN role users, navigates to /access-control). The role name acts as the visible user identifier since the application is Snowflake-authenticated and does not use a separate username field.</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6. Pages — Home and Application Hub</w:t>
      </w:r>
    </w:p>
    <w:p>
      <w:pPr>
        <w:pStyle w:val="Heading2"/>
        <w:spacing w:after="120" w:before="280"/>
      </w:pPr>
      <w:r>
        <w:rPr>
          <w:rFonts w:ascii="Arial" w:cs="Arial" w:eastAsia="Arial" w:hAnsi="Arial"/>
          <w:b/>
          <w:bCs/>
          <w:color w:val="2E75B6"/>
          <w:sz w:val="26"/>
          <w:szCs w:val="26"/>
        </w:rPr>
        <w:t xml:space="preserve">6.1 Home Page ( / )</w:t>
      </w:r>
    </w:p>
    <w:p>
      <w:pPr>
        <w:spacing w:after="120" w:before="80"/>
      </w:pPr>
      <w:r>
        <w:rPr>
          <w:rFonts w:ascii="Arial" w:cs="Arial" w:eastAsia="Arial" w:hAnsi="Arial"/>
          <w:color w:val="1A1A2E"/>
          <w:sz w:val="22"/>
          <w:szCs w:val="22"/>
        </w:rPr>
        <w:t xml:space="preserve">The Home page is the main operational dashboard of the RAISE platform. It displays real-time KPI metrics fetched from the backend, trend charts covering multiple time periods, and a dynamically computed list of spike-based alerts. Each metric is fetched independently with its own loading and error state, so a failure in one metric card does not block the rest of the dashboard from rendering.</w:t>
      </w:r>
    </w:p>
    <w:p>
      <w:pPr>
        <w:pStyle w:val="Heading3"/>
        <w:spacing w:after="100" w:before="200"/>
      </w:pPr>
      <w:r>
        <w:rPr>
          <w:rFonts w:ascii="Arial" w:cs="Arial" w:eastAsia="Arial" w:hAnsi="Arial"/>
          <w:b/>
          <w:bCs/>
          <w:color w:val="1A1A2E"/>
          <w:sz w:val="22"/>
          <w:szCs w:val="22"/>
        </w:rPr>
        <w:t xml:space="preserve">6.1.1 Metrics Displayed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2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7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Delta Computation</w:t>
            </w:r>
          </w:p>
        </w:tc>
      </w:tr>
      <w:tr>
        <w:tc>
          <w:tcPr>
            <w:tcW w:type="dxa" w:w="2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Total Users</w:t>
            </w:r>
          </w:p>
        </w:tc>
        <w:tc>
          <w:tcPr>
            <w:tcW w:type="dxa" w:w="4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Distinct user count from the users API endpoint</w:t>
            </w:r>
          </w:p>
        </w:tc>
        <w:tc>
          <w:tcPr>
            <w:tcW w:type="dxa" w:w="2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Month-over-month delta computed from the monthly trend array</w:t>
            </w:r>
          </w:p>
        </w:tc>
      </w:tr>
      <w:tr>
        <w:tc>
          <w:tcPr>
            <w:tcW w:type="dxa" w:w="2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Total Conversations</w:t>
            </w:r>
          </w:p>
        </w:tc>
        <w:tc>
          <w:tcPr>
            <w:tcW w:type="dxa" w:w="4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Sum of conversation records in the current period</w:t>
            </w:r>
          </w:p>
        </w:tc>
        <w:tc>
          <w:tcPr>
            <w:tcW w:type="dxa" w:w="2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Compared against the previous period for percentage change</w:t>
            </w:r>
          </w:p>
        </w:tc>
      </w:tr>
      <w:tr>
        <w:tc>
          <w:tcPr>
            <w:tcW w:type="dxa" w:w="2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Token Usage</w:t>
            </w:r>
          </w:p>
        </w:tc>
        <w:tc>
          <w:tcPr>
            <w:tcW w:type="dxa" w:w="4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Aggregate tokens consumed across all chatbot sessions</w:t>
            </w:r>
          </w:p>
        </w:tc>
        <w:tc>
          <w:tcPr>
            <w:tcW w:type="dxa" w:w="2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Month-over-month trend from the tokenTrendData array</w:t>
            </w:r>
          </w:p>
        </w:tc>
      </w:tr>
      <w:tr>
        <w:tc>
          <w:tcPr>
            <w:tcW w:type="dxa" w:w="2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Average Latency</w:t>
            </w:r>
          </w:p>
        </w:tc>
        <w:tc>
          <w:tcPr>
            <w:tcW w:type="dxa" w:w="4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Mean response latency in milliseconds across all chatbot calls</w:t>
            </w:r>
          </w:p>
        </w:tc>
        <w:tc>
          <w:tcPr>
            <w:tcW w:type="dxa" w:w="2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Compared against the SPIKE.LATENCY_RED_MS threshold (3,000 ms)</w:t>
            </w:r>
          </w:p>
        </w:tc>
      </w:tr>
      <w:tr>
        <w:tc>
          <w:tcPr>
            <w:tcW w:type="dxa" w:w="2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CSAT (avg)</w:t>
            </w:r>
          </w:p>
        </w:tc>
        <w:tc>
          <w:tcPr>
            <w:tcW w:type="dxa" w:w="4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Average customer satisfaction score from user feedback</w:t>
            </w:r>
          </w:p>
        </w:tc>
        <w:tc>
          <w:tcPr>
            <w:tcW w:type="dxa" w:w="2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Point-to-point delta from the csatPoints time series array</w:t>
            </w:r>
          </w:p>
        </w:tc>
      </w:tr>
      <w:tr>
        <w:tc>
          <w:tcPr>
            <w:tcW w:type="dxa" w:w="2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Adoption Rate</w:t>
            </w:r>
          </w:p>
        </w:tc>
        <w:tc>
          <w:tcPr>
            <w:tcW w:type="dxa" w:w="4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Percentage of entitled users who have interacted with the platform</w:t>
            </w:r>
          </w:p>
        </w:tc>
        <w:tc>
          <w:tcPr>
            <w:tcW w:type="dxa" w:w="2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Compared against SPIKE.ADOPTION_GREEN (70%) and SPIKE.ADOPTION_RED (40%) thresholds</w:t>
            </w:r>
          </w:p>
        </w:tc>
      </w:tr>
    </w:tbl>
    <w:p>
      <w:r>
        <w:rPr>
          <w:sz w:val="16"/>
          <w:szCs w:val="16"/>
        </w:rPr>
        <w:t xml:space="preserve"/>
      </w:r>
    </w:p>
    <w:p>
      <w:pPr>
        <w:pStyle w:val="Heading3"/>
        <w:spacing w:after="100" w:before="200"/>
      </w:pPr>
      <w:r>
        <w:rPr>
          <w:rFonts w:ascii="Arial" w:cs="Arial" w:eastAsia="Arial" w:hAnsi="Arial"/>
          <w:b/>
          <w:bCs/>
          <w:color w:val="1A1A2E"/>
          <w:sz w:val="22"/>
          <w:szCs w:val="22"/>
        </w:rPr>
        <w:t xml:space="preserve">6.1.2 Spike Alert Logic</w:t>
      </w:r>
    </w:p>
    <w:p>
      <w:pPr>
        <w:spacing w:after="120" w:before="80"/>
      </w:pPr>
      <w:r>
        <w:rPr>
          <w:rFonts w:ascii="Arial" w:cs="Arial" w:eastAsia="Arial" w:hAnsi="Arial"/>
          <w:color w:val="1A1A2E"/>
          <w:sz w:val="22"/>
          <w:szCs w:val="22"/>
        </w:rPr>
        <w:t xml:space="preserve">After all metrics are fetched, a useEffect hook computes a list of dynamic AlertData objects by comparing each metric against a set of threshold constants (the SPIKE configuration object). Alerts are classified as either warning (red) or positive (green) and are rendered in a collapsible alert list beneath the KPI cards.</w:t>
      </w:r>
    </w:p>
    <w:p>
      <w:pPr>
        <w:spacing w:after="120" w:before="80"/>
      </w:pPr>
      <w:r>
        <w:rPr>
          <w:rFonts w:ascii="Arial" w:cs="Arial" w:eastAsia="Arial" w:hAnsi="Arial"/>
          <w:color w:val="1A1A2E"/>
          <w:sz w:val="22"/>
          <w:szCs w:val="22"/>
        </w:rPr>
        <w:t xml:space="preserve">The thresholds in the SPIKE configuration are:</w:t>
      </w:r>
    </w:p>
    <w:p>
      <w:pPr>
        <w:pStyle w:val="ListParagraph"/>
        <w:numPr>
          <w:ilvl w:val="0"/>
          <w:numId w:val="2"/>
        </w:numPr>
        <w:spacing w:after="60" w:before="40"/>
      </w:pPr>
      <w:r>
        <w:rPr>
          <w:rFonts w:ascii="Arial" w:cs="Arial" w:eastAsia="Arial" w:hAnsi="Arial"/>
          <w:color w:val="1A1A2E"/>
          <w:sz w:val="22"/>
          <w:szCs w:val="22"/>
        </w:rPr>
        <w:t xml:space="preserve">Token usage month-over-month change greater than 20% triggers a warning; a decrease of more than 10% triggers a positive alert.</w:t>
      </w:r>
    </w:p>
    <w:p>
      <w:pPr>
        <w:pStyle w:val="ListParagraph"/>
        <w:numPr>
          <w:ilvl w:val="0"/>
          <w:numId w:val="2"/>
        </w:numPr>
        <w:spacing w:after="60" w:before="40"/>
      </w:pPr>
      <w:r>
        <w:rPr>
          <w:rFonts w:ascii="Arial" w:cs="Arial" w:eastAsia="Arial" w:hAnsi="Arial"/>
          <w:color w:val="1A1A2E"/>
          <w:sz w:val="22"/>
          <w:szCs w:val="22"/>
        </w:rPr>
        <w:t xml:space="preserve">User growth month-over-month greater than 15% triggers a positive alert.</w:t>
      </w:r>
    </w:p>
    <w:p>
      <w:pPr>
        <w:pStyle w:val="ListParagraph"/>
        <w:numPr>
          <w:ilvl w:val="0"/>
          <w:numId w:val="2"/>
        </w:numPr>
        <w:spacing w:after="60" w:before="40"/>
      </w:pPr>
      <w:r>
        <w:rPr>
          <w:rFonts w:ascii="Arial" w:cs="Arial" w:eastAsia="Arial" w:hAnsi="Arial"/>
          <w:color w:val="1A1A2E"/>
          <w:sz w:val="22"/>
          <w:szCs w:val="22"/>
        </w:rPr>
        <w:t xml:space="preserve">Conversation volume month-over-month change greater than 30% triggers a warning; a decrease of more than 20% triggers a positive alert.</w:t>
      </w:r>
    </w:p>
    <w:p>
      <w:pPr>
        <w:pStyle w:val="ListParagraph"/>
        <w:numPr>
          <w:ilvl w:val="0"/>
          <w:numId w:val="2"/>
        </w:numPr>
        <w:spacing w:after="60" w:before="40"/>
      </w:pPr>
      <w:r>
        <w:rPr>
          <w:rFonts w:ascii="Arial" w:cs="Arial" w:eastAsia="Arial" w:hAnsi="Arial"/>
          <w:color w:val="1A1A2E"/>
          <w:sz w:val="22"/>
          <w:szCs w:val="22"/>
        </w:rPr>
        <w:t xml:space="preserve">Average latency exceeding 3,000 ms triggers a warning.</w:t>
      </w:r>
    </w:p>
    <w:p>
      <w:pPr>
        <w:pStyle w:val="ListParagraph"/>
        <w:numPr>
          <w:ilvl w:val="0"/>
          <w:numId w:val="2"/>
        </w:numPr>
        <w:spacing w:after="60" w:before="40"/>
      </w:pPr>
      <w:r>
        <w:rPr>
          <w:rFonts w:ascii="Arial" w:cs="Arial" w:eastAsia="Arial" w:hAnsi="Arial"/>
          <w:color w:val="1A1A2E"/>
          <w:sz w:val="22"/>
          <w:szCs w:val="22"/>
        </w:rPr>
        <w:t xml:space="preserve">CSAT score below 3.5 triggers a warning; an improvement of 0.5 or more from the previous period triggers a positive alert.</w:t>
      </w:r>
    </w:p>
    <w:p>
      <w:pPr>
        <w:pStyle w:val="ListParagraph"/>
        <w:numPr>
          <w:ilvl w:val="0"/>
          <w:numId w:val="2"/>
        </w:numPr>
        <w:spacing w:after="60" w:before="40"/>
      </w:pPr>
      <w:r>
        <w:rPr>
          <w:rFonts w:ascii="Arial" w:cs="Arial" w:eastAsia="Arial" w:hAnsi="Arial"/>
          <w:color w:val="1A1A2E"/>
          <w:sz w:val="22"/>
          <w:szCs w:val="22"/>
        </w:rPr>
        <w:t xml:space="preserve">Adoption rate at or above 70% triggers a positive alert; at or below 40% triggers a warning.</w:t>
      </w:r>
    </w:p>
    <w:p>
      <w:pPr>
        <w:pStyle w:val="Heading3"/>
        <w:spacing w:after="100" w:before="200"/>
      </w:pPr>
      <w:r>
        <w:rPr>
          <w:rFonts w:ascii="Arial" w:cs="Arial" w:eastAsia="Arial" w:hAnsi="Arial"/>
          <w:b/>
          <w:bCs/>
          <w:color w:val="1A1A2E"/>
          <w:sz w:val="22"/>
          <w:szCs w:val="22"/>
        </w:rPr>
        <w:t xml:space="preserve">6.1.3 Child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0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8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r>
      <w:tr>
        <w:tc>
          <w:tcPr>
            <w:tcW w:type="dxa" w:w="2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MetricCard</w:t>
            </w:r>
          </w:p>
        </w:tc>
        <w:tc>
          <w:tcPr>
            <w:tcW w:type="dxa" w:w="4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KPI tile displaying an icon, formatted value, and a trend arrow indicating direction of change</w:t>
            </w:r>
          </w:p>
        </w:tc>
        <w:tc>
          <w:tcPr>
            <w:tcW w:type="dxa" w:w="28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Derived metric object computed in useMemo</w:t>
            </w:r>
          </w:p>
        </w:tc>
      </w:tr>
      <w:tr>
        <w:tc>
          <w:tcPr>
            <w:tcW w:type="dxa" w:w="2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CSATBarChart</w:t>
            </w:r>
          </w:p>
        </w:tc>
        <w:tc>
          <w:tcPr>
            <w:tcW w:type="dxa" w:w="4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Monthly CSAT score visualised as a vertical bar chart using Recharts</w:t>
            </w:r>
          </w:p>
        </w:tc>
        <w:tc>
          <w:tcPr>
            <w:tcW w:type="dxa" w:w="28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csatPoints array from the CSAT API</w:t>
            </w:r>
          </w:p>
        </w:tc>
      </w:tr>
      <w:tr>
        <w:tc>
          <w:tcPr>
            <w:tcW w:type="dxa" w:w="2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UserTrendAreaChart</w:t>
            </w:r>
          </w:p>
        </w:tc>
        <w:tc>
          <w:tcPr>
            <w:tcW w:type="dxa" w:w="4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Monthly active users trend displayed as a filled area chart</w:t>
            </w:r>
          </w:p>
        </w:tc>
        <w:tc>
          <w:tcPr>
            <w:tcW w:type="dxa" w:w="28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monthlyUsersTrend array from the users API</w:t>
            </w:r>
          </w:p>
        </w:tc>
      </w:tr>
      <w:tr>
        <w:tc>
          <w:tcPr>
            <w:tcW w:type="dxa" w:w="2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TokenTrendLineChart</w:t>
            </w:r>
          </w:p>
        </w:tc>
        <w:tc>
          <w:tcPr>
            <w:tcW w:type="dxa" w:w="40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Monthly token usage displayed as a line chart with formatted Y-axis labels</w:t>
            </w:r>
          </w:p>
        </w:tc>
        <w:tc>
          <w:tcPr>
            <w:tcW w:type="dxa" w:w="28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tokenTrendData array from the token API</w:t>
            </w:r>
          </w:p>
        </w:tc>
      </w:tr>
      <w:tr>
        <w:tc>
          <w:tcPr>
            <w:tcW w:type="dxa" w:w="2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Alert list</w:t>
            </w:r>
          </w:p>
        </w:tc>
        <w:tc>
          <w:tcPr>
            <w:tcW w:type="dxa" w:w="40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Dynamically generated list of warning and positive alert banners</w:t>
            </w:r>
          </w:p>
        </w:tc>
        <w:tc>
          <w:tcPr>
            <w:tcW w:type="dxa" w:w="28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Computed in useEffect after all metrics load</w:t>
            </w:r>
          </w:p>
        </w:tc>
      </w:tr>
    </w:tbl>
    <w:p>
      <w:r>
        <w:rPr>
          <w:sz w:val="16"/>
          <w:szCs w:val="16"/>
        </w:rPr>
        <w:t xml:space="preserve"/>
      </w:r>
    </w:p>
    <w:p>
      <w:pPr>
        <w:pStyle w:val="Heading2"/>
        <w:spacing w:after="120" w:before="280"/>
      </w:pPr>
      <w:r>
        <w:rPr>
          <w:rFonts w:ascii="Arial" w:cs="Arial" w:eastAsia="Arial" w:hAnsi="Arial"/>
          <w:b/>
          <w:bCs/>
          <w:color w:val="2E75B6"/>
          <w:sz w:val="26"/>
          <w:szCs w:val="26"/>
        </w:rPr>
        <w:t xml:space="preserve">6.2 Application Hub ( /application )</w:t>
      </w:r>
    </w:p>
    <w:p>
      <w:pPr>
        <w:spacing w:after="120" w:before="80"/>
      </w:pPr>
      <w:r>
        <w:rPr>
          <w:rFonts w:ascii="Arial" w:cs="Arial" w:eastAsia="Arial" w:hAnsi="Arial"/>
          <w:color w:val="1A1A2E"/>
          <w:sz w:val="22"/>
          <w:szCs w:val="22"/>
        </w:rPr>
        <w:t xml:space="preserve">The Application page is a permission-aware navigation hub that presents the platform's major feature areas as a card grid. Each card links to one of the primary sub-sections: Data Preparation, Experiment &amp; Deploy, Deployed Applications, and Semantic View Creation Agent.</w:t>
      </w:r>
    </w:p>
    <w:p>
      <w:pPr>
        <w:spacing w:after="120" w:before="80"/>
      </w:pPr>
      <w:r>
        <w:rPr>
          <w:rFonts w:ascii="Arial" w:cs="Arial" w:eastAsia="Arial" w:hAnsi="Arial"/>
          <w:color w:val="1A1A2E"/>
          <w:sz w:val="22"/>
          <w:szCs w:val="22"/>
        </w:rPr>
        <w:t xml:space="preserve">Before rendering the card grid, the page filters the full list of navigation items using canAccess() against the user's effective permissions, scoped to the Application parent permission group. This means a user who lacks access to Data Preparation will not see that card, keeping the hub clean and contextually relevant to their role.</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7. Experimentation Page ( /experimentation )</w:t>
      </w:r>
    </w:p>
    <w:p>
      <w:pPr>
        <w:spacing w:after="120" w:before="80"/>
      </w:pPr>
      <w:r>
        <w:rPr>
          <w:rFonts w:ascii="Arial" w:cs="Arial" w:eastAsia="Arial" w:hAnsi="Arial"/>
          <w:color w:val="1A1A2E"/>
          <w:sz w:val="22"/>
          <w:szCs w:val="22"/>
        </w:rPr>
        <w:t xml:space="preserve">The Experimentation page is the primary chatbot interaction interface. It renders a responsive three-column layout that adapts based on the active mode and feature flags. The page supports direct URL access to a specific chatbot via the /experimentation/:chatbotId route parameter.</w:t>
      </w:r>
    </w:p>
    <w:p>
      <w:pPr>
        <w:pStyle w:val="Heading2"/>
        <w:spacing w:after="120" w:before="280"/>
      </w:pPr>
      <w:r>
        <w:rPr>
          <w:rFonts w:ascii="Arial" w:cs="Arial" w:eastAsia="Arial" w:hAnsi="Arial"/>
          <w:b/>
          <w:bCs/>
          <w:color w:val="2E75B6"/>
          <w:sz w:val="26"/>
          <w:szCs w:val="26"/>
        </w:rPr>
        <w:t xml:space="preserve">7.1 Layout Structure</w:t>
      </w:r>
    </w:p>
    <w:p>
      <w:pPr>
        <w:spacing w:after="120" w:before="80"/>
      </w:pPr>
      <w:r>
        <w:rPr>
          <w:rFonts w:ascii="Arial" w:cs="Arial" w:eastAsia="Arial" w:hAnsi="Arial"/>
          <w:color w:val="1A1A2E"/>
          <w:sz w:val="22"/>
          <w:szCs w:val="22"/>
        </w:rPr>
        <w:t xml:space="preserve">The page is divided into three horizontal zones:</w:t>
      </w:r>
    </w:p>
    <w:p>
      <w:pPr>
        <w:pStyle w:val="ListParagraph"/>
        <w:numPr>
          <w:ilvl w:val="0"/>
          <w:numId w:val="2"/>
        </w:numPr>
        <w:spacing w:after="60" w:before="40"/>
      </w:pPr>
      <w:r>
        <w:rPr>
          <w:rFonts w:ascii="Arial" w:cs="Arial" w:eastAsia="Arial" w:hAnsi="Arial"/>
          <w:color w:val="1A1A2E"/>
          <w:sz w:val="22"/>
          <w:szCs w:val="22"/>
        </w:rPr>
        <w:t xml:space="preserve">Left column — PipelineSection: Contains the chatbot, pipeline, and prompt selector dropdowns plus a Create Chatbot shortcut button.</w:t>
      </w:r>
    </w:p>
    <w:p>
      <w:pPr>
        <w:pStyle w:val="ListParagraph"/>
        <w:numPr>
          <w:ilvl w:val="0"/>
          <w:numId w:val="2"/>
        </w:numPr>
        <w:spacing w:after="60" w:before="40"/>
      </w:pPr>
      <w:r>
        <w:rPr>
          <w:rFonts w:ascii="Arial" w:cs="Arial" w:eastAsia="Arial" w:hAnsi="Arial"/>
          <w:color w:val="1A1A2E"/>
          <w:sz w:val="22"/>
          <w:szCs w:val="22"/>
        </w:rPr>
        <w:t xml:space="preserve">Centre column — ChatWindow: The primary conversational interface where the user types questions and reads AI responses.</w:t>
      </w:r>
    </w:p>
    <w:p>
      <w:pPr>
        <w:pStyle w:val="ListParagraph"/>
        <w:numPr>
          <w:ilvl w:val="0"/>
          <w:numId w:val="2"/>
        </w:numPr>
        <w:spacing w:after="60" w:before="40"/>
      </w:pPr>
      <w:r>
        <w:rPr>
          <w:rFonts w:ascii="Arial" w:cs="Arial" w:eastAsia="Arial" w:hAnsi="Arial"/>
          <w:color w:val="1A1A2E"/>
          <w:sz w:val="22"/>
          <w:szCs w:val="22"/>
        </w:rPr>
        <w:t xml:space="preserve">Right column (conditional) — In TalkToData mode, ChatDataTabs renders result, SQL, visualisation, and execution plan tabs. In TalkToDocument mode, a ReferredDocumentsPanel shows document citations from the bot's response. When model comparison is enabled, a ModelComparisonPanel overlays performance metrics for the active chatbot.</w:t>
      </w:r>
    </w:p>
    <w:p>
      <w:pPr>
        <w:pStyle w:val="Heading2"/>
        <w:spacing w:after="120" w:before="280"/>
      </w:pPr>
      <w:r>
        <w:rPr>
          <w:rFonts w:ascii="Arial" w:cs="Arial" w:eastAsia="Arial" w:hAnsi="Arial"/>
          <w:b/>
          <w:bCs/>
          <w:color w:val="2E75B6"/>
          <w:sz w:val="26"/>
          <w:szCs w:val="26"/>
        </w:rPr>
        <w:t xml:space="preserve">7.2 PipelineSection Component</w:t>
      </w:r>
    </w:p>
    <w:p>
      <w:pPr>
        <w:spacing w:after="120" w:before="80"/>
      </w:pPr>
      <w:r>
        <w:rPr>
          <w:rFonts w:ascii="Arial" w:cs="Arial" w:eastAsia="Arial" w:hAnsi="Arial"/>
          <w:color w:val="1A1A2E"/>
          <w:sz w:val="22"/>
          <w:szCs w:val="22"/>
        </w:rPr>
        <w:t xml:space="preserve">PipelineSection is the configuration sidebar for the Experimentation page. It renders three stacked Dropdown selectors — chatbot, pipeline, and prompt — that read their options and current values from ChatbotContext and dispatch updates back to it on change. The pipeline and prompt selectors are disabled until a chatbot is selected.</w:t>
      </w:r>
    </w:p>
    <w:p>
      <w:pPr>
        <w:spacing w:after="120" w:before="80"/>
      </w:pPr>
      <w:r>
        <w:rPr>
          <w:rFonts w:ascii="Arial" w:cs="Arial" w:eastAsia="Arial" w:hAnsi="Arial"/>
          <w:color w:val="1A1A2E"/>
          <w:sz w:val="22"/>
          <w:szCs w:val="22"/>
        </w:rPr>
        <w:t xml:space="preserve">The component accepts a hideCreateButton prop that suppresses the Create Chatbot button when PipelineSection is embedded in contexts other than the main Experimentation page (such as within wizard flows). All selector labels, loading states, and empty-option placeholders are handled internally.</w:t>
      </w:r>
    </w:p>
    <w:p>
      <w:pPr>
        <w:pStyle w:val="Heading2"/>
        <w:spacing w:after="120" w:before="280"/>
      </w:pPr>
      <w:r>
        <w:rPr>
          <w:rFonts w:ascii="Arial" w:cs="Arial" w:eastAsia="Arial" w:hAnsi="Arial"/>
          <w:b/>
          <w:bCs/>
          <w:color w:val="2E75B6"/>
          <w:sz w:val="26"/>
          <w:szCs w:val="26"/>
        </w:rPr>
        <w:t xml:space="preserve">7.3 ChatWindow Component</w:t>
      </w:r>
    </w:p>
    <w:p>
      <w:pPr>
        <w:spacing w:after="120" w:before="80"/>
      </w:pPr>
      <w:r>
        <w:rPr>
          <w:rFonts w:ascii="Arial" w:cs="Arial" w:eastAsia="Arial" w:hAnsi="Arial"/>
          <w:color w:val="1A1A2E"/>
          <w:sz w:val="22"/>
          <w:szCs w:val="22"/>
        </w:rPr>
        <w:t xml:space="preserve">ChatWindow is the core conversational UI component. It maintains a local array of ChatItem records that accumulates the full session history. When the user submits a message, ChatWindow immediately appends a placeholder item with a GENERATING_TEXT sentinel value, providing instant visual feedback while the backend processes the request.</w:t>
      </w:r>
    </w:p>
    <w:p>
      <w:pPr>
        <w:spacing w:after="120" w:before="80"/>
      </w:pPr>
      <w:r>
        <w:rPr>
          <w:rFonts w:ascii="Arial" w:cs="Arial" w:eastAsia="Arial" w:hAnsi="Arial"/>
          <w:color w:val="1A1A2E"/>
          <w:sz w:val="22"/>
          <w:szCs w:val="22"/>
        </w:rPr>
        <w:t xml:space="preserve">The component calls ChatbotAPI.saveResponseREST() with the selected chatbot ID, active model names, and the user's question. On success, it replaces the placeholder with the real response. On failure, it replaces the placeholder with an error message string, preventing the UI from hanging in a loading state.</w:t>
      </w:r>
    </w:p>
    <w:p>
      <w:pPr>
        <w:spacing w:after="120" w:before="80"/>
      </w:pPr>
      <w:r>
        <w:rPr>
          <w:rFonts w:ascii="Arial" w:cs="Arial" w:eastAsia="Arial" w:hAnsi="Arial"/>
          <w:color w:val="1A1A2E"/>
          <w:sz w:val="22"/>
          <w:szCs w:val="22"/>
        </w:rPr>
        <w:t xml:space="preserve">ChatWindow also handles feedback (thumbs up/down ratings submitted back to the API), response refresh (re-submitting the last question), and model selection (reading the selectedModels array from localStorage, set by the Settings page, and listening for the selectedModelsChanged custom window event to react to in-session changes).</w:t>
      </w:r>
    </w:p>
    <w:p>
      <w:pPr>
        <w:pStyle w:val="Heading2"/>
        <w:spacing w:after="120" w:before="280"/>
      </w:pPr>
      <w:r>
        <w:rPr>
          <w:rFonts w:ascii="Arial" w:cs="Arial" w:eastAsia="Arial" w:hAnsi="Arial"/>
          <w:b/>
          <w:bCs/>
          <w:color w:val="2E75B6"/>
          <w:sz w:val="26"/>
          <w:szCs w:val="26"/>
        </w:rPr>
        <w:t xml:space="preserve">7.4 ChatResponse Component</w:t>
      </w:r>
    </w:p>
    <w:p>
      <w:pPr>
        <w:spacing w:after="120" w:before="80"/>
      </w:pPr>
      <w:r>
        <w:rPr>
          <w:rFonts w:ascii="Arial" w:cs="Arial" w:eastAsia="Arial" w:hAnsi="Arial"/>
          <w:color w:val="1A1A2E"/>
          <w:sz w:val="22"/>
          <w:szCs w:val="22"/>
        </w:rPr>
        <w:t xml:space="preserve">ChatResponse renders a single question-and-answer turn in TalkToDocument mode. It handles both single-model responses (a plain string) and multi-model responses (a Record mapping model names to their individual answer strings). When multiple models are active, a tab bar appears in the bot bubble header, and switching tabs updates the displayed text reactively.</w:t>
      </w:r>
    </w:p>
    <w:p>
      <w:pPr>
        <w:spacing w:after="120" w:before="80"/>
      </w:pPr>
      <w:r>
        <w:rPr>
          <w:rFonts w:ascii="Arial" w:cs="Arial" w:eastAsia="Arial" w:hAnsi="Arial"/>
          <w:color w:val="1A1A2E"/>
          <w:sz w:val="22"/>
          <w:szCs w:val="22"/>
        </w:rPr>
        <w:t xml:space="preserve">For DeepSeek-R1 model responses, ChatResponse applies the stripDeepSeekThink() utility to remove the &lt;think&gt;...&lt;/think&gt; reasoning block from the visible output, presenting only the final answer. An expandable Thinking Details collapsible section is available below the tab bar for users who want to inspect the raw chain-of-thought.</w:t>
      </w:r>
    </w:p>
    <w:p>
      <w:pPr>
        <w:spacing w:after="120" w:before="80"/>
      </w:pPr>
      <w:r>
        <w:rPr>
          <w:rFonts w:ascii="Arial" w:cs="Arial" w:eastAsia="Arial" w:hAnsi="Arial"/>
          <w:color w:val="1A1A2E"/>
          <w:sz w:val="22"/>
          <w:szCs w:val="22"/>
        </w:rPr>
        <w:t xml:space="preserve">The bot's text is rendered via react-markdown after passing through the formatBotMessage() pipeline (which normalises whitespace, protects code fences, and strips thinking tags). A footer action bar provides Copy, Like, and Dislike controls. Copy writes the plain text to the clipboard; Like and Dislike submit a rating payload to the feedback API.</w:t>
      </w:r>
    </w:p>
    <w:p>
      <w:pPr>
        <w:pStyle w:val="Heading2"/>
        <w:spacing w:after="120" w:before="280"/>
      </w:pPr>
      <w:r>
        <w:rPr>
          <w:rFonts w:ascii="Arial" w:cs="Arial" w:eastAsia="Arial" w:hAnsi="Arial"/>
          <w:b/>
          <w:bCs/>
          <w:color w:val="2E75B6"/>
          <w:sz w:val="26"/>
          <w:szCs w:val="26"/>
        </w:rPr>
        <w:t xml:space="preserve">7.5 ChatDataResponse Component</w:t>
      </w:r>
    </w:p>
    <w:p>
      <w:pPr>
        <w:spacing w:after="120" w:before="80"/>
      </w:pPr>
      <w:r>
        <w:rPr>
          <w:rFonts w:ascii="Arial" w:cs="Arial" w:eastAsia="Arial" w:hAnsi="Arial"/>
          <w:color w:val="1A1A2E"/>
          <w:sz w:val="22"/>
          <w:szCs w:val="22"/>
        </w:rPr>
        <w:t xml:space="preserve">ChatDataResponse is the TalkToData variant of ChatResponse. It renders the same user bubble as ChatResponse, but replaces the bot bubble's markdown content with a four-tab panel:</w:t>
      </w:r>
    </w:p>
    <w:p>
      <w:pPr>
        <w:pStyle w:val="ListParagraph"/>
        <w:numPr>
          <w:ilvl w:val="0"/>
          <w:numId w:val="2"/>
        </w:numPr>
        <w:spacing w:after="60" w:before="40"/>
      </w:pPr>
      <w:r>
        <w:rPr>
          <w:rFonts w:ascii="Arial" w:cs="Arial" w:eastAsia="Arial" w:hAnsi="Arial"/>
          <w:color w:val="1A1A2E"/>
          <w:sz w:val="22"/>
          <w:szCs w:val="22"/>
        </w:rPr>
        <w:t xml:space="preserve">Results tab — Renders the backend-returned row data as a paginated MUI DataGrid with auto-detected column headers.</w:t>
      </w:r>
    </w:p>
    <w:p>
      <w:pPr>
        <w:pStyle w:val="ListParagraph"/>
        <w:numPr>
          <w:ilvl w:val="0"/>
          <w:numId w:val="2"/>
        </w:numPr>
        <w:spacing w:after="60" w:before="40"/>
      </w:pPr>
      <w:r>
        <w:rPr>
          <w:rFonts w:ascii="Arial" w:cs="Arial" w:eastAsia="Arial" w:hAnsi="Arial"/>
          <w:color w:val="1A1A2E"/>
          <w:sz w:val="22"/>
          <w:szCs w:val="22"/>
        </w:rPr>
        <w:t xml:space="preserve">SQL tab — Displays the generated SQL query string in a syntax-highlighted code block using the SQLTab component.</w:t>
      </w:r>
    </w:p>
    <w:p>
      <w:pPr>
        <w:pStyle w:val="ListParagraph"/>
        <w:numPr>
          <w:ilvl w:val="0"/>
          <w:numId w:val="2"/>
        </w:numPr>
        <w:spacing w:after="60" w:before="40"/>
      </w:pPr>
      <w:r>
        <w:rPr>
          <w:rFonts w:ascii="Arial" w:cs="Arial" w:eastAsia="Arial" w:hAnsi="Arial"/>
          <w:color w:val="1A1A2E"/>
          <w:sz w:val="22"/>
          <w:szCs w:val="22"/>
        </w:rPr>
        <w:t xml:space="preserve">Data Visualisation tab — Renders the results data as a configurable chart using the DataVisualizationTab component, which selects a chart type and axis keys based on the chartConfig prop.</w:t>
      </w:r>
    </w:p>
    <w:p>
      <w:pPr>
        <w:pStyle w:val="ListParagraph"/>
        <w:numPr>
          <w:ilvl w:val="0"/>
          <w:numId w:val="2"/>
        </w:numPr>
        <w:spacing w:after="60" w:before="40"/>
      </w:pPr>
      <w:r>
        <w:rPr>
          <w:rFonts w:ascii="Arial" w:cs="Arial" w:eastAsia="Arial" w:hAnsi="Arial"/>
          <w:color w:val="1A1A2E"/>
          <w:sz w:val="22"/>
          <w:szCs w:val="22"/>
        </w:rPr>
        <w:t xml:space="preserve">Plan tab — Displays the query execution plan string in a monospaced code block via the PlanTab component, with the query ID shown above.</w:t>
      </w:r>
    </w:p>
    <w:p>
      <w:pPr>
        <w:spacing w:after="120" w:before="80"/>
      </w:pPr>
      <w:r>
        <w:rPr>
          <w:rFonts w:ascii="Arial" w:cs="Arial" w:eastAsia="Arial" w:hAnsi="Arial"/>
          <w:color w:val="1A1A2E"/>
          <w:sz w:val="22"/>
          <w:szCs w:val="22"/>
        </w:rPr>
        <w:t xml:space="preserve">The same refresh and feedback controls from ChatResponse are also present in ChatDataResponse.</w:t>
      </w:r>
    </w:p>
    <w:p>
      <w:pPr>
        <w:pStyle w:val="Heading2"/>
        <w:spacing w:after="120" w:before="280"/>
      </w:pPr>
      <w:r>
        <w:rPr>
          <w:rFonts w:ascii="Arial" w:cs="Arial" w:eastAsia="Arial" w:hAnsi="Arial"/>
          <w:b/>
          <w:bCs/>
          <w:color w:val="2E75B6"/>
          <w:sz w:val="26"/>
          <w:szCs w:val="26"/>
        </w:rPr>
        <w:t xml:space="preserve">7.6 ModelComparisonPanel Component</w:t>
      </w:r>
    </w:p>
    <w:p>
      <w:pPr>
        <w:spacing w:after="120" w:before="80"/>
      </w:pPr>
      <w:r>
        <w:rPr>
          <w:rFonts w:ascii="Arial" w:cs="Arial" w:eastAsia="Arial" w:hAnsi="Arial"/>
          <w:color w:val="1A1A2E"/>
          <w:sz w:val="22"/>
          <w:szCs w:val="22"/>
        </w:rPr>
        <w:t xml:space="preserve">ModelComparisonPanel appears in the right column of the Experimentation page when the comparison feature is enabled. It fetches CSAT and KPI metric data for the active chatbot by making two parallel API requests: one for aggregate CSAT scores per model, and one for per-model KPI data including token usage, latency, and error rates. The two datasets are merged by model name into a unified ModelComparisonData array.</w:t>
      </w:r>
    </w:p>
    <w:p>
      <w:pPr>
        <w:spacing w:after="120" w:before="80"/>
      </w:pPr>
      <w:r>
        <w:rPr>
          <w:rFonts w:ascii="Arial" w:cs="Arial" w:eastAsia="Arial" w:hAnsi="Arial"/>
          <w:color w:val="1A1A2E"/>
          <w:sz w:val="22"/>
          <w:szCs w:val="22"/>
        </w:rPr>
        <w:t xml:space="preserve">The recommended model is identified as the one with the highest average success rate in the merged metrics. Each model is displayed in a ModelMetricsCard that highlights the recommended model with a visual indicator. The component currently uses raw fetch() for its API calls and is flagged in the refactoring backlog for migration to apiClient.</w:t>
      </w:r>
    </w:p>
    <w:p>
      <w:pPr>
        <w:pStyle w:val="Heading2"/>
        <w:spacing w:after="120" w:before="280"/>
      </w:pPr>
      <w:r>
        <w:rPr>
          <w:rFonts w:ascii="Arial" w:cs="Arial" w:eastAsia="Arial" w:hAnsi="Arial"/>
          <w:b/>
          <w:bCs/>
          <w:color w:val="2E75B6"/>
          <w:sz w:val="26"/>
          <w:szCs w:val="26"/>
        </w:rPr>
        <w:t xml:space="preserve">7.7 ModelDeployDialog Component</w:t>
      </w:r>
    </w:p>
    <w:p>
      <w:pPr>
        <w:spacing w:after="120" w:before="80"/>
      </w:pPr>
      <w:r>
        <w:rPr>
          <w:rFonts w:ascii="Arial" w:cs="Arial" w:eastAsia="Arial" w:hAnsi="Arial"/>
          <w:color w:val="1A1A2E"/>
          <w:sz w:val="22"/>
          <w:szCs w:val="22"/>
        </w:rPr>
        <w:t xml:space="preserve">ModelDeployDialog is a modal dialog that collects deployment configuration and submits it to ChatbotAPI.deployChatbot(). Its field set varies by the current application mode:</w:t>
      </w:r>
    </w:p>
    <w:p>
      <w:pPr>
        <w:pStyle w:val="ListParagraph"/>
        <w:numPr>
          <w:ilvl w:val="0"/>
          <w:numId w:val="2"/>
        </w:numPr>
        <w:spacing w:after="60" w:before="40"/>
      </w:pPr>
      <w:r>
        <w:rPr>
          <w:rFonts w:ascii="Arial" w:cs="Arial" w:eastAsia="Arial" w:hAnsi="Arial"/>
          <w:color w:val="1A1A2E"/>
          <w:sz w:val="22"/>
          <w:szCs w:val="22"/>
        </w:rPr>
        <w:t xml:space="preserve">TalkToDocument mode — Presents a single-select model dropdown populated from the /api/models endpoint, and a multi-select Snowflake roles dropdown populated from SnowflakeAPI.getRoles(). Only users with the selected roles will be able to access the deployed chatbot.</w:t>
      </w:r>
    </w:p>
    <w:p>
      <w:pPr>
        <w:pStyle w:val="ListParagraph"/>
        <w:numPr>
          <w:ilvl w:val="0"/>
          <w:numId w:val="2"/>
        </w:numPr>
        <w:spacing w:after="60" w:before="40"/>
      </w:pPr>
      <w:r>
        <w:rPr>
          <w:rFonts w:ascii="Arial" w:cs="Arial" w:eastAsia="Arial" w:hAnsi="Arial"/>
          <w:color w:val="1A1A2E"/>
          <w:sz w:val="22"/>
          <w:szCs w:val="22"/>
        </w:rPr>
        <w:t xml:space="preserve">TalkToData mode — Presents a pipeline selector, a semantic view selector, and the same Snowflake roles multi-select. The model field is omitted because TalkToData chatbots use the pipeline's configured model.</w:t>
      </w:r>
    </w:p>
    <w:p>
      <w:pPr>
        <w:spacing w:after="120" w:before="80"/>
      </w:pPr>
      <w:r>
        <w:rPr>
          <w:rFonts w:ascii="Arial" w:cs="Arial" w:eastAsia="Arial" w:hAnsi="Arial"/>
          <w:color w:val="1A1A2E"/>
          <w:sz w:val="22"/>
          <w:szCs w:val="22"/>
        </w:rPr>
        <w:t xml:space="preserve">On successful deployment, the dialog transitions to a SuccessDialog confirmation view showing the deployment status. On failure, the EnhancedApiError message is displayed inline within the dialog.</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8. Data Preparation Pages</w:t>
      </w:r>
    </w:p>
    <w:p>
      <w:pPr>
        <w:spacing w:after="120" w:before="80"/>
      </w:pPr>
      <w:r>
        <w:rPr>
          <w:rFonts w:ascii="Arial" w:cs="Arial" w:eastAsia="Arial" w:hAnsi="Arial"/>
          <w:color w:val="1A1A2E"/>
          <w:sz w:val="22"/>
          <w:szCs w:val="22"/>
        </w:rPr>
        <w:t xml:space="preserve">The Data Preparation section provides the complete pipeline lifecycle management interface: viewing existing pipelines, creating new ones, configuring them visually, and reviewing them before submission.</w:t>
      </w:r>
    </w:p>
    <w:p>
      <w:pPr>
        <w:pStyle w:val="Heading2"/>
        <w:spacing w:after="120" w:before="280"/>
      </w:pPr>
      <w:r>
        <w:rPr>
          <w:rFonts w:ascii="Arial" w:cs="Arial" w:eastAsia="Arial" w:hAnsi="Arial"/>
          <w:b/>
          <w:bCs/>
          <w:color w:val="2E75B6"/>
          <w:sz w:val="26"/>
          <w:szCs w:val="26"/>
        </w:rPr>
        <w:t xml:space="preserve">8.1 DataPreparation ( /data-preparation )</w:t>
      </w:r>
    </w:p>
    <w:p>
      <w:pPr>
        <w:spacing w:after="120" w:before="80"/>
      </w:pPr>
      <w:r>
        <w:rPr>
          <w:rFonts w:ascii="Arial" w:cs="Arial" w:eastAsia="Arial" w:hAnsi="Arial"/>
          <w:color w:val="1A1A2E"/>
          <w:sz w:val="22"/>
          <w:szCs w:val="22"/>
        </w:rPr>
        <w:t xml:space="preserve">The DataPreparation hub page displays a list of all pipelines accessible to the current user. Each pipeline is shown in a card that displays its name, source type, status, and creation date. From the card, users can navigate to PipelineConfiguration (to view the pipeline as an interactive flow graph), EditPipeline (to modify its settings), or ReviewPipeline (to step through its configuration in read-only mode). A prominent Create New Pipeline button navigates to /create-pipeline.</w:t>
      </w:r>
    </w:p>
    <w:p>
      <w:pPr>
        <w:spacing w:after="120" w:before="80"/>
      </w:pPr>
      <w:r>
        <w:rPr>
          <w:rFonts w:ascii="Arial" w:cs="Arial" w:eastAsia="Arial" w:hAnsi="Arial"/>
          <w:color w:val="1A1A2E"/>
          <w:sz w:val="22"/>
          <w:szCs w:val="22"/>
        </w:rPr>
        <w:t xml:space="preserve">The page also surfaces a shortcut link to the Semantic View Agent for users who need to create a Snowflake semantic model before building a TalkToData pipeline.</w:t>
      </w:r>
    </w:p>
    <w:p>
      <w:pPr>
        <w:pStyle w:val="Heading2"/>
        <w:spacing w:after="120" w:before="280"/>
      </w:pPr>
      <w:r>
        <w:rPr>
          <w:rFonts w:ascii="Arial" w:cs="Arial" w:eastAsia="Arial" w:hAnsi="Arial"/>
          <w:b/>
          <w:bCs/>
          <w:color w:val="2E75B6"/>
          <w:sz w:val="26"/>
          <w:szCs w:val="26"/>
        </w:rPr>
        <w:t xml:space="preserve">8.2 CreatePipeline ( /create-pipeline )</w:t>
      </w:r>
    </w:p>
    <w:p>
      <w:pPr>
        <w:spacing w:after="120" w:before="80"/>
      </w:pPr>
      <w:r>
        <w:rPr>
          <w:rFonts w:ascii="Arial" w:cs="Arial" w:eastAsia="Arial" w:hAnsi="Arial"/>
          <w:color w:val="1A1A2E"/>
          <w:sz w:val="22"/>
          <w:szCs w:val="22"/>
        </w:rPr>
        <w:t xml:space="preserve">CreatePipeline is a multi-field form for configuring a new data ingestion pipeline. It dynamically adapts its visible fields based on two independent selections: the data source type (Cloud or Database) and the application mode (TalkToDocument or TalkToData).</w:t>
      </w:r>
    </w:p>
    <w:p>
      <w:pPr>
        <w:pStyle w:val="Heading3"/>
        <w:spacing w:after="100" w:before="200"/>
      </w:pPr>
      <w:r>
        <w:rPr>
          <w:rFonts w:ascii="Arial" w:cs="Arial" w:eastAsia="Arial" w:hAnsi="Arial"/>
          <w:b/>
          <w:bCs/>
          <w:color w:val="1A1A2E"/>
          <w:sz w:val="22"/>
          <w:szCs w:val="22"/>
        </w:rPr>
        <w:t xml:space="preserve">8.2.1 PipelineFormData Structure</w:t>
      </w:r>
    </w:p>
    <w:p>
      <w:pPr>
        <w:spacing w:after="120" w:before="80"/>
      </w:pPr>
      <w:r>
        <w:rPr>
          <w:rFonts w:ascii="Arial" w:cs="Arial" w:eastAsia="Arial" w:hAnsi="Arial"/>
          <w:color w:val="1A1A2E"/>
          <w:sz w:val="22"/>
          <w:szCs w:val="22"/>
        </w:rPr>
        <w:t xml:space="preserve">The form state is typed as PipelineFormData and covers the following logical groups:</w:t>
      </w:r>
    </w:p>
    <w:p>
      <w:pPr>
        <w:pStyle w:val="ListParagraph"/>
        <w:numPr>
          <w:ilvl w:val="0"/>
          <w:numId w:val="2"/>
        </w:numPr>
        <w:spacing w:after="60" w:before="40"/>
      </w:pPr>
      <w:r>
        <w:rPr>
          <w:rFonts w:ascii="Arial" w:cs="Arial" w:eastAsia="Arial" w:hAnsi="Arial"/>
          <w:color w:val="1A1A2E"/>
          <w:sz w:val="22"/>
          <w:szCs w:val="22"/>
        </w:rPr>
        <w:t xml:space="preserve">Common fields — pipelineName (required string), dataSourceType (cloud or database discriminator), selectedDb, and selectedSchema. These fields are always visible and control which downstream fields appear.</w:t>
      </w:r>
    </w:p>
    <w:p>
      <w:pPr>
        <w:pStyle w:val="ListParagraph"/>
        <w:numPr>
          <w:ilvl w:val="0"/>
          <w:numId w:val="2"/>
        </w:numPr>
        <w:spacing w:after="60" w:before="40"/>
      </w:pPr>
      <w:r>
        <w:rPr>
          <w:rFonts w:ascii="Arial" w:cs="Arial" w:eastAsia="Arial" w:hAnsi="Arial"/>
          <w:color w:val="1A1A2E"/>
          <w:sz w:val="22"/>
          <w:szCs w:val="22"/>
        </w:rPr>
        <w:t xml:space="preserve">Cloud source fields (TalkToDocument) — fileLocation (Snowflake stage path), selectedFiles (list of files to ingest), chunkingMethod, chunkSize, chunkOverlap, chunkTable (destination table), and cortexSearchService (Cortex Search Service name for retrieval).</w:t>
      </w:r>
    </w:p>
    <w:p>
      <w:pPr>
        <w:pStyle w:val="ListParagraph"/>
        <w:numPr>
          <w:ilvl w:val="0"/>
          <w:numId w:val="2"/>
        </w:numPr>
        <w:spacing w:after="60" w:before="40"/>
      </w:pPr>
      <w:r>
        <w:rPr>
          <w:rFonts w:ascii="Arial" w:cs="Arial" w:eastAsia="Arial" w:hAnsi="Arial"/>
          <w:color w:val="1A1A2E"/>
          <w:sz w:val="22"/>
          <w:szCs w:val="22"/>
        </w:rPr>
        <w:t xml:space="preserve">Database source — TalkToData (semantic) fields — semanticView (list of selected semantic view names) and semanticModel (Cortex Analyst semantic model identifier).</w:t>
      </w:r>
    </w:p>
    <w:p>
      <w:pPr>
        <w:pStyle w:val="ListParagraph"/>
        <w:numPr>
          <w:ilvl w:val="0"/>
          <w:numId w:val="2"/>
        </w:numPr>
        <w:spacing w:after="60" w:before="40"/>
      </w:pPr>
      <w:r>
        <w:rPr>
          <w:rFonts w:ascii="Arial" w:cs="Arial" w:eastAsia="Arial" w:hAnsi="Arial"/>
          <w:color w:val="1A1A2E"/>
          <w:sz w:val="22"/>
          <w:szCs w:val="22"/>
        </w:rPr>
        <w:t xml:space="preserve">Database source — TalkToDocument (multi-table) fields — serviceNameBase, selectedTables, tableConfigs (a per-table map of text column and attribute column selections), and createdSearchServices (a per-table map of provisioned Cortex Search Service names).</w:t>
      </w:r>
    </w:p>
    <w:p>
      <w:pPr>
        <w:pStyle w:val="Heading3"/>
        <w:spacing w:after="100" w:before="200"/>
      </w:pPr>
      <w:r>
        <w:rPr>
          <w:rFonts w:ascii="Arial" w:cs="Arial" w:eastAsia="Arial" w:hAnsi="Arial"/>
          <w:b/>
          <w:bCs/>
          <w:color w:val="1A1A2E"/>
          <w:sz w:val="22"/>
          <w:szCs w:val="22"/>
        </w:rPr>
        <w:t xml:space="preserve">8.2.2 Dynamic Snowflake DB/Schema Selectors</w:t>
      </w:r>
    </w:p>
    <w:p>
      <w:pPr>
        <w:spacing w:after="120" w:before="80"/>
      </w:pPr>
      <w:r>
        <w:rPr>
          <w:rFonts w:ascii="Arial" w:cs="Arial" w:eastAsia="Arial" w:hAnsi="Arial"/>
          <w:color w:val="1A1A2E"/>
          <w:sz w:val="22"/>
          <w:szCs w:val="22"/>
        </w:rPr>
        <w:t xml:space="preserve">The database and schema selectors are dynamically populated from the Snowflake metadata API. When the user selects a database, MetadataAPI.getSchemas() is called to fetch the available schemas for that database and populate the schema dropdown. The schema selection is cleared whenever the database changes to prevent stale values. Similarly, table lists and semantic model lists are fetched reactively when the schema changes. A schemasByDb lookup map caches previously fetched schemas keyed by database name to avoid redundant API calls when the user toggles between databases.</w:t>
      </w:r>
    </w:p>
    <w:p>
      <w:pPr>
        <w:pStyle w:val="Heading3"/>
        <w:spacing w:after="100" w:before="200"/>
      </w:pPr>
      <w:r>
        <w:rPr>
          <w:rFonts w:ascii="Arial" w:cs="Arial" w:eastAsia="Arial" w:hAnsi="Arial"/>
          <w:b/>
          <w:bCs/>
          <w:color w:val="1A1A2E"/>
          <w:sz w:val="22"/>
          <w:szCs w:val="22"/>
        </w:rPr>
        <w:t xml:space="preserve">8.2.3 Pipeline Submission and Field Mapping</w:t>
      </w:r>
    </w:p>
    <w:p>
      <w:pPr>
        <w:spacing w:after="120" w:before="80"/>
      </w:pPr>
      <w:r>
        <w:rPr>
          <w:rFonts w:ascii="Arial" w:cs="Arial" w:eastAsia="Arial" w:hAnsi="Arial"/>
          <w:color w:val="1A1A2E"/>
          <w:sz w:val="22"/>
          <w:szCs w:val="22"/>
        </w:rPr>
        <w:t xml:space="preserve">On form submission, PipelineAPI.submitPipeline() is called with a PipelineSubmitRequest object constructed from the form state. The API module is responsible for mapping camelCase form field names to the snake_case field names expected by the backend: for example, pipelineName becomes pipeline_name, selectedDb becomes database, and chunkingMethod becomes chunking_method. This mapping is centralised in the API module so the form component works exclusively with camelCase naming.</w:t>
      </w:r>
    </w:p>
    <w:p>
      <w:pPr>
        <w:pStyle w:val="Heading2"/>
        <w:spacing w:after="120" w:before="280"/>
      </w:pPr>
      <w:r>
        <w:rPr>
          <w:rFonts w:ascii="Arial" w:cs="Arial" w:eastAsia="Arial" w:hAnsi="Arial"/>
          <w:b/>
          <w:bCs/>
          <w:color w:val="2E75B6"/>
          <w:sz w:val="26"/>
          <w:szCs w:val="26"/>
        </w:rPr>
        <w:t xml:space="preserve">8.3 PipelineConfiguration ( /pipeline-configuration/:id )</w:t>
      </w:r>
    </w:p>
    <w:p>
      <w:pPr>
        <w:spacing w:after="120" w:before="80"/>
      </w:pPr>
      <w:r>
        <w:rPr>
          <w:rFonts w:ascii="Arial" w:cs="Arial" w:eastAsia="Arial" w:hAnsi="Arial"/>
          <w:color w:val="1A1A2E"/>
          <w:sz w:val="22"/>
          <w:szCs w:val="22"/>
        </w:rPr>
        <w:t xml:space="preserve">PipelineConfiguration fetches the configuration record for a specific pipeline by ID and renders it as an interactive directed acyclic graph using XYFlow (@xyflow/react). Each node in the graph represents a processing stage — data ingestion, chunking, Cortex Search Service provisioning, and so on — while edges represent the data flow between stages.</w:t>
      </w:r>
    </w:p>
    <w:p>
      <w:pPr>
        <w:spacing w:after="120" w:before="80"/>
      </w:pPr>
      <w:r>
        <w:rPr>
          <w:rFonts w:ascii="Arial" w:cs="Arial" w:eastAsia="Arial" w:hAnsi="Arial"/>
          <w:color w:val="1A1A2E"/>
          <w:sz w:val="22"/>
          <w:szCs w:val="22"/>
        </w:rPr>
        <w:t xml:space="preserve">The raw PipelineConfigResponse from the API is transformed into XYFlow's nodes and edges format by a buildFlowGraph() utility function. XYFlow's built-in Background, Controls (zoom/pan buttons), and MiniMap components are enabled to give users spatial context when navigating complex pipelines. The graph is rendered in a fixed-height container with fitView enabled so all nodes are visible on initial load.</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9. RA Compliance Module</w:t>
      </w:r>
    </w:p>
    <w:p>
      <w:pPr>
        <w:spacing w:after="120" w:before="80"/>
      </w:pPr>
      <w:r>
        <w:rPr>
          <w:rFonts w:ascii="Arial" w:cs="Arial" w:eastAsia="Arial" w:hAnsi="Arial"/>
          <w:color w:val="1A1A2E"/>
          <w:sz w:val="22"/>
          <w:szCs w:val="22"/>
        </w:rPr>
        <w:t xml:space="preserve">The Regulatory Audit (RA) Compliance module provides an end-to-end workflow for creating, reviewing, and auditing AI system compliance against regulatory frameworks. It comprises three pages: RACompliance (list view), CreateRACompliance (creation form), and ViewRACompliance (detail and export view), all accessible under the RA Compliance permission group.</w:t>
      </w:r>
    </w:p>
    <w:p>
      <w:pPr>
        <w:pStyle w:val="Heading2"/>
        <w:spacing w:after="120" w:before="280"/>
      </w:pPr>
      <w:r>
        <w:rPr>
          <w:rFonts w:ascii="Arial" w:cs="Arial" w:eastAsia="Arial" w:hAnsi="Arial"/>
          <w:b/>
          <w:bCs/>
          <w:color w:val="2E75B6"/>
          <w:sz w:val="26"/>
          <w:szCs w:val="26"/>
        </w:rPr>
        <w:t xml:space="preserve">9.1 RACompliance ( /regulatory-audit-compliance )</w:t>
      </w:r>
    </w:p>
    <w:p>
      <w:pPr>
        <w:spacing w:after="120" w:before="80"/>
      </w:pPr>
      <w:r>
        <w:rPr>
          <w:rFonts w:ascii="Arial" w:cs="Arial" w:eastAsia="Arial" w:hAnsi="Arial"/>
          <w:color w:val="1A1A2E"/>
          <w:sz w:val="22"/>
          <w:szCs w:val="22"/>
        </w:rPr>
        <w:t xml:space="preserve">The RACompliance list page fetches all compliance records from RAComplianceAPI.getCompliances() and renders each as a ComplianceCard. Each card displays the regulation name, type, associated pipeline, and current status. The card provides two action buttons: View (navigates to ViewRACompliance with the record's ID) and Scan (navigates to PolicyScanner with the compliance ID and name pre-populated in the route state). A New Compliance Check button navigates to the creation form.</w:t>
      </w:r>
    </w:p>
    <w:p>
      <w:pPr>
        <w:pStyle w:val="Heading2"/>
        <w:spacing w:after="120" w:before="280"/>
      </w:pPr>
      <w:r>
        <w:rPr>
          <w:rFonts w:ascii="Arial" w:cs="Arial" w:eastAsia="Arial" w:hAnsi="Arial"/>
          <w:b/>
          <w:bCs/>
          <w:color w:val="2E75B6"/>
          <w:sz w:val="26"/>
          <w:szCs w:val="26"/>
        </w:rPr>
        <w:t xml:space="preserve">9.2 CreateRACompliance ( /create-ra-compliance )</w:t>
      </w:r>
    </w:p>
    <w:p>
      <w:pPr>
        <w:spacing w:after="120" w:before="80"/>
      </w:pPr>
      <w:r>
        <w:rPr>
          <w:rFonts w:ascii="Arial" w:cs="Arial" w:eastAsia="Arial" w:hAnsi="Arial"/>
          <w:color w:val="1A1A2E"/>
          <w:sz w:val="22"/>
          <w:szCs w:val="22"/>
        </w:rPr>
        <w:t xml:space="preserve">CreateRACompliance is a single-page form for registering a new regulatory compliance check. The form collects the regulation name (free text), an associated pipeline (selected from the active pipelines list), a regulation type (such as GDPR or HIPAA, selected from a predefined list), and an optional free-text controls input for specifying custom compliance controls.</w:t>
      </w:r>
    </w:p>
    <w:p>
      <w:pPr>
        <w:spacing w:after="120" w:before="80"/>
      </w:pPr>
      <w:r>
        <w:rPr>
          <w:rFonts w:ascii="Arial" w:cs="Arial" w:eastAsia="Arial" w:hAnsi="Arial"/>
          <w:color w:val="1A1A2E"/>
          <w:sz w:val="22"/>
          <w:szCs w:val="22"/>
        </w:rPr>
        <w:t xml:space="preserve">On submission, the form calls RAComplianceAPI.createComplianceCheck() with the form data. On success, the response includes the newly created complianceId and regulationName. The page immediately navigates to PolicyScanner, passing these values plus the selected pipelineId in the route state, so the 7-step audit wizard begins in the correct context without the user needing to re-enter those details.</w:t>
      </w:r>
    </w:p>
    <w:p>
      <w:pPr>
        <w:pStyle w:val="Heading2"/>
        <w:spacing w:after="120" w:before="280"/>
      </w:pPr>
      <w:r>
        <w:rPr>
          <w:rFonts w:ascii="Arial" w:cs="Arial" w:eastAsia="Arial" w:hAnsi="Arial"/>
          <w:b/>
          <w:bCs/>
          <w:color w:val="2E75B6"/>
          <w:sz w:val="26"/>
          <w:szCs w:val="26"/>
        </w:rPr>
        <w:t xml:space="preserve">9.3 ViewRACompliance ( /view-ra-compliance/:id )</w:t>
      </w:r>
    </w:p>
    <w:p>
      <w:pPr>
        <w:spacing w:after="120" w:before="80"/>
      </w:pPr>
      <w:r>
        <w:rPr>
          <w:rFonts w:ascii="Arial" w:cs="Arial" w:eastAsia="Arial" w:hAnsi="Arial"/>
          <w:color w:val="1A1A2E"/>
          <w:sz w:val="22"/>
          <w:szCs w:val="22"/>
        </w:rPr>
        <w:t xml:space="preserve">ViewRACompliance is a data-intensive detail page for a single compliance record. It fetches six separate API endpoints in parallel using Promise.all() to minimise loading time, then computes derived compliance metrics using useMemo() to avoid recalculation on unrelated re-renders.</w:t>
      </w:r>
    </w:p>
    <w:p>
      <w:pPr>
        <w:pStyle w:val="Heading3"/>
        <w:spacing w:after="100" w:before="200"/>
      </w:pPr>
      <w:r>
        <w:rPr>
          <w:rFonts w:ascii="Arial" w:cs="Arial" w:eastAsia="Arial" w:hAnsi="Arial"/>
          <w:b/>
          <w:bCs/>
          <w:color w:val="1A1A2E"/>
          <w:sz w:val="22"/>
          <w:szCs w:val="22"/>
        </w:rPr>
        <w:t xml:space="preserve">9.3.1 Parallel Data Loading</w:t>
      </w:r>
    </w:p>
    <w:p>
      <w:pPr>
        <w:spacing w:after="120" w:before="80"/>
      </w:pPr>
      <w:r>
        <w:rPr>
          <w:rFonts w:ascii="Arial" w:cs="Arial" w:eastAsia="Arial" w:hAnsi="Arial"/>
          <w:color w:val="1A1A2E"/>
          <w:sz w:val="22"/>
          <w:szCs w:val="22"/>
        </w:rPr>
        <w:t xml:space="preserve">The following six API calls are made concurrently on mount using the compliance ID from the route parameter:</w:t>
      </w:r>
    </w:p>
    <w:p>
      <w:pPr>
        <w:pStyle w:val="ListParagraph"/>
        <w:numPr>
          <w:ilvl w:val="0"/>
          <w:numId w:val="2"/>
        </w:numPr>
        <w:spacing w:after="60" w:before="40"/>
      </w:pPr>
      <w:r>
        <w:rPr>
          <w:rFonts w:ascii="Arial" w:cs="Arial" w:eastAsia="Arial" w:hAnsi="Arial"/>
          <w:color w:val="1A1A2E"/>
          <w:sz w:val="22"/>
          <w:szCs w:val="22"/>
        </w:rPr>
        <w:t xml:space="preserve">RAComplianceAPI.getComplianceById(id) — The core compliance record including regulation details and metadata.</w:t>
      </w:r>
    </w:p>
    <w:p>
      <w:pPr>
        <w:pStyle w:val="ListParagraph"/>
        <w:numPr>
          <w:ilvl w:val="0"/>
          <w:numId w:val="2"/>
        </w:numPr>
        <w:spacing w:after="60" w:before="40"/>
      </w:pPr>
      <w:r>
        <w:rPr>
          <w:rFonts w:ascii="Arial" w:cs="Arial" w:eastAsia="Arial" w:hAnsi="Arial"/>
          <w:color w:val="1A1A2E"/>
          <w:sz w:val="22"/>
          <w:szCs w:val="22"/>
        </w:rPr>
        <w:t xml:space="preserve">PolicyScannerAPI.getPolicies(id) — The full list of policies identified for this compliance check.</w:t>
      </w:r>
    </w:p>
    <w:p>
      <w:pPr>
        <w:pStyle w:val="ListParagraph"/>
        <w:numPr>
          <w:ilvl w:val="0"/>
          <w:numId w:val="2"/>
        </w:numPr>
        <w:spacing w:after="60" w:before="40"/>
      </w:pPr>
      <w:r>
        <w:rPr>
          <w:rFonts w:ascii="Arial" w:cs="Arial" w:eastAsia="Arial" w:hAnsi="Arial"/>
          <w:color w:val="1A1A2E"/>
          <w:sz w:val="22"/>
          <w:szCs w:val="22"/>
        </w:rPr>
        <w:t xml:space="preserve">PolicyScannerAPI.getApprovedPolicies(id) — The subset of policies that have been reviewed and approved.</w:t>
      </w:r>
    </w:p>
    <w:p>
      <w:pPr>
        <w:pStyle w:val="ListParagraph"/>
        <w:numPr>
          <w:ilvl w:val="0"/>
          <w:numId w:val="2"/>
        </w:numPr>
        <w:spacing w:after="60" w:before="40"/>
      </w:pPr>
      <w:r>
        <w:rPr>
          <w:rFonts w:ascii="Arial" w:cs="Arial" w:eastAsia="Arial" w:hAnsi="Arial"/>
          <w:color w:val="1A1A2E"/>
          <w:sz w:val="22"/>
          <w:szCs w:val="22"/>
        </w:rPr>
        <w:t xml:space="preserve">PolicyScannerAPI.getRemediationScripts(id) — Generated remediation scripts for identified policy violations.</w:t>
      </w:r>
    </w:p>
    <w:p>
      <w:pPr>
        <w:pStyle w:val="ListParagraph"/>
        <w:numPr>
          <w:ilvl w:val="0"/>
          <w:numId w:val="2"/>
        </w:numPr>
        <w:spacing w:after="60" w:before="40"/>
      </w:pPr>
      <w:r>
        <w:rPr>
          <w:rFonts w:ascii="Arial" w:cs="Arial" w:eastAsia="Arial" w:hAnsi="Arial"/>
          <w:color w:val="1A1A2E"/>
          <w:sz w:val="22"/>
          <w:szCs w:val="22"/>
        </w:rPr>
        <w:t xml:space="preserve">PolicyScannerAPI.getComplianceCheckResults(id) — Results of the automated compliance evaluation against each policy.</w:t>
      </w:r>
    </w:p>
    <w:p>
      <w:pPr>
        <w:pStyle w:val="ListParagraph"/>
        <w:numPr>
          <w:ilvl w:val="0"/>
          <w:numId w:val="2"/>
        </w:numPr>
        <w:spacing w:after="60" w:before="40"/>
      </w:pPr>
      <w:r>
        <w:rPr>
          <w:rFonts w:ascii="Arial" w:cs="Arial" w:eastAsia="Arial" w:hAnsi="Arial"/>
          <w:color w:val="1A1A2E"/>
          <w:sz w:val="22"/>
          <w:szCs w:val="22"/>
        </w:rPr>
        <w:t xml:space="preserve">PolicyScannerAPI.getScheduleInfo(id) — Scheduled job configuration if a recurring audit has been set up.</w:t>
      </w:r>
    </w:p>
    <w:p>
      <w:pPr>
        <w:spacing w:after="120" w:before="80"/>
      </w:pPr>
      <w:r>
        <w:rPr>
          <w:rFonts w:ascii="Arial" w:cs="Arial" w:eastAsia="Arial" w:hAnsi="Arial"/>
          <w:color w:val="1A1A2E"/>
          <w:sz w:val="22"/>
          <w:szCs w:val="22"/>
        </w:rPr>
        <w:t xml:space="preserve">All six results are set into state simultaneously in the Promise.all().then() callback to trigger a single re-render. A shared loading flag gates the render until all data is available, and a single error flag captures any rejection from the parallel calls.</w:t>
      </w:r>
    </w:p>
    <w:p>
      <w:pPr>
        <w:pStyle w:val="Heading3"/>
        <w:spacing w:after="100" w:before="200"/>
      </w:pPr>
      <w:r>
        <w:rPr>
          <w:rFonts w:ascii="Arial" w:cs="Arial" w:eastAsia="Arial" w:hAnsi="Arial"/>
          <w:b/>
          <w:bCs/>
          <w:color w:val="1A1A2E"/>
          <w:sz w:val="22"/>
          <w:szCs w:val="22"/>
        </w:rPr>
        <w:t xml:space="preserve">9.3.2 Derived Metrics via useMemo</w:t>
      </w:r>
    </w:p>
    <w:p>
      <w:pPr>
        <w:spacing w:after="120" w:before="80"/>
      </w:pPr>
      <w:r>
        <w:rPr>
          <w:rFonts w:ascii="Arial" w:cs="Arial" w:eastAsia="Arial" w:hAnsi="Arial"/>
          <w:color w:val="1A1A2E"/>
          <w:sz w:val="22"/>
          <w:szCs w:val="22"/>
        </w:rPr>
        <w:t xml:space="preserve">Four compliance metrics are derived from the loaded data using useMemo() and update reactively if any of their dependencies change:</w:t>
      </w:r>
    </w:p>
    <w:p>
      <w:pPr>
        <w:pStyle w:val="ListParagraph"/>
        <w:numPr>
          <w:ilvl w:val="0"/>
          <w:numId w:val="2"/>
        </w:numPr>
        <w:spacing w:after="60" w:before="40"/>
      </w:pPr>
      <w:r>
        <w:rPr>
          <w:rFonts w:ascii="Arial" w:cs="Arial" w:eastAsia="Arial" w:hAnsi="Arial"/>
          <w:color w:val="1A1A2E"/>
          <w:sz w:val="22"/>
          <w:szCs w:val="22"/>
        </w:rPr>
        <w:t xml:space="preserve">totalPolicies — The count of all policies in the policies array.</w:t>
      </w:r>
    </w:p>
    <w:p>
      <w:pPr>
        <w:pStyle w:val="ListParagraph"/>
        <w:numPr>
          <w:ilvl w:val="0"/>
          <w:numId w:val="2"/>
        </w:numPr>
        <w:spacing w:after="60" w:before="40"/>
      </w:pPr>
      <w:r>
        <w:rPr>
          <w:rFonts w:ascii="Arial" w:cs="Arial" w:eastAsia="Arial" w:hAnsi="Arial"/>
          <w:color w:val="1A1A2E"/>
          <w:sz w:val="22"/>
          <w:szCs w:val="22"/>
        </w:rPr>
        <w:t xml:space="preserve">approvedCount — The count of entries in the approvedPolicies array.</w:t>
      </w:r>
    </w:p>
    <w:p>
      <w:pPr>
        <w:pStyle w:val="ListParagraph"/>
        <w:numPr>
          <w:ilvl w:val="0"/>
          <w:numId w:val="2"/>
        </w:numPr>
        <w:spacing w:after="60" w:before="40"/>
      </w:pPr>
      <w:r>
        <w:rPr>
          <w:rFonts w:ascii="Arial" w:cs="Arial" w:eastAsia="Arial" w:hAnsi="Arial"/>
          <w:color w:val="1A1A2E"/>
          <w:sz w:val="22"/>
          <w:szCs w:val="22"/>
        </w:rPr>
        <w:t xml:space="preserve">complianceRate — The ratio of approvedCount to totalPolicies, expressed as a percentage and rounded to one decimal place.</w:t>
      </w:r>
    </w:p>
    <w:p>
      <w:pPr>
        <w:pStyle w:val="ListParagraph"/>
        <w:numPr>
          <w:ilvl w:val="0"/>
          <w:numId w:val="2"/>
        </w:numPr>
        <w:spacing w:after="60" w:before="40"/>
      </w:pPr>
      <w:r>
        <w:rPr>
          <w:rFonts w:ascii="Arial" w:cs="Arial" w:eastAsia="Arial" w:hAnsi="Arial"/>
          <w:color w:val="1A1A2E"/>
          <w:sz w:val="22"/>
          <w:szCs w:val="22"/>
        </w:rPr>
        <w:t xml:space="preserve">pendingRemediations — The count of remediation scripts whose applied field is false, indicating outstanding remediation work.</w:t>
      </w:r>
    </w:p>
    <w:p>
      <w:pPr>
        <w:pStyle w:val="Heading3"/>
        <w:spacing w:after="100" w:before="200"/>
      </w:pPr>
      <w:r>
        <w:rPr>
          <w:rFonts w:ascii="Arial" w:cs="Arial" w:eastAsia="Arial" w:hAnsi="Arial"/>
          <w:b/>
          <w:bCs/>
          <w:color w:val="1A1A2E"/>
          <w:sz w:val="22"/>
          <w:szCs w:val="22"/>
        </w:rPr>
        <w:t xml:space="preserve">9.3.3 Export Methods</w:t>
      </w:r>
    </w:p>
    <w:p>
      <w:pPr>
        <w:spacing w:after="120" w:before="80"/>
      </w:pPr>
      <w:r>
        <w:rPr>
          <w:rFonts w:ascii="Arial" w:cs="Arial" w:eastAsia="Arial" w:hAnsi="Arial"/>
          <w:color w:val="1A1A2E"/>
          <w:sz w:val="22"/>
          <w:szCs w:val="22"/>
        </w:rPr>
        <w:t xml:space="preserve">ViewRACompliance supports two export formats:</w:t>
      </w:r>
    </w:p>
    <w:p>
      <w:pPr>
        <w:pStyle w:val="ListParagraph"/>
        <w:numPr>
          <w:ilvl w:val="0"/>
          <w:numId w:val="2"/>
        </w:numPr>
        <w:spacing w:after="60" w:before="40"/>
      </w:pPr>
      <w:r>
        <w:rPr>
          <w:rFonts w:ascii="Arial" w:cs="Arial" w:eastAsia="Arial" w:hAnsi="Arial"/>
          <w:color w:val="1A1A2E"/>
          <w:sz w:val="22"/>
          <w:szCs w:val="22"/>
        </w:rPr>
        <w:t xml:space="preserve">CSV Export — Constructs a comma-separated string from the policies array, wraps it in a Blob with MIME type text/csv, creates a temporary object URL, and triggers a download by programmatically clicking a hidden anchor element. The object URL is revoked after the download is initiated to free browser memory.</w:t>
      </w:r>
    </w:p>
    <w:p>
      <w:pPr>
        <w:pStyle w:val="ListParagraph"/>
        <w:numPr>
          <w:ilvl w:val="0"/>
          <w:numId w:val="2"/>
        </w:numPr>
        <w:spacing w:after="60" w:before="40"/>
      </w:pPr>
      <w:r>
        <w:rPr>
          <w:rFonts w:ascii="Arial" w:cs="Arial" w:eastAsia="Arial" w:hAnsi="Arial"/>
          <w:color w:val="1A1A2E"/>
          <w:sz w:val="22"/>
          <w:szCs w:val="22"/>
        </w:rPr>
        <w:t xml:space="preserve">PDF Export — Calls window.print() to invoke the browser's native print dialog, relying on print-only CSS rules (display: none on non-report elements, full-width layout for report sections) to produce a clean printed document without navigation chrome.</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10. Policy Scanner ( /policy-scanner )</w:t>
      </w:r>
    </w:p>
    <w:p>
      <w:pPr>
        <w:spacing w:after="120" w:before="80"/>
      </w:pPr>
      <w:r>
        <w:rPr>
          <w:rFonts w:ascii="Arial" w:cs="Arial" w:eastAsia="Arial" w:hAnsi="Arial"/>
          <w:color w:val="1A1A2E"/>
          <w:sz w:val="22"/>
          <w:szCs w:val="22"/>
        </w:rPr>
        <w:t xml:space="preserve">The Policy Scanner is a 7-step linear wizard that guides users through the complete regulatory audit lifecycle. It begins with reviewing AI-generated policies and concludes with scheduling automated compliance jobs. Each step is a full-page sub-component that is rendered conditionally based on the current step index. Navigation between steps is managed by the parent PolicyScanner component, which passes step-specific props and callback functions down to each child.</w:t>
      </w:r>
    </w:p>
    <w:p>
      <w:pPr>
        <w:pStyle w:val="Heading2"/>
        <w:spacing w:after="120" w:before="280"/>
      </w:pPr>
      <w:r>
        <w:rPr>
          <w:rFonts w:ascii="Arial" w:cs="Arial" w:eastAsia="Arial" w:hAnsi="Arial"/>
          <w:b/>
          <w:bCs/>
          <w:color w:val="2E75B6"/>
          <w:sz w:val="26"/>
          <w:szCs w:val="26"/>
        </w:rPr>
        <w:t xml:space="preserve">10.1 Step Configuration</w:t>
      </w:r>
    </w:p>
    <w:p>
      <w:pPr>
        <w:spacing w:after="120" w:before="80"/>
      </w:pPr>
      <w:r>
        <w:rPr>
          <w:rFonts w:ascii="Arial" w:cs="Arial" w:eastAsia="Arial" w:hAnsi="Arial"/>
          <w:color w:val="1A1A2E"/>
          <w:sz w:val="22"/>
          <w:szCs w:val="22"/>
        </w:rPr>
        <w:t xml:space="preserve">The wizard steps and their labels are defined as a typed constant map (STEP_CONFIG) in the parent component. Each entry specifies the step label displayed in the progress indicator and the text for the Next button, which varies per step to describe what will happen when the user proceeds. A STEPS constant maps human-readable names to their integer step indices for use in conditional logic.</w:t>
      </w:r>
    </w:p>
    <w:p>
      <w:pPr>
        <w:pStyle w:val="Heading2"/>
        <w:spacing w:after="120" w:before="280"/>
      </w:pPr>
      <w:r>
        <w:rPr>
          <w:rFonts w:ascii="Arial" w:cs="Arial" w:eastAsia="Arial" w:hAnsi="Arial"/>
          <w:b/>
          <w:bCs/>
          <w:color w:val="2E75B6"/>
          <w:sz w:val="26"/>
          <w:szCs w:val="26"/>
        </w:rPr>
        <w:t xml:space="preserve">10.2 Auto-Generate Mapping</w:t>
      </w:r>
    </w:p>
    <w:p>
      <w:pPr>
        <w:spacing w:after="120" w:before="80"/>
      </w:pPr>
      <w:r>
        <w:rPr>
          <w:rFonts w:ascii="Arial" w:cs="Arial" w:eastAsia="Arial" w:hAnsi="Arial"/>
          <w:color w:val="1A1A2E"/>
          <w:sz w:val="22"/>
          <w:szCs w:val="22"/>
        </w:rPr>
        <w:t xml:space="preserve">The transition from Step 2 (Approved Policies) to Step 3 (Snowflake Mapping) triggers an automatic mapping generation. When the user clicks the next button on Step 2, the parent sets an autoGenerateMapping flag and advances the step index. The SnowflakeMappingPage sub-component detects this flag via a useEffect and immediately calls the mapping API without waiting for user input. This eliminates a manual trigger step and creates a more seamless wizard experience. After the auto-generation is complete, the child component calls the onAutoGenerateHandled callback to reset the flag in the parent.</w:t>
      </w:r>
    </w:p>
    <w:p>
      <w:pPr>
        <w:pStyle w:val="Heading2"/>
        <w:spacing w:after="120" w:before="280"/>
      </w:pPr>
      <w:r>
        <w:rPr>
          <w:rFonts w:ascii="Arial" w:cs="Arial" w:eastAsia="Arial" w:hAnsi="Arial"/>
          <w:b/>
          <w:bCs/>
          <w:color w:val="2E75B6"/>
          <w:sz w:val="26"/>
          <w:szCs w:val="26"/>
        </w:rPr>
        <w:t xml:space="preserve">10.3 Step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2900"/>
        <w:gridCol w:w="3260"/>
      </w:tblGrid>
      <w:tr>
        <w:trPr>
          <w:tblHeader/>
        </w:trPr>
        <w:tc>
          <w:tcPr>
            <w:tcW w:type="dxa" w:w="5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7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9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API Call</w:t>
            </w:r>
          </w:p>
        </w:tc>
        <w:tc>
          <w:tcPr>
            <w:tcW w:type="dxa" w:w="32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Actions</w:t>
            </w:r>
          </w:p>
        </w:tc>
      </w:tr>
      <w:tr>
        <w:tc>
          <w:tcPr>
            <w:tcW w:type="dxa" w:w="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1</w:t>
            </w:r>
          </w:p>
        </w:tc>
        <w:tc>
          <w:tcPr>
            <w:tcW w:type="dxa" w:w="27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ReviewPoliciesPage</w:t>
            </w:r>
          </w:p>
        </w:tc>
        <w:tc>
          <w:tcPr>
            <w:tcW w:type="dxa" w:w="29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PolicyScannerAPI.getPolicies</w:t>
            </w:r>
          </w:p>
        </w:tc>
        <w:tc>
          <w:tcPr>
            <w:tcW w:type="dxa" w:w="32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View AI-generated policies, add manual policies, select policies to approve</w:t>
            </w:r>
          </w:p>
        </w:tc>
      </w:tr>
      <w:tr>
        <w:tc>
          <w:tcPr>
            <w:tcW w:type="dxa" w:w="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2</w:t>
            </w:r>
          </w:p>
        </w:tc>
        <w:tc>
          <w:tcPr>
            <w:tcW w:type="dxa" w:w="27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ApprovedPoliciesPage</w:t>
            </w:r>
          </w:p>
        </w:tc>
        <w:tc>
          <w:tcPr>
            <w:tcW w:type="dxa" w:w="29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PolicyScannerAPI.getApprovedPolicies</w:t>
            </w:r>
          </w:p>
        </w:tc>
        <w:tc>
          <w:tcPr>
            <w:tcW w:type="dxa" w:w="32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Review the approved subset, confirm before proceeding to mapping</w:t>
            </w:r>
          </w:p>
        </w:tc>
      </w:tr>
      <w:tr>
        <w:tc>
          <w:tcPr>
            <w:tcW w:type="dxa" w:w="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3</w:t>
            </w:r>
          </w:p>
        </w:tc>
        <w:tc>
          <w:tcPr>
            <w:tcW w:type="dxa" w:w="27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SnowflakeMappingPage</w:t>
            </w:r>
          </w:p>
        </w:tc>
        <w:tc>
          <w:tcPr>
            <w:tcW w:type="dxa" w:w="29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PolicyScannerAPI.generateMapping</w:t>
            </w:r>
          </w:p>
        </w:tc>
        <w:tc>
          <w:tcPr>
            <w:tcW w:type="dxa" w:w="32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Select database/schema/tables, auto-generate AI mapping between policies and Snowflake objects</w:t>
            </w:r>
          </w:p>
        </w:tc>
      </w:tr>
      <w:tr>
        <w:tc>
          <w:tcPr>
            <w:tcW w:type="dxa" w:w="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4</w:t>
            </w:r>
          </w:p>
        </w:tc>
        <w:tc>
          <w:tcPr>
            <w:tcW w:type="dxa" w:w="27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MappedPoliciesTargetTablesPage</w:t>
            </w:r>
          </w:p>
        </w:tc>
        <w:tc>
          <w:tcPr>
            <w:tcW w:type="dxa" w:w="29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PolicyScannerAPI.getMappings</w:t>
            </w:r>
          </w:p>
        </w:tc>
        <w:tc>
          <w:tcPr>
            <w:tcW w:type="dxa" w:w="32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Review policy-to-table associations, edit and save mappings</w:t>
            </w:r>
          </w:p>
        </w:tc>
      </w:tr>
      <w:tr>
        <w:tc>
          <w:tcPr>
            <w:tcW w:type="dxa" w:w="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5</w:t>
            </w:r>
          </w:p>
        </w:tc>
        <w:tc>
          <w:tcPr>
            <w:tcW w:type="dxa" w:w="27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ComplianceCheckPage</w:t>
            </w:r>
          </w:p>
        </w:tc>
        <w:tc>
          <w:tcPr>
            <w:tcW w:type="dxa" w:w="29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PolicyScannerAPI.runComplianceCheck</w:t>
            </w:r>
          </w:p>
        </w:tc>
        <w:tc>
          <w:tcPr>
            <w:tcW w:type="dxa" w:w="32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Execute compliance evaluation, view results per policy, inline SQL editing via EditSQLDialog</w:t>
            </w:r>
          </w:p>
        </w:tc>
      </w:tr>
      <w:tr>
        <w:tc>
          <w:tcPr>
            <w:tcW w:type="dxa" w:w="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6</w:t>
            </w:r>
          </w:p>
        </w:tc>
        <w:tc>
          <w:tcPr>
            <w:tcW w:type="dxa" w:w="27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RemediationScriptGenerationPage</w:t>
            </w:r>
          </w:p>
        </w:tc>
        <w:tc>
          <w:tcPr>
            <w:tcW w:type="dxa" w:w="29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PolicyScannerAPI.getRemediationScripts</w:t>
            </w:r>
          </w:p>
        </w:tc>
        <w:tc>
          <w:tcPr>
            <w:tcW w:type="dxa" w:w="32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Review AI-generated remediation scripts, save to backend</w:t>
            </w:r>
          </w:p>
        </w:tc>
      </w:tr>
      <w:tr>
        <w:tc>
          <w:tcPr>
            <w:tcW w:type="dxa" w:w="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7</w:t>
            </w:r>
          </w:p>
        </w:tc>
        <w:tc>
          <w:tcPr>
            <w:tcW w:type="dxa" w:w="27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RemediationSQLPage</w:t>
            </w:r>
          </w:p>
        </w:tc>
        <w:tc>
          <w:tcPr>
            <w:tcW w:type="dxa" w:w="29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PolicyScannerAPI.getRemediationSQL</w:t>
            </w:r>
          </w:p>
        </w:tc>
        <w:tc>
          <w:tcPr>
            <w:tcW w:type="dxa" w:w="32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Final SQL review, then launch ScheduleDialog to configure recurring audit jobs</w:t>
            </w:r>
          </w:p>
        </w:tc>
      </w:tr>
    </w:tbl>
    <w:p>
      <w:r>
        <w:rPr>
          <w:sz w:val="16"/>
          <w:szCs w:val="16"/>
        </w:rPr>
        <w:t xml:space="preserve"/>
      </w:r>
    </w:p>
    <w:p>
      <w:pPr>
        <w:pStyle w:val="Heading2"/>
        <w:spacing w:after="120" w:before="280"/>
      </w:pPr>
      <w:r>
        <w:rPr>
          <w:rFonts w:ascii="Arial" w:cs="Arial" w:eastAsia="Arial" w:hAnsi="Arial"/>
          <w:b/>
          <w:bCs/>
          <w:color w:val="2E75B6"/>
          <w:sz w:val="26"/>
          <w:szCs w:val="26"/>
        </w:rPr>
        <w:t xml:space="preserve">10.4 EditSQLDialog Component</w:t>
      </w:r>
    </w:p>
    <w:p>
      <w:pPr>
        <w:spacing w:after="120" w:before="80"/>
      </w:pPr>
      <w:r>
        <w:rPr>
          <w:rFonts w:ascii="Arial" w:cs="Arial" w:eastAsia="Arial" w:hAnsi="Arial"/>
          <w:color w:val="1A1A2E"/>
          <w:sz w:val="22"/>
          <w:szCs w:val="22"/>
        </w:rPr>
        <w:t xml:space="preserve">EditSQLDialog is a Modal dialog embedded in Step 5 (ComplianceCheckPage) that enables inline editing of the AI-generated SQL for a specific policy. It renders a multi-line, monospaced-font text field pre-populated with the current SQL string for the selected policy row.</w:t>
      </w:r>
    </w:p>
    <w:p>
      <w:pPr>
        <w:spacing w:after="120" w:before="80"/>
      </w:pPr>
      <w:r>
        <w:rPr>
          <w:rFonts w:ascii="Arial" w:cs="Arial" w:eastAsia="Arial" w:hAnsi="Arial"/>
          <w:color w:val="1A1A2E"/>
          <w:sz w:val="22"/>
          <w:szCs w:val="22"/>
        </w:rPr>
        <w:t xml:space="preserve">The dialog resets its internal SQL state to the initialSQL prop value whenever it is opened, ensuring that edits from a previous session do not persist if the user closes and reopens the dialog without saving. On confirmation, it calls the onConfirm callback with the edited SQL string; the parent ComplianceCheckPage is responsible for persisting the change to the backend. The dialog's title dynamically includes the policy ID for context.</w:t>
      </w:r>
    </w:p>
    <w:p>
      <w:pPr>
        <w:pStyle w:val="Heading2"/>
        <w:spacing w:after="120" w:before="280"/>
      </w:pPr>
      <w:r>
        <w:rPr>
          <w:rFonts w:ascii="Arial" w:cs="Arial" w:eastAsia="Arial" w:hAnsi="Arial"/>
          <w:b/>
          <w:bCs/>
          <w:color w:val="2E75B6"/>
          <w:sz w:val="26"/>
          <w:szCs w:val="26"/>
        </w:rPr>
        <w:t xml:space="preserve">10.5 ScheduleDialog Component</w:t>
      </w:r>
    </w:p>
    <w:p>
      <w:pPr>
        <w:spacing w:after="120" w:before="80"/>
      </w:pPr>
      <w:r>
        <w:rPr>
          <w:rFonts w:ascii="Arial" w:cs="Arial" w:eastAsia="Arial" w:hAnsi="Arial"/>
          <w:color w:val="1A1A2E"/>
          <w:sz w:val="22"/>
          <w:szCs w:val="22"/>
        </w:rPr>
        <w:t xml:space="preserve">ScheduleDialog appears on Step 7 as the final action before completing the wizard. It collects two pieces of scheduling information: the recurrence frequency (from a fixed set of options: Daily, Weekly, Monthly, Yearly) and a date range (start and end dates defining the scheduling window, collected via the DateRangePicker component). On confirmation, the collected data is passed to the onConfirm callback, which calls PolicyScannerAPI.scheduleJob() to register the automated audit schedule on the backend.</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11. Semantic View Agent ( /semantic-view-agent )</w:t>
      </w:r>
    </w:p>
    <w:p>
      <w:pPr>
        <w:spacing w:after="120" w:before="80"/>
      </w:pPr>
      <w:r>
        <w:rPr>
          <w:rFonts w:ascii="Arial" w:cs="Arial" w:eastAsia="Arial" w:hAnsi="Arial"/>
          <w:color w:val="1A1A2E"/>
          <w:sz w:val="22"/>
          <w:szCs w:val="22"/>
        </w:rPr>
        <w:t xml:space="preserve">The Semantic View Agent is an AI-powered SQL generation tool for creating Snowflake semantic views. Users navigate a cascading selection interface (database → schema → semantic model + tables), and the agent calls SemanticViewAPI.generateSql() to produce a complete CREATE VIEW SQL statement tailored to the selected objects. The page supports three URL sub-routes: the default creation view, a /view/:queryId route for reading a saved script, and an /edit/:queryId route for modifying one.</w:t>
      </w:r>
    </w:p>
    <w:p>
      <w:pPr>
        <w:pStyle w:val="Heading2"/>
        <w:spacing w:after="120" w:before="280"/>
      </w:pPr>
      <w:r>
        <w:rPr>
          <w:rFonts w:ascii="Arial" w:cs="Arial" w:eastAsia="Arial" w:hAnsi="Arial"/>
          <w:b/>
          <w:bCs/>
          <w:color w:val="2E75B6"/>
          <w:sz w:val="26"/>
          <w:szCs w:val="26"/>
        </w:rPr>
        <w:t xml:space="preserve">11.1 localStorage Persistence</w:t>
      </w:r>
    </w:p>
    <w:p>
      <w:pPr>
        <w:spacing w:after="120" w:before="80"/>
      </w:pPr>
      <w:r>
        <w:rPr>
          <w:rFonts w:ascii="Arial" w:cs="Arial" w:eastAsia="Arial" w:hAnsi="Arial"/>
          <w:color w:val="1A1A2E"/>
          <w:sz w:val="22"/>
          <w:szCs w:val="22"/>
        </w:rPr>
        <w:t xml:space="preserve">Generated SQL scripts are persisted to localStorage under a versioned key (semantic_view_agent_scripts_sql_v1) to enable recall across browser sessions. Each script is stored as a JSON object keyed by a unique queryId (generated at save time), and contains the SQL string, metadata fields (database, schema, model, tables), and a savedAt timestamp.</w:t>
      </w:r>
    </w:p>
    <w:p>
      <w:pPr>
        <w:spacing w:after="120" w:before="80"/>
      </w:pPr>
      <w:r>
        <w:rPr>
          <w:rFonts w:ascii="Arial" w:cs="Arial" w:eastAsia="Arial" w:hAnsi="Arial"/>
          <w:color w:val="1A1A2E"/>
          <w:sz w:val="22"/>
          <w:szCs w:val="22"/>
        </w:rPr>
        <w:t xml:space="preserve">When navigating to the /view/:queryId route, the component first attempts to read the script from React Router's location.state (which is populated when navigating programmatically from the agent). If location.state is absent — for example, when the user accesses the URL directly or refreshes the page — the component falls back to reading the script from localStorage using the queryId path parameter. This two-path loading strategy ensures that direct URL access to a saved script always succeeds.</w:t>
      </w:r>
    </w:p>
    <w:p>
      <w:pPr>
        <w:pStyle w:val="Heading2"/>
        <w:spacing w:after="120" w:before="280"/>
      </w:pPr>
      <w:r>
        <w:rPr>
          <w:rFonts w:ascii="Arial" w:cs="Arial" w:eastAsia="Arial" w:hAnsi="Arial"/>
          <w:b/>
          <w:bCs/>
          <w:color w:val="2E75B6"/>
          <w:sz w:val="26"/>
          <w:szCs w:val="26"/>
        </w:rPr>
        <w:t xml:space="preserve">11.2 SQL Generation Flow</w:t>
      </w:r>
    </w:p>
    <w:p>
      <w:pPr>
        <w:spacing w:after="120" w:before="80"/>
      </w:pPr>
      <w:r>
        <w:rPr>
          <w:rFonts w:ascii="Arial" w:cs="Arial" w:eastAsia="Arial" w:hAnsi="Arial"/>
          <w:color w:val="1A1A2E"/>
          <w:sz w:val="22"/>
          <w:szCs w:val="22"/>
        </w:rPr>
        <w:t xml:space="preserve">The generation workflow follows five sequential stages:</w:t>
      </w:r>
    </w:p>
    <w:p>
      <w:pPr>
        <w:pStyle w:val="ListParagraph"/>
        <w:numPr>
          <w:ilvl w:val="0"/>
          <w:numId w:val="2"/>
        </w:numPr>
        <w:spacing w:after="60" w:before="40"/>
      </w:pPr>
      <w:r>
        <w:rPr>
          <w:rFonts w:ascii="Arial" w:cs="Arial" w:eastAsia="Arial" w:hAnsi="Arial"/>
          <w:color w:val="1A1A2E"/>
          <w:sz w:val="22"/>
          <w:szCs w:val="22"/>
        </w:rPr>
        <w:t xml:space="preserve">Database selection — The user selects a Snowflake database from a dropdown populated by SemanticViewAPI.getDatabases(). This triggers a schema fetch.</w:t>
      </w:r>
    </w:p>
    <w:p>
      <w:pPr>
        <w:pStyle w:val="ListParagraph"/>
        <w:numPr>
          <w:ilvl w:val="0"/>
          <w:numId w:val="2"/>
        </w:numPr>
        <w:spacing w:after="60" w:before="40"/>
      </w:pPr>
      <w:r>
        <w:rPr>
          <w:rFonts w:ascii="Arial" w:cs="Arial" w:eastAsia="Arial" w:hAnsi="Arial"/>
          <w:color w:val="1A1A2E"/>
          <w:sz w:val="22"/>
          <w:szCs w:val="22"/>
        </w:rPr>
        <w:t xml:space="preserve">Schema selection — The selected database's schemas are fetched via SemanticViewAPI.getSchemas(db). Selecting a schema triggers concurrent fetches of available semantic models and tables.</w:t>
      </w:r>
    </w:p>
    <w:p>
      <w:pPr>
        <w:pStyle w:val="ListParagraph"/>
        <w:numPr>
          <w:ilvl w:val="0"/>
          <w:numId w:val="2"/>
        </w:numPr>
        <w:spacing w:after="60" w:before="40"/>
      </w:pPr>
      <w:r>
        <w:rPr>
          <w:rFonts w:ascii="Arial" w:cs="Arial" w:eastAsia="Arial" w:hAnsi="Arial"/>
          <w:color w:val="1A1A2E"/>
          <w:sz w:val="22"/>
          <w:szCs w:val="22"/>
        </w:rPr>
        <w:t xml:space="preserve">Model and table selection — The user selects one semantic model from the model dropdown and one or more tables from the multi-select table list.</w:t>
      </w:r>
    </w:p>
    <w:p>
      <w:pPr>
        <w:pStyle w:val="ListParagraph"/>
        <w:numPr>
          <w:ilvl w:val="0"/>
          <w:numId w:val="2"/>
        </w:numPr>
        <w:spacing w:after="60" w:before="40"/>
      </w:pPr>
      <w:r>
        <w:rPr>
          <w:rFonts w:ascii="Arial" w:cs="Arial" w:eastAsia="Arial" w:hAnsi="Arial"/>
          <w:color w:val="1A1A2E"/>
          <w:sz w:val="22"/>
          <w:szCs w:val="22"/>
        </w:rPr>
        <w:t xml:space="preserve">SQL generation — Clicking Generate calls SemanticViewAPI.generateSql() with the selected model name, database, schema, and table list. The response contains a sql field that is rendered in a read-only code editor panel.</w:t>
      </w:r>
    </w:p>
    <w:p>
      <w:pPr>
        <w:pStyle w:val="ListParagraph"/>
        <w:numPr>
          <w:ilvl w:val="0"/>
          <w:numId w:val="2"/>
        </w:numPr>
        <w:spacing w:after="60" w:before="40"/>
      </w:pPr>
      <w:r>
        <w:rPr>
          <w:rFonts w:ascii="Arial" w:cs="Arial" w:eastAsia="Arial" w:hAnsi="Arial"/>
          <w:color w:val="1A1A2E"/>
          <w:sz w:val="22"/>
          <w:szCs w:val="22"/>
        </w:rPr>
        <w:t xml:space="preserve">Save — Clicking Save writes the generated SQL, metadata, and a new queryId to localStorage and navigates to /semantic-view-agent/view/:queryId.</w:t>
      </w:r>
    </w:p>
    <w:p>
      <w:pPr>
        <w:pStyle w:val="Heading2"/>
        <w:spacing w:after="120" w:before="280"/>
      </w:pPr>
      <w:r>
        <w:rPr>
          <w:rFonts w:ascii="Arial" w:cs="Arial" w:eastAsia="Arial" w:hAnsi="Arial"/>
          <w:b/>
          <w:bCs/>
          <w:color w:val="2E75B6"/>
          <w:sz w:val="26"/>
          <w:szCs w:val="26"/>
        </w:rPr>
        <w:t xml:space="preserve">11.3 SemanticViewAPI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760"/>
      </w:tblGrid>
      <w:tr>
        <w:trPr>
          <w:tblHeader/>
        </w:trPr>
        <w:tc>
          <w:tcPr>
            <w:tcW w:type="dxa" w:w="12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7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/databases</w:t>
            </w:r>
          </w:p>
        </w:tc>
        <w:tc>
          <w:tcPr>
            <w:tcW w:type="dxa" w:w="4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Lists all Snowflake databases accessible to the current session</w:t>
            </w:r>
          </w:p>
        </w:tc>
      </w:tr>
      <w:tr>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/schemas?db=X</w:t>
            </w:r>
          </w:p>
        </w:tc>
        <w:tc>
          <w:tcPr>
            <w:tcW w:type="dxa" w:w="4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Lists schemas within the specified database</w:t>
            </w:r>
          </w:p>
        </w:tc>
      </w:tr>
      <w:tr>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/tables?db=X&amp;schema=Y</w:t>
            </w:r>
          </w:p>
        </w:tc>
        <w:tc>
          <w:tcPr>
            <w:tcW w:type="dxa" w:w="4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Lists tables within a specific database and schema combination</w:t>
            </w:r>
          </w:p>
        </w:tc>
      </w:tr>
      <w:tr>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/semantic-models?db=X&amp;schema=Y</w:t>
            </w:r>
          </w:p>
        </w:tc>
        <w:tc>
          <w:tcPr>
            <w:tcW w:type="dxa" w:w="4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Lists Cortex Analyst semantic models available in the schema</w:t>
            </w:r>
          </w:p>
        </w:tc>
      </w:tr>
      <w:tr>
        <w:tc>
          <w:tcPr>
            <w:tcW w:type="dxa" w:w="1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GET</w:t>
            </w:r>
          </w:p>
        </w:tc>
        <w:tc>
          <w:tcPr>
            <w:tcW w:type="dxa" w:w="34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/semantic-views</w:t>
            </w:r>
          </w:p>
        </w:tc>
        <w:tc>
          <w:tcPr>
            <w:tcW w:type="dxa" w:w="47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Lists previously generated and saved semantic views</w:t>
            </w:r>
          </w:p>
        </w:tc>
      </w:tr>
      <w:tr>
        <w:tc>
          <w:tcPr>
            <w:tcW w:type="dxa" w:w="1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POST</w:t>
            </w:r>
          </w:p>
        </w:tc>
        <w:tc>
          <w:tcPr>
            <w:tcW w:type="dxa" w:w="34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/semantic-model</w:t>
            </w:r>
          </w:p>
        </w:tc>
        <w:tc>
          <w:tcPr>
            <w:tcW w:type="dxa" w:w="47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Generates a CREATE VIEW SQL statement given a model, database, schema, and table list</w:t>
            </w:r>
          </w:p>
        </w:tc>
      </w:tr>
    </w:tbl>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12. Lineage Graph ( /lineage-graph )</w:t>
      </w:r>
    </w:p>
    <w:p>
      <w:pPr>
        <w:spacing w:after="120" w:before="80"/>
      </w:pPr>
      <w:r>
        <w:rPr>
          <w:rFonts w:ascii="Arial" w:cs="Arial" w:eastAsia="Arial" w:hAnsi="Arial"/>
          <w:color w:val="1A1A2E"/>
          <w:sz w:val="22"/>
          <w:szCs w:val="22"/>
        </w:rPr>
        <w:t xml:space="preserve">The Lineage Graph page visualises data lineage relationships between Snowflake objects (tables, views, streams, and other database entities) using XYFlow. Users can explore upstream dependencies (objects that feed into a selected object) and downstream dependencies (objects that consume it), giving them a navigable map of data provenance within their Snowflake environment.</w:t>
      </w:r>
    </w:p>
    <w:p>
      <w:pPr>
        <w:pStyle w:val="Heading2"/>
        <w:spacing w:after="120" w:before="280"/>
      </w:pPr>
      <w:r>
        <w:rPr>
          <w:rFonts w:ascii="Arial" w:cs="Arial" w:eastAsia="Arial" w:hAnsi="Arial"/>
          <w:b/>
          <w:bCs/>
          <w:color w:val="2E75B6"/>
          <w:sz w:val="26"/>
          <w:szCs w:val="26"/>
        </w:rPr>
        <w:t xml:space="preserve">12.1 Lineage Data Model</w:t>
      </w:r>
    </w:p>
    <w:p>
      <w:pPr>
        <w:spacing w:after="120" w:before="80"/>
      </w:pPr>
      <w:r>
        <w:rPr>
          <w:rFonts w:ascii="Arial" w:cs="Arial" w:eastAsia="Arial" w:hAnsi="Arial"/>
          <w:color w:val="1A1A2E"/>
          <w:sz w:val="22"/>
          <w:szCs w:val="22"/>
        </w:rPr>
        <w:t xml:space="preserve">The lineage API response is typed as LineageResponse and contains three top-level fields:</w:t>
      </w:r>
    </w:p>
    <w:p>
      <w:pPr>
        <w:pStyle w:val="ListParagraph"/>
        <w:numPr>
          <w:ilvl w:val="0"/>
          <w:numId w:val="2"/>
        </w:numPr>
        <w:spacing w:after="60" w:before="40"/>
      </w:pPr>
      <w:r>
        <w:rPr>
          <w:rFonts w:ascii="Arial" w:cs="Arial" w:eastAsia="Arial" w:hAnsi="Arial"/>
          <w:color w:val="1A1A2E"/>
          <w:sz w:val="22"/>
          <w:szCs w:val="22"/>
        </w:rPr>
        <w:t xml:space="preserve">nodes — An array of LineageNode objects, each with a unique id (the fully qualified object name), a type indicating the Snowflake object category (table, view, stream, etc.), and a distance integer indicating the number of hops from the root object.</w:t>
      </w:r>
    </w:p>
    <w:p>
      <w:pPr>
        <w:pStyle w:val="ListParagraph"/>
        <w:numPr>
          <w:ilvl w:val="0"/>
          <w:numId w:val="2"/>
        </w:numPr>
        <w:spacing w:after="60" w:before="40"/>
      </w:pPr>
      <w:r>
        <w:rPr>
          <w:rFonts w:ascii="Arial" w:cs="Arial" w:eastAsia="Arial" w:hAnsi="Arial"/>
          <w:color w:val="1A1A2E"/>
          <w:sz w:val="22"/>
          <w:szCs w:val="22"/>
        </w:rPr>
        <w:t xml:space="preserve">edges — An array of LineageEdge objects, each specifying a source node id and a target node id. Edges are directional and represent data flow from source to target.</w:t>
      </w:r>
    </w:p>
    <w:p>
      <w:pPr>
        <w:pStyle w:val="ListParagraph"/>
        <w:numPr>
          <w:ilvl w:val="0"/>
          <w:numId w:val="2"/>
        </w:numPr>
        <w:spacing w:after="60" w:before="40"/>
      </w:pPr>
      <w:r>
        <w:rPr>
          <w:rFonts w:ascii="Arial" w:cs="Arial" w:eastAsia="Arial" w:hAnsi="Arial"/>
          <w:color w:val="1A1A2E"/>
          <w:sz w:val="22"/>
          <w:szCs w:val="22"/>
        </w:rPr>
        <w:t xml:space="preserve">meta — An optional LineageMeta object providing contextual information about the query that produced the graph: the database, schema, object name, object type, direction (upstream, downstream, or both), and maximum traversal depth.</w:t>
      </w:r>
    </w:p>
    <w:p>
      <w:pPr>
        <w:pStyle w:val="Heading2"/>
        <w:spacing w:after="120" w:before="280"/>
      </w:pPr>
      <w:r>
        <w:rPr>
          <w:rFonts w:ascii="Arial" w:cs="Arial" w:eastAsia="Arial" w:hAnsi="Arial"/>
          <w:b/>
          <w:bCs/>
          <w:color w:val="2E75B6"/>
          <w:sz w:val="26"/>
          <w:szCs w:val="26"/>
        </w:rPr>
        <w:t xml:space="preserve">12.2 XYFlow Graph Rendering</w:t>
      </w:r>
    </w:p>
    <w:p>
      <w:pPr>
        <w:spacing w:after="120" w:before="80"/>
      </w:pPr>
      <w:r>
        <w:rPr>
          <w:rFonts w:ascii="Arial" w:cs="Arial" w:eastAsia="Arial" w:hAnsi="Arial"/>
          <w:color w:val="1A1A2E"/>
          <w:sz w:val="22"/>
          <w:szCs w:val="22"/>
        </w:rPr>
        <w:t xml:space="preserve">The raw LineageResponse is transformed into XYFlow's required format by a useMemo-wrapped transformation. Each LineageNode is mapped to an XYFlow node with its id, a data.label set to the node's id string, a data.type field for icon selection, and a position computed by the Dagre auto-layout algorithm. Dagre arranges nodes in a hierarchical left-to-right layout based on edge direction, ensuring the graph is legible without manual positioning.</w:t>
      </w:r>
    </w:p>
    <w:p>
      <w:pPr>
        <w:spacing w:after="120" w:before="80"/>
      </w:pPr>
      <w:r>
        <w:rPr>
          <w:rFonts w:ascii="Arial" w:cs="Arial" w:eastAsia="Arial" w:hAnsi="Arial"/>
          <w:color w:val="1A1A2E"/>
          <w:sz w:val="22"/>
          <w:szCs w:val="22"/>
        </w:rPr>
        <w:t xml:space="preserve">Each LineageEdge is mapped to an XYFlow edge with an id composed from the source and target ids, animated: true to render a moving dash animation indicating data flow direction, and default edge styling.</w:t>
      </w:r>
    </w:p>
    <w:p>
      <w:pPr>
        <w:spacing w:after="120" w:before="80"/>
      </w:pPr>
      <w:r>
        <w:rPr>
          <w:rFonts w:ascii="Arial" w:cs="Arial" w:eastAsia="Arial" w:hAnsi="Arial"/>
          <w:color w:val="1A1A2E"/>
          <w:sz w:val="22"/>
          <w:szCs w:val="22"/>
        </w:rPr>
        <w:t xml:space="preserve">XYFlow is configured with three built-in plugins: Background (dotted grid backdrop), Controls (zoom-in, zoom-out, fit-view, and lock buttons), and MiniMap (a thumbnail overview of the full graph in the lower-right corner). The fitView prop is set so all nodes are visible on initial render, regardless of graph size.</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13. Settings and Access Control Pages</w:t>
      </w:r>
    </w:p>
    <w:p>
      <w:pPr>
        <w:pStyle w:val="Heading2"/>
        <w:spacing w:after="120" w:before="280"/>
      </w:pPr>
      <w:r>
        <w:rPr>
          <w:rFonts w:ascii="Arial" w:cs="Arial" w:eastAsia="Arial" w:hAnsi="Arial"/>
          <w:b/>
          <w:bCs/>
          <w:color w:val="2E75B6"/>
          <w:sz w:val="26"/>
          <w:szCs w:val="26"/>
        </w:rPr>
        <w:t xml:space="preserve">13.1 Settings ( /settings )</w:t>
      </w:r>
    </w:p>
    <w:p>
      <w:pPr>
        <w:spacing w:after="120" w:before="80"/>
      </w:pPr>
      <w:r>
        <w:rPr>
          <w:rFonts w:ascii="Arial" w:cs="Arial" w:eastAsia="Arial" w:hAnsi="Arial"/>
          <w:color w:val="1A1A2E"/>
          <w:sz w:val="22"/>
          <w:szCs w:val="22"/>
        </w:rPr>
        <w:t xml:space="preserve">The Settings page contains two independently rendered tabs: Notifications and Models. Both tabs are accessible to all authenticated users regardless of role.</w:t>
      </w:r>
    </w:p>
    <w:p>
      <w:pPr>
        <w:pStyle w:val="Heading3"/>
        <w:spacing w:after="100" w:before="200"/>
      </w:pPr>
      <w:r>
        <w:rPr>
          <w:rFonts w:ascii="Arial" w:cs="Arial" w:eastAsia="Arial" w:hAnsi="Arial"/>
          <w:b/>
          <w:bCs/>
          <w:color w:val="1A1A2E"/>
          <w:sz w:val="22"/>
          <w:szCs w:val="22"/>
        </w:rPr>
        <w:t xml:space="preserve">13.1.1 Models Tab</w:t>
      </w:r>
    </w:p>
    <w:p>
      <w:pPr>
        <w:spacing w:after="120" w:before="80"/>
      </w:pPr>
      <w:r>
        <w:rPr>
          <w:rFonts w:ascii="Arial" w:cs="Arial" w:eastAsia="Arial" w:hAnsi="Arial"/>
          <w:color w:val="1A1A2E"/>
          <w:sz w:val="22"/>
          <w:szCs w:val="22"/>
        </w:rPr>
        <w:t xml:space="preserve">The Models tab allows users to select up to three AI models to use during Experimentation sessions. The full list of available models is fetched from the models API on mount. Each model is rendered as a toggleable card; clicking a card selects or deselects it, subject to the MAX_SELECTED_MODELS limit of 3.</w:t>
      </w:r>
    </w:p>
    <w:p>
      <w:pPr>
        <w:spacing w:after="120" w:before="80"/>
      </w:pPr>
      <w:r>
        <w:rPr>
          <w:rFonts w:ascii="Arial" w:cs="Arial" w:eastAsia="Arial" w:hAnsi="Arial"/>
          <w:color w:val="1A1A2E"/>
          <w:sz w:val="22"/>
          <w:szCs w:val="22"/>
        </w:rPr>
        <w:t xml:space="preserve">The current selection is persisted to localStorage under the selectedModels key. After every selection change, a custom window event (selectedModelsChanged) is dispatched. The Experimentation page listens for this event and updates its own selectedModels state from localStorage, synchronising the two pages within the same browser tab session without requiring a global context update.</w:t>
      </w:r>
    </w:p>
    <w:p>
      <w:pPr>
        <w:pStyle w:val="Heading3"/>
        <w:spacing w:after="100" w:before="200"/>
      </w:pPr>
      <w:r>
        <w:rPr>
          <w:rFonts w:ascii="Arial" w:cs="Arial" w:eastAsia="Arial" w:hAnsi="Arial"/>
          <w:b/>
          <w:bCs/>
          <w:color w:val="1A1A2E"/>
          <w:sz w:val="22"/>
          <w:szCs w:val="22"/>
        </w:rPr>
        <w:t xml:space="preserve">13.1.2 Notifications Tab</w:t>
      </w:r>
    </w:p>
    <w:p>
      <w:pPr>
        <w:spacing w:after="120" w:before="80"/>
      </w:pPr>
      <w:r>
        <w:rPr>
          <w:rFonts w:ascii="Arial" w:cs="Arial" w:eastAsia="Arial" w:hAnsi="Arial"/>
          <w:color w:val="1A1A2E"/>
          <w:sz w:val="22"/>
          <w:szCs w:val="22"/>
        </w:rPr>
        <w:t xml:space="preserve">The Notifications tab provides a form for configuring email alert preferences. Users can enter an email address and toggle notifications on or off. On save, the form submits to the /api/save-notification-settings endpoint. This tab currently uses a direct fetch() call and is flagged in the refactoring backlog for migration to apiClient to gain consistent error handling and toast notifications.</w:t>
      </w:r>
    </w:p>
    <w:p>
      <w:pPr>
        <w:pStyle w:val="Heading2"/>
        <w:spacing w:after="120" w:before="280"/>
      </w:pPr>
      <w:r>
        <w:rPr>
          <w:rFonts w:ascii="Arial" w:cs="Arial" w:eastAsia="Arial" w:hAnsi="Arial"/>
          <w:b/>
          <w:bCs/>
          <w:color w:val="2E75B6"/>
          <w:sz w:val="26"/>
          <w:szCs w:val="26"/>
        </w:rPr>
        <w:t xml:space="preserve">13.2 AccessControl ( /access-control )</w:t>
      </w:r>
    </w:p>
    <w:p>
      <w:pPr>
        <w:spacing w:after="120" w:before="80"/>
      </w:pPr>
      <w:r>
        <w:rPr>
          <w:rFonts w:ascii="Arial" w:cs="Arial" w:eastAsia="Arial" w:hAnsi="Arial"/>
          <w:color w:val="1A1A2E"/>
          <w:sz w:val="22"/>
          <w:szCs w:val="22"/>
        </w:rPr>
        <w:t xml:space="preserve">AccessControl is an admin-only page protected by the RequireAdmin route guard (which checks that currentRole is RAISE_ADMIN). It provides a full permissions management interface rendered as a matrix table where rows represent pages and columns represent roles.</w:t>
      </w:r>
    </w:p>
    <w:p>
      <w:pPr>
        <w:pStyle w:val="Heading3"/>
        <w:spacing w:after="100" w:before="200"/>
      </w:pPr>
      <w:r>
        <w:rPr>
          <w:rFonts w:ascii="Arial" w:cs="Arial" w:eastAsia="Arial" w:hAnsi="Arial"/>
          <w:b/>
          <w:bCs/>
          <w:color w:val="1A1A2E"/>
          <w:sz w:val="22"/>
          <w:szCs w:val="22"/>
        </w:rPr>
        <w:t xml:space="preserve">13.2.1 Permissions Matrix</w:t>
      </w:r>
    </w:p>
    <w:p>
      <w:pPr>
        <w:spacing w:after="120" w:before="80"/>
      </w:pPr>
      <w:r>
        <w:rPr>
          <w:rFonts w:ascii="Arial" w:cs="Arial" w:eastAsia="Arial" w:hAnsi="Arial"/>
          <w:color w:val="1A1A2E"/>
          <w:sz w:val="22"/>
          <w:szCs w:val="22"/>
        </w:rPr>
        <w:t xml:space="preserve">The matrix is built from the permissionRows array in AppContext, which contains the raw permission records for all roles and pages. The unique role names and page names are extracted from this array to define the table's column and row dimensions dynamically, so the matrix automatically reflects new roles or pages added to the backend without requiring a frontend code change.</w:t>
      </w:r>
    </w:p>
    <w:p>
      <w:pPr>
        <w:spacing w:after="120" w:before="80"/>
      </w:pPr>
      <w:r>
        <w:rPr>
          <w:rFonts w:ascii="Arial" w:cs="Arial" w:eastAsia="Arial" w:hAnsi="Arial"/>
          <w:color w:val="1A1A2E"/>
          <w:sz w:val="22"/>
          <w:szCs w:val="22"/>
        </w:rPr>
        <w:t xml:space="preserve">Each cell in the matrix renders a Material UI Switch component. Toggling a switch calls RbacAPI.updatePermission() with the affected role name, page name, and new boolean value, then immediately calls refreshPermissions() to update AppContext's permissionRows and permission maps. This ensures the Sidebar's nav filter and all RequirePermission guards reflect the change without requiring a page reload.</w:t>
      </w:r>
    </w:p>
    <w:p>
      <w:pPr>
        <w:spacing w:after="120" w:before="80"/>
      </w:pPr>
      <w:r>
        <w:rPr>
          <w:rFonts w:ascii="Arial" w:cs="Arial" w:eastAsia="Arial" w:hAnsi="Arial"/>
          <w:color w:val="1A1A2E"/>
          <w:sz w:val="22"/>
          <w:szCs w:val="22"/>
        </w:rPr>
        <w:t xml:space="preserve">The page also provides a Preview As button per role column. Clicking it calls AppContext's setEffectiveRole() with the selected role name, persists it to localStorage, and navigates the admin to the Home page. From there, the admin can observe the full UI from that role's perspective, with the Sidebar badge indicating the active preview. Clicking a Clear Preview button (also in the Sidebar when a preview is active) resets effectiveRole to null.</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14. Shared UI Component Library</w:t>
      </w:r>
    </w:p>
    <w:p>
      <w:pPr>
        <w:spacing w:after="120" w:before="80"/>
      </w:pPr>
      <w:r>
        <w:rPr>
          <w:rFonts w:ascii="Arial" w:cs="Arial" w:eastAsia="Arial" w:hAnsi="Arial"/>
          <w:color w:val="1A1A2E"/>
          <w:sz w:val="22"/>
          <w:szCs w:val="22"/>
        </w:rPr>
        <w:t xml:space="preserve">The src/components/ui/ directory contains reusable, domain-agnostic UI components consumed by multiple pages. These components are designed to be fully controlled (state owned by the parent) and accept all configuration through typed props.</w:t>
      </w:r>
    </w:p>
    <w:p>
      <w:pPr>
        <w:pStyle w:val="Heading2"/>
        <w:spacing w:after="120" w:before="280"/>
      </w:pPr>
      <w:r>
        <w:rPr>
          <w:rFonts w:ascii="Arial" w:cs="Arial" w:eastAsia="Arial" w:hAnsi="Arial"/>
          <w:b/>
          <w:bCs/>
          <w:color w:val="2E75B6"/>
          <w:sz w:val="26"/>
          <w:szCs w:val="26"/>
        </w:rPr>
        <w:t xml:space="preserve">14.1 Dropdown Component</w:t>
      </w:r>
    </w:p>
    <w:p>
      <w:pPr>
        <w:spacing w:after="120" w:before="80"/>
      </w:pPr>
      <w:r>
        <w:rPr>
          <w:rFonts w:ascii="Arial" w:cs="Arial" w:eastAsia="Arial" w:hAnsi="Arial"/>
          <w:color w:val="1A1A2E"/>
          <w:sz w:val="22"/>
          <w:szCs w:val="22"/>
        </w:rPr>
        <w:t xml:space="preserve">Dropdown is a Material UI Select wrapper that uses a TypeScript discriminated union to enforce type-safe single-select versus multi-select usage at compile time. When the multiple prop is false (or absent), the value prop is typed as string and the onChange callback receives a string. When multiple is true, both are typed as string[]. This pattern prevents accidental type mismatches that would otherwise only surface at runtime.</w:t>
      </w:r>
    </w:p>
    <w:p>
      <w:pPr>
        <w:spacing w:after="120" w:before="80"/>
      </w:pPr>
      <w:r>
        <w:rPr>
          <w:rFonts w:ascii="Arial" w:cs="Arial" w:eastAsia="Arial" w:hAnsi="Arial"/>
          <w:color w:val="1A1A2E"/>
          <w:sz w:val="22"/>
          <w:szCs w:val="22"/>
        </w:rPr>
        <w:t xml:space="preserve">The component supports a loading prop that displays a circular progress indicator inside the select field while options are being fetched. It also accepts a disabled prop, used by PipelineSection to disable the pipeline and prompt selectors until a chatbot is selected.</w:t>
      </w:r>
    </w:p>
    <w:p>
      <w:pPr>
        <w:pStyle w:val="Heading2"/>
        <w:spacing w:after="120" w:before="280"/>
      </w:pPr>
      <w:r>
        <w:rPr>
          <w:rFonts w:ascii="Arial" w:cs="Arial" w:eastAsia="Arial" w:hAnsi="Arial"/>
          <w:b/>
          <w:bCs/>
          <w:color w:val="2E75B6"/>
          <w:sz w:val="26"/>
          <w:szCs w:val="26"/>
        </w:rPr>
        <w:t xml:space="preserve">14.2 GenericChart Component</w:t>
      </w:r>
    </w:p>
    <w:p>
      <w:pPr>
        <w:spacing w:after="120" w:before="80"/>
      </w:pPr>
      <w:r>
        <w:rPr>
          <w:rFonts w:ascii="Arial" w:cs="Arial" w:eastAsia="Arial" w:hAnsi="Arial"/>
          <w:color w:val="1A1A2E"/>
          <w:sz w:val="22"/>
          <w:szCs w:val="22"/>
        </w:rPr>
        <w:t xml:space="preserve">GenericChart is a Recharts ComposedChart wrapper that supports bar, line, and area chart types through a single component interface. The chart type, axis data keys, colours, axis labels, formatters, and additional Recharts props are all configurable. When multiple yKeys are provided, the component renders one series per key, enabling multi-line or multi-bar charts from a single component instance.</w:t>
      </w:r>
    </w:p>
    <w:p>
      <w:pPr>
        <w:spacing w:after="120" w:before="80"/>
      </w:pPr>
      <w:r>
        <w:rPr>
          <w:rFonts w:ascii="Arial" w:cs="Arial" w:eastAsia="Arial" w:hAnsi="Arial"/>
          <w:color w:val="1A1A2E"/>
          <w:sz w:val="22"/>
          <w:szCs w:val="22"/>
        </w:rPr>
        <w:t xml:space="preserve">Three specialised chart wrappers are built on top of GenericChart for the Home page dashboard: CSATBarChart (bar chart of monthly CSAT scores), UserTrendAreaChart (area chart of monthly active users), and TokenTrendLineChart (line chart of monthly token usage with the formatNumber Y-axis formatter applied).</w:t>
      </w:r>
    </w:p>
    <w:p>
      <w:pPr>
        <w:pStyle w:val="Heading2"/>
        <w:spacing w:after="120" w:before="280"/>
      </w:pPr>
      <w:r>
        <w:rPr>
          <w:rFonts w:ascii="Arial" w:cs="Arial" w:eastAsia="Arial" w:hAnsi="Arial"/>
          <w:b/>
          <w:bCs/>
          <w:color w:val="2E75B6"/>
          <w:sz w:val="26"/>
          <w:szCs w:val="26"/>
        </w:rPr>
        <w:t xml:space="preserve">14.3 DonutChart Component</w:t>
      </w:r>
    </w:p>
    <w:p>
      <w:pPr>
        <w:spacing w:after="120" w:before="80"/>
      </w:pPr>
      <w:r>
        <w:rPr>
          <w:rFonts w:ascii="Arial" w:cs="Arial" w:eastAsia="Arial" w:hAnsi="Arial"/>
          <w:color w:val="1A1A2E"/>
          <w:sz w:val="22"/>
          <w:szCs w:val="22"/>
        </w:rPr>
        <w:t xml:space="preserve">DonutChart renders a Recharts PieChart in donut configuration (with an inner radius set to create the hole) and adds automatic percentage labels positioned at the outer edge of each segment. Segments smaller than 5% of the total suppress their label to avoid visual clutter. A custom legend is rendered below the chart showing each segment's colour swatch and name, since Recharts' built-in legend is not used in order to support custom styling.</w:t>
      </w:r>
    </w:p>
    <w:p>
      <w:pPr>
        <w:pStyle w:val="Heading2"/>
        <w:spacing w:after="120" w:before="280"/>
      </w:pPr>
      <w:r>
        <w:rPr>
          <w:rFonts w:ascii="Arial" w:cs="Arial" w:eastAsia="Arial" w:hAnsi="Arial"/>
          <w:b/>
          <w:bCs/>
          <w:color w:val="2E75B6"/>
          <w:sz w:val="26"/>
          <w:szCs w:val="26"/>
        </w:rPr>
        <w:t xml:space="preserve">14.4 RadioCard Component</w:t>
      </w:r>
    </w:p>
    <w:p>
      <w:pPr>
        <w:spacing w:after="120" w:before="80"/>
      </w:pPr>
      <w:r>
        <w:rPr>
          <w:rFonts w:ascii="Arial" w:cs="Arial" w:eastAsia="Arial" w:hAnsi="Arial"/>
          <w:color w:val="1A1A2E"/>
          <w:sz w:val="22"/>
          <w:szCs w:val="22"/>
        </w:rPr>
        <w:t xml:space="preserve">RadioCard is an accessible card-style radio button that wraps a Material UI Radio within a styled div container. It implements WCAG keyboard navigation by handling both Space and Enter keydown events to trigger selection, and uses aria-checked and role='radio' attributes for screen reader compatibility. The selected card applies a highlighted border and background colour via the checked CSS class.</w:t>
      </w:r>
    </w:p>
    <w:p>
      <w:pPr>
        <w:pStyle w:val="Heading2"/>
        <w:spacing w:after="120" w:before="280"/>
      </w:pPr>
      <w:r>
        <w:rPr>
          <w:rFonts w:ascii="Arial" w:cs="Arial" w:eastAsia="Arial" w:hAnsi="Arial"/>
          <w:b/>
          <w:bCs/>
          <w:color w:val="2E75B6"/>
          <w:sz w:val="26"/>
          <w:szCs w:val="26"/>
        </w:rPr>
        <w:t xml:space="preserve">14.5 PlanTab Component</w:t>
      </w:r>
    </w:p>
    <w:p>
      <w:pPr>
        <w:spacing w:after="120" w:before="80"/>
      </w:pPr>
      <w:r>
        <w:rPr>
          <w:rFonts w:ascii="Arial" w:cs="Arial" w:eastAsia="Arial" w:hAnsi="Arial"/>
          <w:color w:val="1A1A2E"/>
          <w:sz w:val="22"/>
          <w:szCs w:val="22"/>
        </w:rPr>
        <w:t xml:space="preserve">PlanTab displays the query execution plan returned by the TalkToData backend for a given natural-language query. It renders the plan text inside a &lt;pre&gt;&lt;code&gt; block to preserve whitespace and indentation, using a monospaced font for readability. The query ID (if provided) is displayed above the code block for traceability. If no plan text is provided or the string is empty after trimming, the component renders a 'No plan to display' fallback message instead.</w:t>
      </w:r>
    </w:p>
    <w:p>
      <w:pPr>
        <w:pStyle w:val="Heading2"/>
        <w:spacing w:after="120" w:before="280"/>
      </w:pPr>
      <w:r>
        <w:rPr>
          <w:rFonts w:ascii="Arial" w:cs="Arial" w:eastAsia="Arial" w:hAnsi="Arial"/>
          <w:b/>
          <w:bCs/>
          <w:color w:val="2E75B6"/>
          <w:sz w:val="26"/>
          <w:szCs w:val="26"/>
        </w:rPr>
        <w:t xml:space="preserve">14.6 ErrorBoundary Component</w:t>
      </w:r>
    </w:p>
    <w:p>
      <w:pPr>
        <w:spacing w:after="120" w:before="80"/>
      </w:pPr>
      <w:r>
        <w:rPr>
          <w:rFonts w:ascii="Arial" w:cs="Arial" w:eastAsia="Arial" w:hAnsi="Arial"/>
          <w:color w:val="1A1A2E"/>
          <w:sz w:val="22"/>
          <w:szCs w:val="22"/>
        </w:rPr>
        <w:t xml:space="preserve">ErrorBoundary is a React class component that wraps the entire application provider tree. It implements the static getDerivedStateFromError() lifecycle to catch render-time exceptions thrown by any descendant component and set the hasError flag in state, switching the render to a recovery UI. The componentDidCatch() lifecycle calls Sentry.captureException() with the error and component info, ensuring all unhandled render errors are reported to the Sentry error-tracking service in production.</w:t>
      </w:r>
    </w:p>
    <w:p>
      <w:pPr>
        <w:spacing w:after="120" w:before="80"/>
      </w:pPr>
      <w:r>
        <w:rPr>
          <w:rFonts w:ascii="Arial" w:cs="Arial" w:eastAsia="Arial" w:hAnsi="Arial"/>
          <w:color w:val="1A1A2E"/>
          <w:sz w:val="22"/>
          <w:szCs w:val="22"/>
        </w:rPr>
        <w:t xml:space="preserve">The recovery UI displays an error icon, the exception message, and a Reload button that calls window.location.reload(). This prevents a crashed component subtree from leaving the user with a blank or broken page.</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15. Styling System</w:t>
      </w:r>
    </w:p>
    <w:p>
      <w:pPr>
        <w:spacing w:after="120" w:before="80"/>
      </w:pPr>
      <w:r>
        <w:rPr>
          <w:rFonts w:ascii="Arial" w:cs="Arial" w:eastAsia="Arial" w:hAnsi="Arial"/>
          <w:color w:val="1A1A2E"/>
          <w:sz w:val="22"/>
          <w:szCs w:val="22"/>
        </w:rPr>
        <w:t xml:space="preserve">All visual styling is implemented using SCSS Modules, providing locally scoped class names that prevent cross-component style leakage. A set of global SCSS files in src/styles/ defines shared design tokens and mixins that all component stylesheets import.</w:t>
      </w:r>
    </w:p>
    <w:p>
      <w:pPr>
        <w:pStyle w:val="Heading2"/>
        <w:spacing w:after="120" w:before="280"/>
      </w:pPr>
      <w:r>
        <w:rPr>
          <w:rFonts w:ascii="Arial" w:cs="Arial" w:eastAsia="Arial" w:hAnsi="Arial"/>
          <w:b/>
          <w:bCs/>
          <w:color w:val="2E75B6"/>
          <w:sz w:val="26"/>
          <w:szCs w:val="26"/>
        </w:rPr>
        <w:t xml:space="preserve">15.1 Design Tokens (tokens.scss)</w:t>
      </w:r>
    </w:p>
    <w:p>
      <w:pPr>
        <w:spacing w:after="120" w:before="80"/>
      </w:pPr>
      <w:r>
        <w:rPr>
          <w:rFonts w:ascii="Arial" w:cs="Arial" w:eastAsia="Arial" w:hAnsi="Arial"/>
          <w:color w:val="1A1A2E"/>
          <w:sz w:val="22"/>
          <w:szCs w:val="22"/>
        </w:rPr>
        <w:t xml:space="preserve">tokens.scss is the single source of truth for all visual constants. Component stylesheets import it via @use '../styles/tokens' as * and reference its variables with the $ prefix. Centralising values here means a palette change propagates across the entire codebase by editing one file.</w:t>
      </w:r>
    </w:p>
    <w:p>
      <w:pPr>
        <w:spacing w:after="120" w:before="80"/>
      </w:pPr>
      <w:r>
        <w:rPr>
          <w:rFonts w:ascii="Arial" w:cs="Arial" w:eastAsia="Arial" w:hAnsi="Arial"/>
          <w:color w:val="1A1A2E"/>
          <w:sz w:val="22"/>
          <w:szCs w:val="22"/>
        </w:rPr>
        <w:t xml:space="preserve">The token categories are:</w:t>
      </w:r>
    </w:p>
    <w:p>
      <w:pPr>
        <w:pStyle w:val="ListParagraph"/>
        <w:numPr>
          <w:ilvl w:val="0"/>
          <w:numId w:val="2"/>
        </w:numPr>
        <w:spacing w:after="60" w:before="40"/>
      </w:pPr>
      <w:r>
        <w:rPr>
          <w:rFonts w:ascii="Arial" w:cs="Arial" w:eastAsia="Arial" w:hAnsi="Arial"/>
          <w:color w:val="1A1A2E"/>
          <w:sz w:val="22"/>
          <w:szCs w:val="22"/>
        </w:rPr>
        <w:t xml:space="preserve">Spacing — An 8-point base scale ($spacing-1 = 0.25rem through $spacing-16 = 4rem), used for all margin, padding, and gap values to enforce consistent rhythm.</w:t>
      </w:r>
    </w:p>
    <w:p>
      <w:pPr>
        <w:pStyle w:val="ListParagraph"/>
        <w:numPr>
          <w:ilvl w:val="0"/>
          <w:numId w:val="2"/>
        </w:numPr>
        <w:spacing w:after="60" w:before="40"/>
      </w:pPr>
      <w:r>
        <w:rPr>
          <w:rFonts w:ascii="Arial" w:cs="Arial" w:eastAsia="Arial" w:hAnsi="Arial"/>
          <w:color w:val="1A1A2E"/>
          <w:sz w:val="22"/>
          <w:szCs w:val="22"/>
        </w:rPr>
        <w:t xml:space="preserve">Typography — Font size steps from $font-size-xs (0.75rem) to $font-size-xl (1.25rem), font weight constants (normal, medium, semibold, bold), and line height variants.</w:t>
      </w:r>
    </w:p>
    <w:p>
      <w:pPr>
        <w:pStyle w:val="ListParagraph"/>
        <w:numPr>
          <w:ilvl w:val="0"/>
          <w:numId w:val="2"/>
        </w:numPr>
        <w:spacing w:after="60" w:before="40"/>
      </w:pPr>
      <w:r>
        <w:rPr>
          <w:rFonts w:ascii="Arial" w:cs="Arial" w:eastAsia="Arial" w:hAnsi="Arial"/>
          <w:color w:val="1A1A2E"/>
          <w:sz w:val="22"/>
          <w:szCs w:val="22"/>
        </w:rPr>
        <w:t xml:space="preserve">Colours — Primary action colour ($color-primary: #3B82F6), dark variant for hover/active states, background and surface colours, text primary and secondary colours, border grey, and semantic error red.</w:t>
      </w:r>
    </w:p>
    <w:p>
      <w:pPr>
        <w:pStyle w:val="ListParagraph"/>
        <w:numPr>
          <w:ilvl w:val="0"/>
          <w:numId w:val="2"/>
        </w:numPr>
        <w:spacing w:after="60" w:before="40"/>
      </w:pPr>
      <w:r>
        <w:rPr>
          <w:rFonts w:ascii="Arial" w:cs="Arial" w:eastAsia="Arial" w:hAnsi="Arial"/>
          <w:color w:val="1A1A2E"/>
          <w:sz w:val="22"/>
          <w:szCs w:val="22"/>
        </w:rPr>
        <w:t xml:space="preserve">Layout — $header-height (64px) and $sidebar-width (240px) / $sidebar-collapsed-width (60px) ensure the Layout component's grid calculations are consistent with the Sidebar's CSS transitions.</w:t>
      </w:r>
    </w:p>
    <w:p>
      <w:pPr>
        <w:pStyle w:val="ListParagraph"/>
        <w:numPr>
          <w:ilvl w:val="0"/>
          <w:numId w:val="2"/>
        </w:numPr>
        <w:spacing w:after="60" w:before="40"/>
      </w:pPr>
      <w:r>
        <w:rPr>
          <w:rFonts w:ascii="Arial" w:cs="Arial" w:eastAsia="Arial" w:hAnsi="Arial"/>
          <w:color w:val="1A1A2E"/>
          <w:sz w:val="22"/>
          <w:szCs w:val="22"/>
        </w:rPr>
        <w:t xml:space="preserve">Shadows — Two shadow levels ($shadow-sm for subtle depth and $shadow-md for elevated cards and modals) defined as rgba() values compatible with both light and dark backgrounds.</w:t>
      </w:r>
    </w:p>
    <w:p>
      <w:pPr>
        <w:pStyle w:val="Heading2"/>
        <w:spacing w:after="120" w:before="280"/>
      </w:pPr>
      <w:r>
        <w:rPr>
          <w:rFonts w:ascii="Arial" w:cs="Arial" w:eastAsia="Arial" w:hAnsi="Arial"/>
          <w:b/>
          <w:bCs/>
          <w:color w:val="2E75B6"/>
          <w:sz w:val="26"/>
          <w:szCs w:val="26"/>
        </w:rPr>
        <w:t xml:space="preserve">15.2 Key SCSS Mixins</w:t>
      </w:r>
    </w:p>
    <w:p>
      <w:pPr>
        <w:spacing w:after="120" w:before="80"/>
      </w:pPr>
      <w:r>
        <w:rPr>
          <w:rFonts w:ascii="Arial" w:cs="Arial" w:eastAsia="Arial" w:hAnsi="Arial"/>
          <w:color w:val="1A1A2E"/>
          <w:sz w:val="22"/>
          <w:szCs w:val="22"/>
        </w:rPr>
        <w:t xml:space="preserve">mixins.scss provides reusable style patterns consumed by component stylesheets via @include:</w:t>
      </w:r>
    </w:p>
    <w:p>
      <w:pPr>
        <w:pStyle w:val="ListParagraph"/>
        <w:numPr>
          <w:ilvl w:val="0"/>
          <w:numId w:val="2"/>
        </w:numPr>
        <w:spacing w:after="60" w:before="40"/>
      </w:pPr>
      <w:r>
        <w:rPr>
          <w:rFonts w:ascii="Arial" w:cs="Arial" w:eastAsia="Arial" w:hAnsi="Arial"/>
          <w:color w:val="1A1A2E"/>
          <w:sz w:val="22"/>
          <w:szCs w:val="22"/>
        </w:rPr>
        <w:t xml:space="preserve">flex-center, flex-between, flex-start — Common flexbox alignment patterns, used throughout layout components and card headers.</w:t>
      </w:r>
    </w:p>
    <w:p>
      <w:pPr>
        <w:pStyle w:val="ListParagraph"/>
        <w:numPr>
          <w:ilvl w:val="0"/>
          <w:numId w:val="2"/>
        </w:numPr>
        <w:spacing w:after="60" w:before="40"/>
      </w:pPr>
      <w:r>
        <w:rPr>
          <w:rFonts w:ascii="Arial" w:cs="Arial" w:eastAsia="Arial" w:hAnsi="Arial"/>
          <w:color w:val="1A1A2E"/>
          <w:sz w:val="22"/>
          <w:szCs w:val="22"/>
        </w:rPr>
        <w:t xml:space="preserve">respond-below($bp) — A breakpoint mixin that wraps content in a max-width media query using the $breakpoints map (xs: 480px through xl: 1280px).</w:t>
      </w:r>
    </w:p>
    <w:p>
      <w:pPr>
        <w:pStyle w:val="ListParagraph"/>
        <w:numPr>
          <w:ilvl w:val="0"/>
          <w:numId w:val="2"/>
        </w:numPr>
        <w:spacing w:after="60" w:before="40"/>
      </w:pPr>
      <w:r>
        <w:rPr>
          <w:rFonts w:ascii="Arial" w:cs="Arial" w:eastAsia="Arial" w:hAnsi="Arial"/>
          <w:color w:val="1A1A2E"/>
          <w:sz w:val="22"/>
          <w:szCs w:val="22"/>
        </w:rPr>
        <w:t xml:space="preserve">heading-1 and body-text — Typography shorthand mixins for common text roles.</w:t>
      </w:r>
    </w:p>
    <w:p>
      <w:pPr>
        <w:pStyle w:val="ListParagraph"/>
        <w:numPr>
          <w:ilvl w:val="0"/>
          <w:numId w:val="2"/>
        </w:numPr>
        <w:spacing w:after="60" w:before="40"/>
      </w:pPr>
      <w:r>
        <w:rPr>
          <w:rFonts w:ascii="Arial" w:cs="Arial" w:eastAsia="Arial" w:hAnsi="Arial"/>
          <w:color w:val="1A1A2E"/>
          <w:sz w:val="22"/>
          <w:szCs w:val="22"/>
        </w:rPr>
        <w:t xml:space="preserve">visually-hidden — Positions an element off-screen while keeping it accessible to screen readers, used for accessible labels on icon-only controls.</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16. TypeScript Type System</w:t>
      </w:r>
    </w:p>
    <w:p>
      <w:pPr>
        <w:pStyle w:val="Heading2"/>
        <w:spacing w:after="120" w:before="280"/>
      </w:pPr>
      <w:r>
        <w:rPr>
          <w:rFonts w:ascii="Arial" w:cs="Arial" w:eastAsia="Arial" w:hAnsi="Arial"/>
          <w:b/>
          <w:bCs/>
          <w:color w:val="2E75B6"/>
          <w:sz w:val="26"/>
          <w:szCs w:val="26"/>
        </w:rPr>
        <w:t xml:space="preserve">16.1 Type Organisation</w:t>
      </w:r>
    </w:p>
    <w:p>
      <w:pPr>
        <w:spacing w:after="120" w:before="80"/>
      </w:pPr>
      <w:r>
        <w:rPr>
          <w:rFonts w:ascii="Arial" w:cs="Arial" w:eastAsia="Arial" w:hAnsi="Arial"/>
          <w:color w:val="1A1A2E"/>
          <w:sz w:val="22"/>
          <w:szCs w:val="22"/>
        </w:rPr>
        <w:t xml:space="preserve">All TypeScript type definitions are centralised under src/types/ and exported from a barrel index.ts. Domain-specific types are kept in separate files to prevent circular import chains and to make each file's scope 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65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Types Defined</w:t>
            </w:r>
          </w:p>
        </w:tc>
      </w:tr>
      <w:tr>
        <w:tc>
          <w:tcPr>
            <w:tcW w:type="dxa" w:w="2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api.types.ts</w:t>
            </w:r>
          </w:p>
        </w:tc>
        <w:tc>
          <w:tcPr>
            <w:tcW w:type="dxa" w:w="65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ApiResponse&lt;T&gt; generic envelope, ApiError, ErrorCategory enum, ExtendedAxiosRequestConfig</w:t>
            </w:r>
          </w:p>
        </w:tc>
      </w:tr>
      <w:tr>
        <w:tc>
          <w:tcPr>
            <w:tcW w:type="dxa" w:w="2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chatbot.ts</w:t>
            </w:r>
          </w:p>
        </w:tc>
        <w:tc>
          <w:tcPr>
            <w:tcW w:type="dxa" w:w="65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Chatbot, Pipeline, Prompt entity records; ChatbotCreateRequest, ChatbotDeployRequest payloads; ChatbotContextType interface</w:t>
            </w:r>
          </w:p>
        </w:tc>
      </w:tr>
      <w:tr>
        <w:tc>
          <w:tcPr>
            <w:tcW w:type="dxa" w:w="2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common.ts</w:t>
            </w:r>
          </w:p>
        </w:tc>
        <w:tc>
          <w:tcPr>
            <w:tcW w:type="dxa" w:w="65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UserData (Snowflake user record with USERID, USERNAME, LOGINNAME, EMAIL fields)</w:t>
            </w:r>
          </w:p>
        </w:tc>
      </w:tr>
      <w:tr>
        <w:tc>
          <w:tcPr>
            <w:tcW w:type="dxa" w:w="2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dataPreparation.ts</w:t>
            </w:r>
          </w:p>
        </w:tc>
        <w:tc>
          <w:tcPr>
            <w:tcW w:type="dxa" w:w="65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PipelineFormData (all form fields), FormErrors (per-field error strings), FileSourceType enum, TableConfig (text and attribute column selections per table)</w:t>
            </w:r>
          </w:p>
        </w:tc>
      </w:tr>
      <w:tr>
        <w:tc>
          <w:tcPr>
            <w:tcW w:type="dxa" w:w="2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monitoring.types.ts</w:t>
            </w:r>
          </w:p>
        </w:tc>
        <w:tc>
          <w:tcPr>
            <w:tcW w:type="dxa" w:w="65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MetricData, TrendData, AlertData, CSATDataPoint, UserTrendDataPoint for the Home page dashboard</w:t>
            </w:r>
          </w:p>
        </w:tc>
      </w:tr>
      <w:tr>
        <w:tc>
          <w:tcPr>
            <w:tcW w:type="dxa" w:w="2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pages.types.ts</w:t>
            </w:r>
          </w:p>
        </w:tc>
        <w:tc>
          <w:tcPr>
            <w:tcW w:type="dxa" w:w="65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ChatItem (user/bot/thinking fields), DeployedApplication, CostData, SchemasByDb lookup map type</w:t>
            </w:r>
          </w:p>
        </w:tc>
      </w:tr>
      <w:tr>
        <w:tc>
          <w:tcPr>
            <w:tcW w:type="dxa" w:w="2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racompliance.types.ts</w:t>
            </w:r>
          </w:p>
        </w:tc>
        <w:tc>
          <w:tcPr>
            <w:tcW w:type="dxa" w:w="65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RAComplianceData, ComplianceCheckRequest, ComplianceCheckResponse</w:t>
            </w:r>
          </w:p>
        </w:tc>
      </w:tr>
      <w:tr>
        <w:tc>
          <w:tcPr>
            <w:tcW w:type="dxa" w:w="2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pipeline.types.ts</w:t>
            </w:r>
          </w:p>
        </w:tc>
        <w:tc>
          <w:tcPr>
            <w:tcW w:type="dxa" w:w="65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PipelineData, PipelineSubmitRequest, PipelineUpdateRequest (snake_case backend shape)</w:t>
            </w:r>
          </w:p>
        </w:tc>
      </w:tr>
      <w:tr>
        <w:tc>
          <w:tcPr>
            <w:tcW w:type="dxa" w:w="2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lineage.types.ts</w:t>
            </w:r>
          </w:p>
        </w:tc>
        <w:tc>
          <w:tcPr>
            <w:tcW w:type="dxa" w:w="65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LineageNode, LineageEdge, LineageMeta, LineageResponse</w:t>
            </w:r>
          </w:p>
        </w:tc>
      </w:tr>
      <w:tr>
        <w:tc>
          <w:tcPr>
            <w:tcW w:type="dxa" w:w="2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ui.types.ts</w:t>
            </w:r>
          </w:p>
        </w:tc>
        <w:tc>
          <w:tcPr>
            <w:tcW w:type="dxa" w:w="65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DropdownOption (label/value pair), DateRange ({ from, to }), Document (file metadata)</w:t>
            </w:r>
          </w:p>
        </w:tc>
      </w:tr>
      <w:tr>
        <w:tc>
          <w:tcPr>
            <w:tcW w:type="dxa" w:w="28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models.types.ts</w:t>
            </w:r>
          </w:p>
        </w:tc>
        <w:tc>
          <w:tcPr>
            <w:tcW w:type="dxa" w:w="65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ModelMetrics (latency, success rate, token averages), ModelComparisonData (model name + metrics)</w:t>
            </w:r>
          </w:p>
        </w:tc>
      </w:tr>
      <w:tr>
        <w:tc>
          <w:tcPr>
            <w:tcW w:type="dxa" w:w="28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notification.types.ts</w:t>
            </w:r>
          </w:p>
        </w:tc>
        <w:tc>
          <w:tcPr>
            <w:tcW w:type="dxa" w:w="65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NotificationType enum (success, error, warning, info), NotificationConfig, Notification</w:t>
            </w:r>
          </w:p>
        </w:tc>
      </w:tr>
    </w:tbl>
    <w:p>
      <w:r>
        <w:rPr>
          <w:sz w:val="16"/>
          <w:szCs w:val="16"/>
        </w:rPr>
        <w:t xml:space="preserve"/>
      </w:r>
    </w:p>
    <w:p>
      <w:pPr>
        <w:pStyle w:val="Heading2"/>
        <w:spacing w:after="120" w:before="280"/>
      </w:pPr>
      <w:r>
        <w:rPr>
          <w:rFonts w:ascii="Arial" w:cs="Arial" w:eastAsia="Arial" w:hAnsi="Arial"/>
          <w:b/>
          <w:bCs/>
          <w:color w:val="2E75B6"/>
          <w:sz w:val="26"/>
          <w:szCs w:val="26"/>
        </w:rPr>
        <w:t xml:space="preserve">16.2 Key Type Patterns</w:t>
      </w:r>
    </w:p>
    <w:p>
      <w:pPr>
        <w:pStyle w:val="Heading3"/>
        <w:spacing w:after="100" w:before="200"/>
      </w:pPr>
      <w:r>
        <w:rPr>
          <w:rFonts w:ascii="Arial" w:cs="Arial" w:eastAsia="Arial" w:hAnsi="Arial"/>
          <w:b/>
          <w:bCs/>
          <w:color w:val="1A1A2E"/>
          <w:sz w:val="22"/>
          <w:szCs w:val="22"/>
        </w:rPr>
        <w:t xml:space="preserve">16.2.1 Generic API Response Wrapper</w:t>
      </w:r>
    </w:p>
    <w:p>
      <w:pPr>
        <w:spacing w:after="120" w:before="80"/>
      </w:pPr>
      <w:r>
        <w:rPr>
          <w:rFonts w:ascii="Arial" w:cs="Arial" w:eastAsia="Arial" w:hAnsi="Arial"/>
          <w:color w:val="1A1A2E"/>
          <w:sz w:val="22"/>
          <w:szCs w:val="22"/>
        </w:rPr>
        <w:t xml:space="preserve">All backend endpoints return a standardised envelope shape typed as ApiResponse&lt;T&gt;. The envelope contains a success boolean, a data field typed as T (the domain-specific payload), and optional error and message strings. The apiClient.get&lt;T&gt;() and post&lt;T&gt;() methods automatically unwrap this envelope and return data: T directly to callers, so downstream code never needs to access response.data.data explicitly.</w:t>
      </w:r>
    </w:p>
    <w:p>
      <w:pPr>
        <w:pStyle w:val="Heading3"/>
        <w:spacing w:after="100" w:before="200"/>
      </w:pPr>
      <w:r>
        <w:rPr>
          <w:rFonts w:ascii="Arial" w:cs="Arial" w:eastAsia="Arial" w:hAnsi="Arial"/>
          <w:b/>
          <w:bCs/>
          <w:color w:val="1A1A2E"/>
          <w:sz w:val="22"/>
          <w:szCs w:val="22"/>
        </w:rPr>
        <w:t xml:space="preserve">16.2.2 Discriminated Union — Dropdown</w:t>
      </w:r>
    </w:p>
    <w:p>
      <w:pPr>
        <w:spacing w:after="120" w:before="80"/>
      </w:pPr>
      <w:r>
        <w:rPr>
          <w:rFonts w:ascii="Arial" w:cs="Arial" w:eastAsia="Arial" w:hAnsi="Arial"/>
          <w:color w:val="1A1A2E"/>
          <w:sz w:val="22"/>
          <w:szCs w:val="22"/>
        </w:rPr>
        <w:t xml:space="preserve">The DropdownProps type is a discriminated union on the multiple boolean field. When multiple is false (or absent), the TypeScript compiler enforces that value is typed as string and onChange receives a string. When multiple is true, both are typed as string[]. This compile-time enforcement prevents the runtime errors that would occur if a multi-select array were passed to a single-select handler.</w:t>
      </w:r>
    </w:p>
    <w:p>
      <w:pPr>
        <w:pStyle w:val="Heading3"/>
        <w:spacing w:after="100" w:before="200"/>
      </w:pPr>
      <w:r>
        <w:rPr>
          <w:rFonts w:ascii="Arial" w:cs="Arial" w:eastAsia="Arial" w:hAnsi="Arial"/>
          <w:b/>
          <w:bCs/>
          <w:color w:val="1A1A2E"/>
          <w:sz w:val="22"/>
          <w:szCs w:val="22"/>
        </w:rPr>
        <w:t xml:space="preserve">16.2.3 ChatItem — Multi-Model Support</w:t>
      </w:r>
    </w:p>
    <w:p>
      <w:pPr>
        <w:spacing w:after="120" w:before="80"/>
      </w:pPr>
      <w:r>
        <w:rPr>
          <w:rFonts w:ascii="Arial" w:cs="Arial" w:eastAsia="Arial" w:hAnsi="Arial"/>
          <w:color w:val="1A1A2E"/>
          <w:sz w:val="22"/>
          <w:szCs w:val="22"/>
        </w:rPr>
        <w:t xml:space="preserve">The ChatItem interface supports both single-model and multi-model chatbot response shapes within the same type. The bot field is typed as string | Record&lt;string, string&gt;: a plain string for single-model responses, and a map from model name to response text for multi-model comparison mode. The thinking field follows the same union type to support per-model chain-of-thought text from reasoning models such as DeepSeek-R1.</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17. Code Quality and Tooling</w:t>
      </w:r>
    </w:p>
    <w:p>
      <w:pPr>
        <w:pStyle w:val="Heading2"/>
        <w:spacing w:after="120" w:before="280"/>
      </w:pPr>
      <w:r>
        <w:rPr>
          <w:rFonts w:ascii="Arial" w:cs="Arial" w:eastAsia="Arial" w:hAnsi="Arial"/>
          <w:b/>
          <w:bCs/>
          <w:color w:val="2E75B6"/>
          <w:sz w:val="26"/>
          <w:szCs w:val="26"/>
        </w:rPr>
        <w:t xml:space="preserve">17.1 TypeScript Configuration</w:t>
      </w:r>
    </w:p>
    <w:p>
      <w:pPr>
        <w:spacing w:after="120" w:before="80"/>
      </w:pPr>
      <w:r>
        <w:rPr>
          <w:rFonts w:ascii="Arial" w:cs="Arial" w:eastAsia="Arial" w:hAnsi="Arial"/>
          <w:color w:val="1A1A2E"/>
          <w:sz w:val="22"/>
          <w:szCs w:val="22"/>
        </w:rPr>
        <w:t xml:space="preserve">The application uses a strict TypeScript configuration in tsconfig.app.json. The following compiler flags are enabled beyond strict mode:</w:t>
      </w:r>
    </w:p>
    <w:p>
      <w:pPr>
        <w:pStyle w:val="ListParagraph"/>
        <w:numPr>
          <w:ilvl w:val="0"/>
          <w:numId w:val="2"/>
        </w:numPr>
        <w:spacing w:after="60" w:before="40"/>
      </w:pPr>
      <w:r>
        <w:rPr>
          <w:rFonts w:ascii="Arial" w:cs="Arial" w:eastAsia="Arial" w:hAnsi="Arial"/>
          <w:color w:val="1A1A2E"/>
          <w:sz w:val="22"/>
          <w:szCs w:val="22"/>
        </w:rPr>
        <w:t xml:space="preserve">noUnusedLocals and noUnusedParameters — Compile errors on declared but unused variables and function parameters, preventing dead code accumulation.</w:t>
      </w:r>
    </w:p>
    <w:p>
      <w:pPr>
        <w:pStyle w:val="ListParagraph"/>
        <w:numPr>
          <w:ilvl w:val="0"/>
          <w:numId w:val="2"/>
        </w:numPr>
        <w:spacing w:after="60" w:before="40"/>
      </w:pPr>
      <w:r>
        <w:rPr>
          <w:rFonts w:ascii="Arial" w:cs="Arial" w:eastAsia="Arial" w:hAnsi="Arial"/>
          <w:color w:val="1A1A2E"/>
          <w:sz w:val="22"/>
          <w:szCs w:val="22"/>
        </w:rPr>
        <w:t xml:space="preserve">noImplicitReturns — Compile error if any code path in a function with a non-void return type does not return a value.</w:t>
      </w:r>
    </w:p>
    <w:p>
      <w:pPr>
        <w:pStyle w:val="ListParagraph"/>
        <w:numPr>
          <w:ilvl w:val="0"/>
          <w:numId w:val="2"/>
        </w:numPr>
        <w:spacing w:after="60" w:before="40"/>
      </w:pPr>
      <w:r>
        <w:rPr>
          <w:rFonts w:ascii="Arial" w:cs="Arial" w:eastAsia="Arial" w:hAnsi="Arial"/>
          <w:color w:val="1A1A2E"/>
          <w:sz w:val="22"/>
          <w:szCs w:val="22"/>
        </w:rPr>
        <w:t xml:space="preserve">noUncheckedIndexedAccess — Array and object index access returns T | undefined rather than T, forcing null checks before use and preventing runtime undefined access errors.</w:t>
      </w:r>
    </w:p>
    <w:p>
      <w:pPr>
        <w:pStyle w:val="ListParagraph"/>
        <w:numPr>
          <w:ilvl w:val="0"/>
          <w:numId w:val="2"/>
        </w:numPr>
        <w:spacing w:after="60" w:before="40"/>
      </w:pPr>
      <w:r>
        <w:rPr>
          <w:rFonts w:ascii="Arial" w:cs="Arial" w:eastAsia="Arial" w:hAnsi="Arial"/>
          <w:color w:val="1A1A2E"/>
          <w:sz w:val="22"/>
          <w:szCs w:val="22"/>
        </w:rPr>
        <w:t xml:space="preserve">exactOptionalPropertyTypes — Distinguishes between a property being absent and a property explicitly set to undefined, enforcing stricter optional field handling.</w:t>
      </w:r>
    </w:p>
    <w:p>
      <w:pPr>
        <w:pStyle w:val="ListParagraph"/>
        <w:numPr>
          <w:ilvl w:val="0"/>
          <w:numId w:val="2"/>
        </w:numPr>
        <w:spacing w:after="60" w:before="40"/>
      </w:pPr>
      <w:r>
        <w:rPr>
          <w:rFonts w:ascii="Arial" w:cs="Arial" w:eastAsia="Arial" w:hAnsi="Arial"/>
          <w:color w:val="1A1A2E"/>
          <w:sz w:val="22"/>
          <w:szCs w:val="22"/>
        </w:rPr>
        <w:t xml:space="preserve">target: ES2020 and module: ESNext — Targets modern browser environments and preserves native ES module syntax for Vite's module graph.</w:t>
      </w:r>
    </w:p>
    <w:p>
      <w:pPr>
        <w:pStyle w:val="Heading2"/>
        <w:spacing w:after="120" w:before="280"/>
      </w:pPr>
      <w:r>
        <w:rPr>
          <w:rFonts w:ascii="Arial" w:cs="Arial" w:eastAsia="Arial" w:hAnsi="Arial"/>
          <w:b/>
          <w:bCs/>
          <w:color w:val="2E75B6"/>
          <w:sz w:val="26"/>
          <w:szCs w:val="26"/>
        </w:rPr>
        <w:t xml:space="preserve">17.2 ESLint Rules</w:t>
      </w:r>
    </w:p>
    <w:p>
      <w:pPr>
        <w:spacing w:after="120" w:before="80"/>
      </w:pPr>
      <w:r>
        <w:rPr>
          <w:rFonts w:ascii="Arial" w:cs="Arial" w:eastAsia="Arial" w:hAnsi="Arial"/>
          <w:color w:val="1A1A2E"/>
          <w:sz w:val="22"/>
          <w:szCs w:val="22"/>
        </w:rPr>
        <w:t xml:space="preserve">The ESLint configuration enforces the following rules in addition to the recommended TypeScript ESLint and React Hooks rulesets:</w:t>
      </w:r>
    </w:p>
    <w:p>
      <w:pPr>
        <w:pStyle w:val="ListParagraph"/>
        <w:numPr>
          <w:ilvl w:val="0"/>
          <w:numId w:val="2"/>
        </w:numPr>
        <w:spacing w:after="60" w:before="40"/>
      </w:pPr>
      <w:r>
        <w:rPr>
          <w:rFonts w:ascii="Arial" w:cs="Arial" w:eastAsia="Arial" w:hAnsi="Arial"/>
          <w:color w:val="1A1A2E"/>
          <w:sz w:val="22"/>
          <w:szCs w:val="22"/>
        </w:rPr>
        <w:t xml:space="preserve">@typescript-eslint/no-explicit-any set to error — Prevents any from being used anywhere in the codebase, enforcing complete type coverage.</w:t>
      </w:r>
    </w:p>
    <w:p>
      <w:pPr>
        <w:pStyle w:val="ListParagraph"/>
        <w:numPr>
          <w:ilvl w:val="0"/>
          <w:numId w:val="2"/>
        </w:numPr>
        <w:spacing w:after="60" w:before="40"/>
      </w:pPr>
      <w:r>
        <w:rPr>
          <w:rFonts w:ascii="Arial" w:cs="Arial" w:eastAsia="Arial" w:hAnsi="Arial"/>
          <w:color w:val="1A1A2E"/>
          <w:sz w:val="22"/>
          <w:szCs w:val="22"/>
        </w:rPr>
        <w:t xml:space="preserve">@typescript-eslint/no-non-null-assertion set to error — Disallows the ! postfix operator, requiring explicit null checks instead.</w:t>
      </w:r>
    </w:p>
    <w:p>
      <w:pPr>
        <w:pStyle w:val="ListParagraph"/>
        <w:numPr>
          <w:ilvl w:val="0"/>
          <w:numId w:val="2"/>
        </w:numPr>
        <w:spacing w:after="60" w:before="40"/>
      </w:pPr>
      <w:r>
        <w:rPr>
          <w:rFonts w:ascii="Arial" w:cs="Arial" w:eastAsia="Arial" w:hAnsi="Arial"/>
          <w:color w:val="1A1A2E"/>
          <w:sz w:val="22"/>
          <w:szCs w:val="22"/>
        </w:rPr>
        <w:t xml:space="preserve">@typescript-eslint/strict-boolean-expressions set to warn — Flags implicit boolean coercions of strings and numbers in conditionals, reducing subtle bugs.</w:t>
      </w:r>
    </w:p>
    <w:p>
      <w:pPr>
        <w:pStyle w:val="ListParagraph"/>
        <w:numPr>
          <w:ilvl w:val="0"/>
          <w:numId w:val="2"/>
        </w:numPr>
        <w:spacing w:after="60" w:before="40"/>
      </w:pPr>
      <w:r>
        <w:rPr>
          <w:rFonts w:ascii="Arial" w:cs="Arial" w:eastAsia="Arial" w:hAnsi="Arial"/>
          <w:color w:val="1A1A2E"/>
          <w:sz w:val="22"/>
          <w:szCs w:val="22"/>
        </w:rPr>
        <w:t xml:space="preserve">react-hooks/rules-of-hooks set to error and react-hooks/exhaustive-deps set to warn — Enforces correct hook call ordering and complete dependency arrays.</w:t>
      </w:r>
    </w:p>
    <w:p>
      <w:pPr>
        <w:pStyle w:val="ListParagraph"/>
        <w:numPr>
          <w:ilvl w:val="0"/>
          <w:numId w:val="2"/>
        </w:numPr>
        <w:spacing w:after="60" w:before="40"/>
      </w:pPr>
      <w:r>
        <w:rPr>
          <w:rFonts w:ascii="Arial" w:cs="Arial" w:eastAsia="Arial" w:hAnsi="Arial"/>
          <w:color w:val="1A1A2E"/>
          <w:sz w:val="22"/>
          <w:szCs w:val="22"/>
        </w:rPr>
        <w:t xml:space="preserve">no-console set to warn (allow warn, error) — Flags console.log calls, permitting only console.warn and console.error for diagnostic output.</w:t>
      </w:r>
    </w:p>
    <w:p>
      <w:pPr>
        <w:pStyle w:val="ListParagraph"/>
        <w:numPr>
          <w:ilvl w:val="0"/>
          <w:numId w:val="2"/>
        </w:numPr>
        <w:spacing w:after="60" w:before="40"/>
      </w:pPr>
      <w:r>
        <w:rPr>
          <w:rFonts w:ascii="Arial" w:cs="Arial" w:eastAsia="Arial" w:hAnsi="Arial"/>
          <w:color w:val="1A1A2E"/>
          <w:sz w:val="22"/>
          <w:szCs w:val="22"/>
        </w:rPr>
        <w:t xml:space="preserve">prefer-const, eqeqeq, no-eval, no-return-await — Standard best-practice rules for variable declarations, equality checks, security, and async/await correctness.</w:t>
      </w:r>
    </w:p>
    <w:p>
      <w:pPr>
        <w:pStyle w:val="Heading2"/>
        <w:spacing w:after="120" w:before="280"/>
      </w:pPr>
      <w:r>
        <w:rPr>
          <w:rFonts w:ascii="Arial" w:cs="Arial" w:eastAsia="Arial" w:hAnsi="Arial"/>
          <w:b/>
          <w:bCs/>
          <w:color w:val="2E75B6"/>
          <w:sz w:val="26"/>
          <w:szCs w:val="26"/>
        </w:rPr>
        <w:t xml:space="preserve">17.3 Pre-Commit Hooks (Husky)</w:t>
      </w:r>
    </w:p>
    <w:p>
      <w:pPr>
        <w:spacing w:after="120" w:before="80"/>
      </w:pPr>
      <w:r>
        <w:rPr>
          <w:rFonts w:ascii="Arial" w:cs="Arial" w:eastAsia="Arial" w:hAnsi="Arial"/>
          <w:color w:val="1A1A2E"/>
          <w:sz w:val="22"/>
          <w:szCs w:val="22"/>
        </w:rPr>
        <w:t xml:space="preserve">A Husky pre-commit hook runs three checks in sequence before any commit is recorded:</w:t>
      </w:r>
    </w:p>
    <w:p>
      <w:pPr>
        <w:pStyle w:val="ListParagraph"/>
        <w:numPr>
          <w:ilvl w:val="0"/>
          <w:numId w:val="2"/>
        </w:numPr>
        <w:spacing w:after="60" w:before="40"/>
      </w:pPr>
      <w:r>
        <w:rPr>
          <w:rFonts w:ascii="Arial" w:cs="Arial" w:eastAsia="Arial" w:hAnsi="Arial"/>
          <w:color w:val="1A1A2E"/>
          <w:sz w:val="22"/>
          <w:szCs w:val="22"/>
        </w:rPr>
        <w:t xml:space="preserve">ESLint --fix — Automatically fixes auto-fixable lint violations and fails the commit if any unfixable violations remain.</w:t>
      </w:r>
    </w:p>
    <w:p>
      <w:pPr>
        <w:pStyle w:val="ListParagraph"/>
        <w:numPr>
          <w:ilvl w:val="0"/>
          <w:numId w:val="2"/>
        </w:numPr>
        <w:spacing w:after="60" w:before="40"/>
      </w:pPr>
      <w:r>
        <w:rPr>
          <w:rFonts w:ascii="Arial" w:cs="Arial" w:eastAsia="Arial" w:hAnsi="Arial"/>
          <w:color w:val="1A1A2E"/>
          <w:sz w:val="22"/>
          <w:szCs w:val="22"/>
        </w:rPr>
        <w:t xml:space="preserve">Prettier --write — Reformats all staged files according to the shared Prettier configuration, ensuring consistent code style across contributors.</w:t>
      </w:r>
    </w:p>
    <w:p>
      <w:pPr>
        <w:pStyle w:val="ListParagraph"/>
        <w:numPr>
          <w:ilvl w:val="0"/>
          <w:numId w:val="2"/>
        </w:numPr>
        <w:spacing w:after="60" w:before="40"/>
      </w:pPr>
      <w:r>
        <w:rPr>
          <w:rFonts w:ascii="Arial" w:cs="Arial" w:eastAsia="Arial" w:hAnsi="Arial"/>
          <w:color w:val="1A1A2E"/>
          <w:sz w:val="22"/>
          <w:szCs w:val="22"/>
        </w:rPr>
        <w:t xml:space="preserve">tsc --noEmit — Runs the TypeScript compiler in type-check mode without emitting output files. Any type error causes the commit to fail, enforcing a zero-tolerance policy on type errors in the committed codebase.</w:t>
      </w:r>
    </w:p>
    <w:p>
      <w:pPr>
        <w:pStyle w:val="Heading2"/>
        <w:spacing w:after="120" w:before="280"/>
      </w:pPr>
      <w:r>
        <w:rPr>
          <w:rFonts w:ascii="Arial" w:cs="Arial" w:eastAsia="Arial" w:hAnsi="Arial"/>
          <w:b/>
          <w:bCs/>
          <w:color w:val="2E75B6"/>
          <w:sz w:val="26"/>
          <w:szCs w:val="26"/>
        </w:rPr>
        <w:t xml:space="preserve">17.4 Vite Configuration</w:t>
      </w:r>
    </w:p>
    <w:p>
      <w:pPr>
        <w:spacing w:after="120" w:before="80"/>
      </w:pPr>
      <w:r>
        <w:rPr>
          <w:rFonts w:ascii="Arial" w:cs="Arial" w:eastAsia="Arial" w:hAnsi="Arial"/>
          <w:color w:val="1A1A2E"/>
          <w:sz w:val="22"/>
          <w:szCs w:val="22"/>
        </w:rPr>
        <w:t xml:space="preserve">The Vite configuration sets base to './' (a relative base path enabling deployment to subdirectories without hardcoded paths), registers the React plugin for JSX transform and Fast Refresh, configures the dev server on port 3000, and sets up a proxy rule that forwards all requests starting with /api to the backend server during local development. This proxy allows the frontend dev server to call the backend without triggering CORS issues.</w:t>
      </w:r>
    </w:p>
    <w:p>
      <w:pPr>
        <w:pStyle w:val="Heading2"/>
        <w:spacing w:after="120" w:before="280"/>
      </w:pPr>
      <w:r>
        <w:rPr>
          <w:rFonts w:ascii="Arial" w:cs="Arial" w:eastAsia="Arial" w:hAnsi="Arial"/>
          <w:b/>
          <w:bCs/>
          <w:color w:val="2E75B6"/>
          <w:sz w:val="26"/>
          <w:szCs w:val="26"/>
        </w:rPr>
        <w:t xml:space="preserve">17.5 Docker and Deployment</w:t>
      </w:r>
    </w:p>
    <w:p>
      <w:pPr>
        <w:spacing w:after="120" w:before="80"/>
      </w:pPr>
      <w:r>
        <w:rPr>
          <w:rFonts w:ascii="Arial" w:cs="Arial" w:eastAsia="Arial" w:hAnsi="Arial"/>
          <w:color w:val="1A1A2E"/>
          <w:sz w:val="22"/>
          <w:szCs w:val="22"/>
        </w:rPr>
        <w:t xml:space="preserve">The production build process uses a two-stage Dockerfile. The builder stage uses a Node 24 Alpine image to run npm ci (for a clean, reproducible install) and npm run build (which executes tsc -b for type checking followed by vite build, emitting the static site into the dist/ directory). The server stage uses an nginx:alpine image to serve the dist/ directory.</w:t>
      </w:r>
    </w:p>
    <w:p>
      <w:pPr>
        <w:spacing w:after="120" w:before="80"/>
      </w:pPr>
      <w:r>
        <w:rPr>
          <w:rFonts w:ascii="Arial" w:cs="Arial" w:eastAsia="Arial" w:hAnsi="Arial"/>
          <w:color w:val="1A1A2E"/>
          <w:sz w:val="22"/>
          <w:szCs w:val="22"/>
        </w:rPr>
        <w:t xml:space="preserve">The nginx configuration includes a SPA fallback rule (try_files $uri /index.html) to ensure that refreshing any React Router URL returns the application's index.html rather than a 404. Static asset routes (JavaScript, CSS, images, SVGs) are given a 6-month Cache-Control: public header to leverage long-term browser caching.</w:t>
      </w:r>
    </w:p>
    <w:p>
      <w:pPr>
        <w:spacing w:after="120" w:before="80"/>
      </w:pPr>
      <w:r>
        <w:rPr>
          <w:rFonts w:ascii="Arial" w:cs="Arial" w:eastAsia="Arial" w:hAnsi="Arial"/>
          <w:color w:val="1A1A2E"/>
          <w:sz w:val="22"/>
          <w:szCs w:val="22"/>
        </w:rPr>
        <w:t xml:space="preserve">The backend API base URL is injected at build time via the VITE_API_BASE environment variable, which Vite replaces inline during the production bundle. This means the same Docker image can be redeployed to different environments by rebuilding with a different VITE_API_BASE value.</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18. Utility Functions</w:t>
      </w:r>
    </w:p>
    <w:p>
      <w:pPr>
        <w:pStyle w:val="Heading2"/>
        <w:spacing w:after="120" w:before="280"/>
      </w:pPr>
      <w:r>
        <w:rPr>
          <w:rFonts w:ascii="Arial" w:cs="Arial" w:eastAsia="Arial" w:hAnsi="Arial"/>
          <w:b/>
          <w:bCs/>
          <w:color w:val="2E75B6"/>
          <w:sz w:val="26"/>
          <w:szCs w:val="26"/>
        </w:rPr>
        <w:t xml:space="preserve">18.1 textUtils.ts</w:t>
      </w:r>
    </w:p>
    <w:p>
      <w:pPr>
        <w:spacing w:after="120" w:before="80"/>
      </w:pPr>
      <w:r>
        <w:rPr>
          <w:rFonts w:ascii="Arial" w:cs="Arial" w:eastAsia="Arial" w:hAnsi="Arial"/>
          <w:color w:val="1A1A2E"/>
          <w:sz w:val="22"/>
          <w:szCs w:val="22"/>
        </w:rPr>
        <w:t xml:space="preserve">textUtils.ts contains all text transformation utilities for processing chatbot response strings before rendering.</w:t>
      </w:r>
    </w:p>
    <w:p>
      <w:pPr>
        <w:pStyle w:val="ListParagraph"/>
        <w:numPr>
          <w:ilvl w:val="0"/>
          <w:numId w:val="2"/>
        </w:numPr>
        <w:spacing w:after="60" w:before="40"/>
      </w:pPr>
      <w:r>
        <w:rPr>
          <w:rFonts w:ascii="Arial" w:cs="Arial" w:eastAsia="Arial" w:hAnsi="Arial"/>
          <w:color w:val="1A1A2E"/>
          <w:sz w:val="22"/>
          <w:szCs w:val="22"/>
        </w:rPr>
        <w:t xml:space="preserve">stripThinkingTags(text) — Removes &lt;think&gt;...&lt;/think&gt; reasoning blocks from model response strings using three pattern variants: raw HTML tags, HTML-entity-encoded tags (for responses that have been HTML-escaped before reaching the frontend), and bracket-notation tags. All three patterns use case-insensitive, multiline regex matching with non-greedy quantifiers to avoid consuming multiple blocks.</w:t>
      </w:r>
    </w:p>
    <w:p>
      <w:pPr>
        <w:pStyle w:val="ListParagraph"/>
        <w:numPr>
          <w:ilvl w:val="0"/>
          <w:numId w:val="2"/>
        </w:numPr>
        <w:spacing w:after="60" w:before="40"/>
      </w:pPr>
      <w:r>
        <w:rPr>
          <w:rFonts w:ascii="Arial" w:cs="Arial" w:eastAsia="Arial" w:hAnsi="Arial"/>
          <w:color w:val="1A1A2E"/>
          <w:sz w:val="22"/>
          <w:szCs w:val="22"/>
        </w:rPr>
        <w:t xml:space="preserve">normalizeBotText(raw) — Normalises a raw response string for Markdown rendering. It first extracts and saves all fenced code blocks (delimited by triple backticks) to a temporary array, replacing them with placeholder tokens. It then collapses sequences of three or more consecutive newlines into two newlines to clean up over-spaced responses. Finally, it restores the code block placeholders, appends a trailing newline, and trims the result.</w:t>
      </w:r>
    </w:p>
    <w:p>
      <w:pPr>
        <w:pStyle w:val="ListParagraph"/>
        <w:numPr>
          <w:ilvl w:val="0"/>
          <w:numId w:val="2"/>
        </w:numPr>
        <w:spacing w:after="60" w:before="40"/>
      </w:pPr>
      <w:r>
        <w:rPr>
          <w:rFonts w:ascii="Arial" w:cs="Arial" w:eastAsia="Arial" w:hAnsi="Arial"/>
          <w:color w:val="1A1A2E"/>
          <w:sz w:val="22"/>
          <w:szCs w:val="22"/>
        </w:rPr>
        <w:t xml:space="preserve">formatBotMessage(text) — Composes stripThinkingTags() and normalizeBotText() into a single call, applied to every bot response before it is passed to react-markdown.</w:t>
      </w:r>
    </w:p>
    <w:p>
      <w:pPr>
        <w:pStyle w:val="Heading2"/>
        <w:spacing w:after="120" w:before="280"/>
      </w:pPr>
      <w:r>
        <w:rPr>
          <w:rFonts w:ascii="Arial" w:cs="Arial" w:eastAsia="Arial" w:hAnsi="Arial"/>
          <w:b/>
          <w:bCs/>
          <w:color w:val="2E75B6"/>
          <w:sz w:val="26"/>
          <w:szCs w:val="26"/>
        </w:rPr>
        <w:t xml:space="preserve">18.2 chartFormatters.ts</w:t>
      </w:r>
    </w:p>
    <w:p>
      <w:pPr>
        <w:spacing w:after="120" w:before="80"/>
      </w:pPr>
      <w:r>
        <w:rPr>
          <w:rFonts w:ascii="Arial" w:cs="Arial" w:eastAsia="Arial" w:hAnsi="Arial"/>
          <w:color w:val="1A1A2E"/>
          <w:sz w:val="22"/>
          <w:szCs w:val="22"/>
        </w:rPr>
        <w:t xml:space="preserve">chartFormatters.ts provides number formatting utilities for chart axis labels. The formatNumber() function converts large numbers to compact notation: values of one million or greater are formatted as a decimal with one fractional digit followed by 'M' (e.g. 1,200,000 → '1.2M'); values of one thousand or greater are formatted similarly with 'k'; smaller values are returned as plain integer strings. This formatter is used as the yAxisFormatter prop on the TokenTrendLineChart component.</w:t>
      </w:r>
    </w:p>
    <w:p>
      <w:pPr>
        <w:pStyle w:val="Heading2"/>
        <w:spacing w:after="120" w:before="280"/>
      </w:pPr>
      <w:r>
        <w:rPr>
          <w:rFonts w:ascii="Arial" w:cs="Arial" w:eastAsia="Arial" w:hAnsi="Arial"/>
          <w:b/>
          <w:bCs/>
          <w:color w:val="2E75B6"/>
          <w:sz w:val="26"/>
          <w:szCs w:val="26"/>
        </w:rPr>
        <w:t xml:space="preserve">18.3 tokenUtils.ts</w:t>
      </w:r>
    </w:p>
    <w:p>
      <w:pPr>
        <w:spacing w:after="120" w:before="80"/>
      </w:pPr>
      <w:r>
        <w:rPr>
          <w:rFonts w:ascii="Arial" w:cs="Arial" w:eastAsia="Arial" w:hAnsi="Arial"/>
          <w:color w:val="1A1A2E"/>
          <w:sz w:val="22"/>
          <w:szCs w:val="22"/>
        </w:rPr>
        <w:t xml:space="preserve">tokenUtils.ts provides an approximate token count utility (countTokensApprox) for estimating how many tokens a text string contains. Because the application does not ship a tokenizer library, the function approximates by splitting the input on whitespace to produce word tokens, then further splitting each word on common punctuation characters (periods, commas, exclamation marks, question marks, semicolons, colons, brackets, quotes, hyphens, and backticks). The resulting fragments are filtered to remove empty strings and counted. This approach gives a reasonable approximation of subword tokenisation for most English prose and code.</w:t>
      </w:r>
    </w:p>
    <w:p>
      <w:pPr>
        <w:pStyle w:val="Heading2"/>
        <w:spacing w:after="120" w:before="280"/>
      </w:pPr>
      <w:r>
        <w:rPr>
          <w:rFonts w:ascii="Arial" w:cs="Arial" w:eastAsia="Arial" w:hAnsi="Arial"/>
          <w:b/>
          <w:bCs/>
          <w:color w:val="2E75B6"/>
          <w:sz w:val="26"/>
          <w:szCs w:val="26"/>
        </w:rPr>
        <w:t xml:space="preserve">18.4 sessionUtils.ts</w:t>
      </w:r>
    </w:p>
    <w:p>
      <w:pPr>
        <w:spacing w:after="120" w:before="80"/>
      </w:pPr>
      <w:r>
        <w:rPr>
          <w:rFonts w:ascii="Arial" w:cs="Arial" w:eastAsia="Arial" w:hAnsi="Arial"/>
          <w:color w:val="1A1A2E"/>
          <w:sz w:val="22"/>
          <w:szCs w:val="22"/>
        </w:rPr>
        <w:t xml:space="preserve">sessionUtils.ts provides the getSignedInUserId() utility for reading the authenticated user's numeric ID from localStorage. It checks three key name variants in sequence — user_id, userId, and USER_ID — to handle differences between localStorage key casing conventions across different integration points. The numeric value is validated with Number.isFinite() before being returned to exclude NaN and Infinity. If no valid user ID is found under any of the checked keys, or if a localStorage access error is thrown (e.g. in a restricted browser context), the function returns null.</w:t>
      </w:r>
    </w:p>
    <w:p>
      <w:r>
        <w:rPr>
          <w:sz w:val="8"/>
          <w:szCs w:val="8"/>
        </w:rPr>
        <w:t xml:space="preserve"/>
      </w:r>
    </w:p>
    <w:p>
      <w:r>
        <w:br w:type="page"/>
      </w:r>
    </w:p>
    <w:p>
      <w:pPr>
        <w:pStyle w:val="Heading1"/>
        <w:spacing w:after="160" w:before="360"/>
      </w:pPr>
      <w:r>
        <w:rPr>
          <w:rFonts w:ascii="Arial" w:cs="Arial" w:eastAsia="Arial" w:hAnsi="Arial"/>
          <w:b/>
          <w:bCs/>
          <w:color w:val="1F4E79"/>
          <w:sz w:val="32"/>
          <w:szCs w:val="32"/>
        </w:rPr>
        <w:t xml:space="preserve">19. Known Issues and Refactoring Backlog</w:t>
      </w:r>
    </w:p>
    <w:p>
      <w:pPr>
        <w:pStyle w:val="Heading2"/>
        <w:spacing w:after="120" w:before="280"/>
      </w:pPr>
      <w:r>
        <w:rPr>
          <w:rFonts w:ascii="Arial" w:cs="Arial" w:eastAsia="Arial" w:hAnsi="Arial"/>
          <w:b/>
          <w:bCs/>
          <w:color w:val="2E75B6"/>
          <w:sz w:val="26"/>
          <w:szCs w:val="26"/>
        </w:rPr>
        <w:t xml:space="preserve">19.1 Files Using Direct fetch() or Bare Axios</w:t>
      </w:r>
    </w:p>
    <w:p>
      <w:pPr>
        <w:spacing w:after="120" w:before="80"/>
      </w:pPr>
      <w:r>
        <w:rPr>
          <w:rFonts w:ascii="Arial" w:cs="Arial" w:eastAsia="Arial" w:hAnsi="Arial"/>
          <w:color w:val="1A1A2E"/>
          <w:sz w:val="22"/>
          <w:szCs w:val="22"/>
        </w:rPr>
        <w:t xml:space="preserve">The following files bypass apiClient and make HTTP calls directly with fetch() or the raw Axios instance. This means they do not benefit from centralised error handling, automatic notification toasts, structured EnhancedApiError objects, or the response-unwrapping pattern. All page components and hooks that use these patterns show inconsistent error states (or silent failures) compared to modules that use apiClient.</w:t>
      </w:r>
    </w:p>
    <w:p>
      <w:pPr>
        <w:spacing w:after="120" w:before="80"/>
      </w:pPr>
      <w:r>
        <w:rPr>
          <w:rFonts w:ascii="Arial" w:cs="Arial" w:eastAsia="Arial" w:hAnsi="Arial"/>
          <w:color w:val="1A1A2E"/>
          <w:sz w:val="22"/>
          <w:szCs w:val="22"/>
        </w:rPr>
        <w:t xml:space="preserve">Each of these files should be migrated to apiClient to ensure consistent error handling across the entire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rPr>
          <w:tblHeader/>
        </w:trPr>
        <w:tc>
          <w:tcPr>
            <w:tcW w:type="dxa" w:w="45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320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1660"/>
            <w:tcBorders>
              <w:top w:val="single" w:color="B8D4E8" w:sz="1"/>
              <w:left w:val="single" w:color="B8D4E8" w:sz="1"/>
              <w:bottom w:val="single" w:color="B8D4E8" w:sz="1"/>
              <w:right w:val="single" w:color="B8D4E8" w:sz="1"/>
            </w:tcBorders>
            <w:shd w:fill="2E75B6"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4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src/hooks/useTemplates.ts</w:t>
            </w:r>
          </w:p>
        </w:tc>
        <w:tc>
          <w:tcPr>
            <w:tcW w:type="dxa" w:w="3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Uses raw fetch() for template data loading</w:t>
            </w:r>
          </w:p>
        </w:tc>
        <w:tc>
          <w:tcPr>
            <w:tcW w:type="dxa" w:w="1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High</w:t>
            </w:r>
          </w:p>
        </w:tc>
      </w:tr>
      <w:tr>
        <w:tc>
          <w:tcPr>
            <w:tcW w:type="dxa" w:w="4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src/pages/ServiceMonitoring/ServiceMonitoring.tsx</w:t>
            </w:r>
          </w:p>
        </w:tc>
        <w:tc>
          <w:tcPr>
            <w:tcW w:type="dxa" w:w="3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Uses raw fetch() for all metric data; no error boundary on failure</w:t>
            </w:r>
          </w:p>
        </w:tc>
        <w:tc>
          <w:tcPr>
            <w:tcW w:type="dxa" w:w="1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High</w:t>
            </w:r>
          </w:p>
        </w:tc>
      </w:tr>
      <w:tr>
        <w:tc>
          <w:tcPr>
            <w:tcW w:type="dxa" w:w="4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src/pages/CreatePipeline/CreatePipeline.tsx</w:t>
            </w:r>
          </w:p>
        </w:tc>
        <w:tc>
          <w:tcPr>
            <w:tcW w:type="dxa" w:w="3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Uses raw fetch() for Snowflake metadata (DB/schema/table lists)</w:t>
            </w:r>
          </w:p>
        </w:tc>
        <w:tc>
          <w:tcPr>
            <w:tcW w:type="dxa" w:w="1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High</w:t>
            </w:r>
          </w:p>
        </w:tc>
      </w:tr>
      <w:tr>
        <w:tc>
          <w:tcPr>
            <w:tcW w:type="dxa" w:w="4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src/pages/TalkToDocument/TalkToDocument.tsx</w:t>
            </w:r>
          </w:p>
        </w:tc>
        <w:tc>
          <w:tcPr>
            <w:tcW w:type="dxa" w:w="3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Uses raw fetch() or bare Axios for document query requests</w:t>
            </w:r>
          </w:p>
        </w:tc>
        <w:tc>
          <w:tcPr>
            <w:tcW w:type="dxa" w:w="1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High</w:t>
            </w:r>
          </w:p>
        </w:tc>
      </w:tr>
      <w:tr>
        <w:tc>
          <w:tcPr>
            <w:tcW w:type="dxa" w:w="4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src/components/ui/ModelComparisonPanel/ModelComparisonPanel.tsx</w:t>
            </w:r>
          </w:p>
        </w:tc>
        <w:tc>
          <w:tcPr>
            <w:tcW w:type="dxa" w:w="3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Uses raw fetch() for CSAT and KPI data; no toast on failure</w:t>
            </w:r>
          </w:p>
        </w:tc>
        <w:tc>
          <w:tcPr>
            <w:tcW w:type="dxa" w:w="1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Medium</w:t>
            </w:r>
          </w:p>
        </w:tc>
      </w:tr>
      <w:tr>
        <w:tc>
          <w:tcPr>
            <w:tcW w:type="dxa" w:w="4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src/pages/ErrorMonitoring/ErrorMonitoring.tsx</w:t>
            </w:r>
          </w:p>
        </w:tc>
        <w:tc>
          <w:tcPr>
            <w:tcW w:type="dxa" w:w="3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Uses bare Axios instance; flagged for apiClient migration</w:t>
            </w:r>
          </w:p>
        </w:tc>
        <w:tc>
          <w:tcPr>
            <w:tcW w:type="dxa" w:w="1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Medium</w:t>
            </w:r>
          </w:p>
        </w:tc>
      </w:tr>
      <w:tr>
        <w:tc>
          <w:tcPr>
            <w:tcW w:type="dxa" w:w="4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src/pages/PromptGenerator/PromptGenerator.tsx</w:t>
            </w:r>
          </w:p>
        </w:tc>
        <w:tc>
          <w:tcPr>
            <w:tcW w:type="dxa" w:w="3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Uses bare Axios for all prompt CRUD operations</w:t>
            </w:r>
          </w:p>
        </w:tc>
        <w:tc>
          <w:tcPr>
            <w:tcW w:type="dxa" w:w="1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Medium</w:t>
            </w:r>
          </w:p>
        </w:tc>
      </w:tr>
      <w:tr>
        <w:tc>
          <w:tcPr>
            <w:tcW w:type="dxa" w:w="45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src/pages/Settings/Settings.tsx</w:t>
            </w:r>
          </w:p>
        </w:tc>
        <w:tc>
          <w:tcPr>
            <w:tcW w:type="dxa" w:w="320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Email notification save uses a direct fetch() call</w:t>
            </w:r>
          </w:p>
        </w:tc>
        <w:tc>
          <w:tcPr>
            <w:tcW w:type="dxa" w:w="1660"/>
            <w:tcBorders>
              <w:top w:val="single" w:color="B8D4E8" w:sz="1"/>
              <w:left w:val="single" w:color="B8D4E8" w:sz="1"/>
              <w:bottom w:val="single" w:color="B8D4E8" w:sz="1"/>
              <w:right w:val="single" w:color="B8D4E8" w:sz="1"/>
            </w:tcBorders>
            <w:shd w:fill="EBF3FA" w:val="clear"/>
            <w:tcMar>
              <w:top w:type="dxa" w:w="70"/>
              <w:left w:type="dxa" w:w="120"/>
              <w:bottom w:type="dxa" w:w="70"/>
              <w:right w:type="dxa" w:w="120"/>
            </w:tcMar>
          </w:tcPr>
          <w:p>
            <w:r>
              <w:rPr>
                <w:rFonts w:ascii="Arial" w:cs="Arial" w:eastAsia="Arial" w:hAnsi="Arial"/>
                <w:color w:val="1A1A2E"/>
                <w:sz w:val="20"/>
                <w:szCs w:val="20"/>
              </w:rPr>
              <w:t xml:space="preserve">Low</w:t>
            </w:r>
          </w:p>
        </w:tc>
      </w:tr>
      <w:tr>
        <w:tc>
          <w:tcPr>
            <w:tcW w:type="dxa" w:w="45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src/api/endpoints/models.api.ts</w:t>
            </w:r>
          </w:p>
        </w:tc>
        <w:tc>
          <w:tcPr>
            <w:tcW w:type="dxa" w:w="320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Entire module uses fetch() with a hardcoded base URL; not configurable via environment variable</w:t>
            </w:r>
          </w:p>
        </w:tc>
        <w:tc>
          <w:tcPr>
            <w:tcW w:type="dxa" w:w="1660"/>
            <w:tcBorders>
              <w:top w:val="single" w:color="B8D4E8" w:sz="1"/>
              <w:left w:val="single" w:color="B8D4E8" w:sz="1"/>
              <w:bottom w:val="single" w:color="B8D4E8" w:sz="1"/>
              <w:right w:val="single" w:color="B8D4E8" w:sz="1"/>
            </w:tcBorders>
            <w:shd w:fill="FFFFFF" w:val="clear"/>
            <w:tcMar>
              <w:top w:type="dxa" w:w="70"/>
              <w:left w:type="dxa" w:w="120"/>
              <w:bottom w:type="dxa" w:w="70"/>
              <w:right w:type="dxa" w:w="120"/>
            </w:tcMar>
          </w:tcPr>
          <w:p>
            <w:r>
              <w:rPr>
                <w:rFonts w:ascii="Arial" w:cs="Arial" w:eastAsia="Arial" w:hAnsi="Arial"/>
                <w:color w:val="1A1A2E"/>
                <w:sz w:val="20"/>
                <w:szCs w:val="20"/>
              </w:rPr>
              <w:t xml:space="preserve">High</w:t>
            </w:r>
          </w:p>
        </w:tc>
      </w:tr>
    </w:tbl>
    <w:p>
      <w:r>
        <w:rPr>
          <w:sz w:val="16"/>
          <w:szCs w:val="16"/>
        </w:rPr>
        <w:t xml:space="preserve"/>
      </w:r>
    </w:p>
    <w:p>
      <w:pPr>
        <w:pStyle w:val="Heading2"/>
        <w:spacing w:after="120" w:before="280"/>
      </w:pPr>
      <w:r>
        <w:rPr>
          <w:rFonts w:ascii="Arial" w:cs="Arial" w:eastAsia="Arial" w:hAnsi="Arial"/>
          <w:b/>
          <w:bCs/>
          <w:color w:val="2E75B6"/>
          <w:sz w:val="26"/>
          <w:szCs w:val="26"/>
        </w:rPr>
        <w:t xml:space="preserve">19.2 ChatbotContext localStorage Persistence</w:t>
      </w:r>
    </w:p>
    <w:p>
      <w:pPr>
        <w:spacing w:after="120" w:before="80"/>
      </w:pPr>
      <w:r>
        <w:rPr>
          <w:rFonts w:ascii="Arial" w:cs="Arial" w:eastAsia="Arial" w:hAnsi="Arial"/>
          <w:color w:val="1A1A2E"/>
          <w:sz w:val="22"/>
          <w:szCs w:val="22"/>
        </w:rPr>
        <w:t xml:space="preserve">The ChatbotContext previously included a useEffect that read the selected chatbot from localStorage on mount, restoring the user's last session state after a page refresh. This persistence logic is currently commented out pending a decision on whether session continuity is a desired product behaviour. When the feature is restored, the corresponding write effect (saving the chatbot selection to localStorage on change) will also need to be re-enabled alongside it.</w:t>
      </w:r>
    </w:p>
    <w:p>
      <w:pPr>
        <w:pStyle w:val="Heading2"/>
        <w:spacing w:after="120" w:before="280"/>
      </w:pPr>
      <w:r>
        <w:rPr>
          <w:rFonts w:ascii="Arial" w:cs="Arial" w:eastAsia="Arial" w:hAnsi="Arial"/>
          <w:b/>
          <w:bCs/>
          <w:color w:val="2E75B6"/>
          <w:sz w:val="26"/>
          <w:szCs w:val="26"/>
        </w:rPr>
        <w:t xml:space="preserve">19.3 Mock Data Still in Use</w:t>
      </w:r>
    </w:p>
    <w:p>
      <w:pPr>
        <w:pStyle w:val="ListParagraph"/>
        <w:numPr>
          <w:ilvl w:val="0"/>
          <w:numId w:val="2"/>
        </w:numPr>
        <w:spacing w:after="60" w:before="40"/>
      </w:pPr>
      <w:r>
        <w:rPr>
          <w:rFonts w:ascii="Arial" w:cs="Arial" w:eastAsia="Arial" w:hAnsi="Arial"/>
          <w:color w:val="1A1A2E"/>
          <w:sz w:val="22"/>
          <w:szCs w:val="22"/>
        </w:rPr>
        <w:t xml:space="preserve">Home.tsx — Some KPI metric fields fall back to locally defined mock values when the corresponding API response fields are absent or null, masking data gaps from the backend.</w:t>
      </w:r>
    </w:p>
    <w:p>
      <w:pPr>
        <w:pStyle w:val="ListParagraph"/>
        <w:numPr>
          <w:ilvl w:val="0"/>
          <w:numId w:val="2"/>
        </w:numPr>
        <w:spacing w:after="60" w:before="40"/>
      </w:pPr>
      <w:r>
        <w:rPr>
          <w:rFonts w:ascii="Arial" w:cs="Arial" w:eastAsia="Arial" w:hAnsi="Arial"/>
          <w:color w:val="1A1A2E"/>
          <w:sz w:val="22"/>
          <w:szCs w:val="22"/>
        </w:rPr>
        <w:t xml:space="preserve">ServiceMonitoring.tsx — All operational metrics (request rates, error rates, latency percentiles, uptime) are sourced from src/data/mockMonitoringData.ts. The real-time monitoring API integration has not been implemented.</w:t>
      </w:r>
    </w:p>
    <w:p>
      <w:pPr>
        <w:pStyle w:val="ListParagraph"/>
        <w:numPr>
          <w:ilvl w:val="0"/>
          <w:numId w:val="2"/>
        </w:numPr>
        <w:spacing w:after="60" w:before="40"/>
      </w:pPr>
      <w:r>
        <w:rPr>
          <w:rFonts w:ascii="Arial" w:cs="Arial" w:eastAsia="Arial" w:hAnsi="Arial"/>
          <w:color w:val="1A1A2E"/>
          <w:sz w:val="22"/>
          <w:szCs w:val="22"/>
        </w:rPr>
        <w:t xml:space="preserve">ErrorMonitoring.tsx — All error event data is sourced from src/data/mockErrorData.ts. The production Sentry or backend error log integration is pending.</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2026-03-12T08:37:22.707Z</dcterms:created>
  <dcterms:modified xsi:type="dcterms:W3CDTF">2026-03-12T08:37:22.708Z</dcterms:modified>
</cp:coreProperties>
</file>

<file path=docProps/custom.xml><?xml version="1.0" encoding="utf-8"?>
<Properties xmlns="http://schemas.openxmlformats.org/officeDocument/2006/custom-properties" xmlns:vt="http://schemas.openxmlformats.org/officeDocument/2006/docPropsVTypes"/>
</file>