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rPr>
          <w:rFonts w:ascii="Calibri" w:cs="Calibri" w:eastAsia="Calibri" w:hAnsi="Calibri"/>
          <w:b/>
          <w:bCs/>
          <w:color w:val="1F4E79"/>
          <w:sz w:val="56"/>
          <w:szCs w:val="56"/>
        </w:rPr>
        <w:t xml:space="preserve">AI Scalability Platform</w:t>
      </w:r>
    </w:p>
    <w:p>
      <w:pPr>
        <w:spacing w:after="200"/>
        <w:jc w:val="center"/>
      </w:pPr>
      <w:r>
        <w:rPr>
          <w:rFonts w:ascii="Calibri" w:cs="Calibri" w:eastAsia="Calibri" w:hAnsi="Calibri"/>
          <w:b/>
          <w:bCs/>
          <w:color w:val="2D6CC0"/>
          <w:sz w:val="36"/>
          <w:szCs w:val="36"/>
        </w:rPr>
        <w:t xml:space="preserve">Application Flow &amp; Technical Reference</w:t>
      </w:r>
    </w:p>
    <w:p>
      <w:pPr>
        <w:spacing w:after="120"/>
        <w:jc w:val="center"/>
      </w:pPr>
      <w:r>
        <w:rPr>
          <w:rFonts w:ascii="Calibri" w:cs="Calibri" w:eastAsia="Calibri" w:hAnsi="Calibri"/>
          <w:i/>
          <w:iCs/>
          <w:color w:val="555555"/>
          <w:sz w:val="26"/>
          <w:szCs w:val="26"/>
        </w:rPr>
        <w:t xml:space="preserve">RAISE — Rapid AI Solution Engine</w:t>
      </w:r>
    </w:p>
    <w:p>
      <w:pPr>
        <w:spacing w:after="120"/>
        <w:jc w:val="center"/>
      </w:pPr>
      <w:r>
        <w:rPr>
          <w:rFonts w:ascii="Calibri" w:cs="Calibri" w:eastAsia="Calibri" w:hAnsi="Calibri"/>
          <w:color w:val="666666"/>
          <w:sz w:val="22"/>
          <w:szCs w:val="22"/>
        </w:rPr>
        <w:t xml:space="preserve">Snowflake + Capgemini | Version 1.0 | March 2026</w:t>
      </w:r>
    </w:p>
    <w:p>
      <w:pPr>
        <w:spacing w:after="120"/>
        <w:jc w:val="center"/>
      </w:pPr>
      <w:r>
        <w:rPr>
          <w:rFonts w:ascii="Calibri" w:cs="Calibri" w:eastAsia="Calibri" w:hAnsi="Calibri"/>
          <w:i/>
          <w:iCs/>
          <w:color w:val="888888"/>
          <w:sz w:val="20"/>
          <w:szCs w:val="20"/>
        </w:rPr>
        <w:t xml:space="preserve">Confidential — Internal Use Only</w:t>
      </w: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Executive Summary</w:t>
      </w:r>
    </w:p>
    <w:p>
      <w:pPr>
        <w:spacing w:after="120" w:line="276" w:lineRule="auto"/>
      </w:pPr>
      <w:r>
        <w:rPr>
          <w:rFonts w:ascii="Calibri" w:cs="Calibri" w:eastAsia="Calibri" w:hAnsi="Calibri"/>
          <w:sz w:val="22"/>
          <w:szCs w:val="22"/>
        </w:rPr>
        <w:t xml:space="preserve">This document is a comprehensive end-to-end reference for the AI Scalability Platform (RAISE — Rapid AI Solution Engine). It merges the application flow walkthrough with detailed technical specifications, covering the complete React/TypeScript frontend architecture, API layer, state management, routing, RBAC, deployment, and all major functional modules.</w:t>
      </w:r>
    </w:p>
    <w:p>
      <w:pPr>
        <w:spacing w:after="120" w:line="276" w:lineRule="auto"/>
      </w:pPr>
      <w:r>
        <w:rPr>
          <w:rFonts w:ascii="Calibri" w:cs="Calibri" w:eastAsia="Calibri" w:hAnsi="Calibri"/>
          <w:sz w:val="22"/>
          <w:szCs w:val="22"/>
        </w:rPr>
        <w:t xml:space="preserve">The platform is a production-grade React 19 single-page application built for the Snowflake + Capgemini AI Scalability Platform, serving as the primary user interface for creating, deploying, experimenting with, and monitoring AI chatbots backed by Snowflake Cortex pipelines.</w:t>
      </w:r>
    </w:p>
    <w:p>
      <w:pPr>
        <w:spacing w:after="120" w:line="276" w:lineRule="auto"/>
      </w:pPr>
      <w:r>
        <w:rPr>
          <w:rFonts w:ascii="Calibri" w:cs="Calibri" w:eastAsia="Calibri" w:hAnsi="Calibri"/>
          <w:sz w:val="22"/>
          <w:szCs w:val="22"/>
        </w:rPr>
        <w:t xml:space="preserve">The document explains: how the React frontend initialises and issues API calls; how the Node/Express backend (server.js and controllers) handles those requests and interacts with Snowflake; and how responses propagate back to update the UI.</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1. Application Overview</w:t>
      </w:r>
    </w:p>
    <w:p>
      <w:pPr>
        <w:pStyle w:val="Heading2"/>
        <w:spacing w:after="120" w:before="320"/>
      </w:pPr>
      <w:r>
        <w:rPr>
          <w:rFonts w:ascii="Calibri" w:cs="Calibri" w:eastAsia="Calibri" w:hAnsi="Calibri"/>
          <w:b/>
          <w:bCs/>
          <w:color w:val="2D6CC0"/>
          <w:sz w:val="28"/>
          <w:szCs w:val="28"/>
        </w:rPr>
        <w:t xml:space="preserve">1.1 Technology Stack</w:t>
      </w:r>
    </w:p>
    <w:p>
      <w:pPr>
        <w:spacing w:after="120" w:line="276" w:lineRule="auto"/>
      </w:pPr>
      <w:r>
        <w:rPr>
          <w:rFonts w:ascii="Calibri" w:cs="Calibri" w:eastAsia="Calibri" w:hAnsi="Calibri"/>
          <w:sz w:val="22"/>
          <w:szCs w:val="22"/>
        </w:rPr>
        <w:t xml:space="preserve">RAISE is a production-grade React 19 single-page application built on the following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9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Layer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Technology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Version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UI Framework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React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19.1.1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Component rendering, hooks, lazy routes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Language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TypeScript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~5.9.3</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Strict type safety across all files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Build Tool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Vite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7.1.7</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Dev server, HMR, production bundling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Component Library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MUI (Material UI)</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7.3.4</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Buttons, dialogs, tables, selects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Routing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React Router DOM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7.9.4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Client-side routing, lazy loading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HTTP Client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Axios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1.12.2</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API requests with interceptors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Charts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Recharts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3.3.0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Bar, Line, Area, Pie (Donut) charts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Graph/Flow</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XYFlow (@xyflow/react)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12.10.0</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Pipeline and lineage graph visualisation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SCSS Modules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Scoped styles with design tokens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Validation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Zod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3.25.76</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Runtime schema validation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Error Tracking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Sentry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8.55.0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Production error monitoring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Date Picker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MUI X Date Pickers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Date and date-range selection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Markdown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react-markdown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Render chatbot responses as Markdown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Date Utils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dayjs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Chart axis formatting and date arithmetic</w:t>
            </w:r>
          </w:p>
        </w:tc>
      </w:tr>
    </w:tbl>
    <w:p>
      <w:pPr>
        <w:spacing w:after="80"/>
      </w:pPr>
    </w:p>
    <w:p>
      <w:pPr>
        <w:pStyle w:val="Heading2"/>
        <w:spacing w:after="120" w:before="320"/>
      </w:pPr>
      <w:r>
        <w:rPr>
          <w:rFonts w:ascii="Calibri" w:cs="Calibri" w:eastAsia="Calibri" w:hAnsi="Calibri"/>
          <w:b/>
          <w:bCs/>
          <w:color w:val="2D6CC0"/>
          <w:sz w:val="28"/>
          <w:szCs w:val="28"/>
        </w:rPr>
        <w:t xml:space="preserve">1.2 Login Page</w:t>
      </w:r>
    </w:p>
    <w:p>
      <w:pPr>
        <w:spacing w:after="120" w:line="276" w:lineRule="auto"/>
      </w:pPr>
      <w:r>
        <w:rPr>
          <w:rFonts w:ascii="Calibri" w:cs="Calibri" w:eastAsia="Calibri" w:hAnsi="Calibri"/>
          <w:sz w:val="22"/>
          <w:szCs w:val="22"/>
        </w:rPr>
        <w:t xml:space="preserve">The Login page is the entry point of the application. Users must enter their Snowflake credentials to access the platform.</w:t>
      </w:r>
    </w:p>
    <w:p>
      <w:pPr>
        <w:pStyle w:val="ListParagraph"/>
        <w:numPr>
          <w:ilvl w:val="0"/>
          <w:numId w:val="2"/>
        </w:numPr>
        <w:spacing w:after="80" w:line="276" w:lineRule="auto"/>
      </w:pPr>
      <w:r>
        <w:rPr>
          <w:rFonts w:ascii="Calibri" w:cs="Calibri" w:eastAsia="Calibri" w:hAnsi="Calibri"/>
          <w:b w:val="false"/>
          <w:bCs w:val="false"/>
          <w:sz w:val="22"/>
          <w:szCs w:val="22"/>
        </w:rPr>
        <w:t xml:space="preserve">Username: Enter your Snowflake username.</w:t>
      </w:r>
    </w:p>
    <w:p>
      <w:pPr>
        <w:pStyle w:val="ListParagraph"/>
        <w:numPr>
          <w:ilvl w:val="0"/>
          <w:numId w:val="2"/>
        </w:numPr>
        <w:spacing w:after="80" w:line="276" w:lineRule="auto"/>
      </w:pPr>
      <w:r>
        <w:rPr>
          <w:rFonts w:ascii="Calibri" w:cs="Calibri" w:eastAsia="Calibri" w:hAnsi="Calibri"/>
          <w:b w:val="false"/>
          <w:bCs w:val="false"/>
          <w:sz w:val="22"/>
          <w:szCs w:val="22"/>
        </w:rPr>
        <w:t xml:space="preserve">Password: Enter your Snowflake password.</w:t>
      </w:r>
    </w:p>
    <w:p>
      <w:pPr>
        <w:pStyle w:val="ListParagraph"/>
        <w:numPr>
          <w:ilvl w:val="0"/>
          <w:numId w:val="2"/>
        </w:numPr>
        <w:spacing w:after="80" w:line="276" w:lineRule="auto"/>
      </w:pPr>
      <w:r>
        <w:rPr>
          <w:rFonts w:ascii="Calibri" w:cs="Calibri" w:eastAsia="Calibri" w:hAnsi="Calibri"/>
          <w:b w:val="false"/>
          <w:bCs w:val="false"/>
          <w:sz w:val="22"/>
          <w:szCs w:val="22"/>
        </w:rPr>
        <w:t xml:space="preserve">Click the Sign In button to authenticate and proceed.</w:t>
      </w:r>
    </w:p>
    <w:p>
      <w:pPr>
        <w:spacing w:after="80"/>
      </w:pPr>
    </w:p>
    <w:p>
      <w:pPr>
        <w:pBdr>
          <w:left w:val="single" w:color="2D6CC0" w:sz="12"/>
        </w:pBdr>
        <w:shd w:fill="D6E4F0" w:val="clear"/>
        <w:spacing w:after="120"/>
        <w:ind w:left="180" w:right="180"/>
      </w:pPr>
      <w:r>
        <w:rPr>
          <w:rFonts w:ascii="Calibri" w:cs="Calibri" w:eastAsia="Calibri" w:hAnsi="Calibri"/>
          <w:b/>
          <w:bCs/>
          <w:color w:val="2D6CC0"/>
          <w:sz w:val="20"/>
          <w:szCs w:val="20"/>
        </w:rPr>
        <w:t xml:space="preserve">Authentication: </w:t>
      </w:r>
      <w:r>
        <w:rPr>
          <w:rFonts w:ascii="Calibri" w:cs="Calibri" w:eastAsia="Calibri" w:hAnsi="Calibri"/>
          <w:sz w:val="20"/>
          <w:szCs w:val="20"/>
        </w:rPr>
        <w:t xml:space="preserve">The backend automatically switches between OAuth token (inside SPCS) and username/password (local environment).</w:t>
      </w:r>
    </w:p>
    <w:p>
      <w:pPr>
        <w:spacing w:after="80"/>
      </w:pPr>
    </w:p>
    <w:p>
      <w:pPr>
        <w:pStyle w:val="Heading2"/>
        <w:spacing w:after="120" w:before="320"/>
      </w:pPr>
      <w:r>
        <w:rPr>
          <w:rFonts w:ascii="Calibri" w:cs="Calibri" w:eastAsia="Calibri" w:hAnsi="Calibri"/>
          <w:b/>
          <w:bCs/>
          <w:color w:val="2D6CC0"/>
          <w:sz w:val="28"/>
          <w:szCs w:val="28"/>
        </w:rPr>
        <w:t xml:space="preserve">1.3 Home Page</w:t>
      </w:r>
    </w:p>
    <w:p>
      <w:pPr>
        <w:spacing w:after="120" w:line="276" w:lineRule="auto"/>
      </w:pPr>
      <w:r>
        <w:rPr>
          <w:rFonts w:ascii="Calibri" w:cs="Calibri" w:eastAsia="Calibri" w:hAnsi="Calibri"/>
          <w:sz w:val="22"/>
          <w:szCs w:val="22"/>
        </w:rPr>
        <w:t xml:space="preserve">The Home page is the main operational dashboard of the RAISE platform. It displays real-time KPI metrics, trend charts, and dynamically computed spike-based alerts. It also provides four navigation cards: Talk to Document, Talk to Data, Regulatory Audit Compliance, and Lineage Graph.</w:t>
      </w:r>
    </w:p>
    <w:p>
      <w:pPr>
        <w:spacing w:after="120" w:line="276" w:lineRule="auto"/>
      </w:pPr>
      <w:r>
        <w:rPr>
          <w:rFonts w:ascii="Calibri" w:cs="Calibri" w:eastAsia="Calibri" w:hAnsi="Calibri"/>
          <w:sz w:val="22"/>
          <w:szCs w:val="22"/>
        </w:rPr>
        <w:t xml:space="preserve">URL: https://jgdedud-pihjdmo-capgemini-apac-poc.snowflakecomputing.app</w:t>
      </w:r>
    </w:p>
    <w:p>
      <w:pPr>
        <w:pStyle w:val="Heading3"/>
        <w:spacing w:after="120" w:before="280"/>
      </w:pPr>
      <w:r>
        <w:rPr>
          <w:rFonts w:ascii="Calibri" w:cs="Calibri" w:eastAsia="Calibri" w:hAnsi="Calibri"/>
          <w:b/>
          <w:bCs/>
          <w:color w:val="2D6CC0"/>
          <w:sz w:val="24"/>
          <w:szCs w:val="24"/>
        </w:rPr>
        <w:t xml:space="preserve">API Calls on Home Page Load</w:t>
      </w:r>
    </w:p>
    <w:p>
      <w:pPr>
        <w:pStyle w:val="ListParagraph"/>
        <w:numPr>
          <w:ilvl w:val="0"/>
          <w:numId w:val="2"/>
        </w:numPr>
        <w:spacing w:after="80" w:line="276" w:lineRule="auto"/>
      </w:pPr>
      <w:r>
        <w:rPr>
          <w:rFonts w:ascii="Calibri" w:cs="Calibri" w:eastAsia="Calibri" w:hAnsi="Calibri"/>
          <w:b w:val="false"/>
          <w:bCs w:val="false"/>
          <w:sz w:val="22"/>
          <w:szCs w:val="22"/>
        </w:rPr>
        <w:t xml:space="preserve">chatbots — Returns the list of existing chatbots.</w:t>
      </w:r>
    </w:p>
    <w:p>
      <w:pPr>
        <w:pStyle w:val="ListParagraph"/>
        <w:numPr>
          <w:ilvl w:val="0"/>
          <w:numId w:val="2"/>
        </w:numPr>
        <w:spacing w:after="80" w:line="276" w:lineRule="auto"/>
      </w:pPr>
      <w:r>
        <w:rPr>
          <w:rFonts w:ascii="Calibri" w:cs="Calibri" w:eastAsia="Calibri" w:hAnsi="Calibri"/>
          <w:b w:val="false"/>
          <w:bCs w:val="false"/>
          <w:sz w:val="22"/>
          <w:szCs w:val="22"/>
        </w:rPr>
        <w:t xml:space="preserve">pipeline — Returns the list of existing pipelines.</w:t>
      </w:r>
    </w:p>
    <w:p>
      <w:pPr>
        <w:pStyle w:val="ListParagraph"/>
        <w:numPr>
          <w:ilvl w:val="0"/>
          <w:numId w:val="2"/>
        </w:numPr>
        <w:spacing w:after="80" w:line="276" w:lineRule="auto"/>
      </w:pPr>
      <w:r>
        <w:rPr>
          <w:rFonts w:ascii="Calibri" w:cs="Calibri" w:eastAsia="Calibri" w:hAnsi="Calibri"/>
          <w:b w:val="false"/>
          <w:bCs w:val="false"/>
          <w:sz w:val="22"/>
          <w:szCs w:val="22"/>
        </w:rPr>
        <w:t xml:space="preserve">current-user — Fetches the authenticated Snowflake user identity.</w:t>
      </w:r>
    </w:p>
    <w:p>
      <w:pPr>
        <w:pStyle w:val="ListParagraph"/>
        <w:numPr>
          <w:ilvl w:val="0"/>
          <w:numId w:val="2"/>
        </w:numPr>
        <w:spacing w:after="80" w:line="276" w:lineRule="auto"/>
      </w:pPr>
      <w:r>
        <w:rPr>
          <w:rFonts w:ascii="Calibri" w:cs="Calibri" w:eastAsia="Calibri" w:hAnsi="Calibri"/>
          <w:b w:val="false"/>
          <w:bCs w:val="false"/>
          <w:sz w:val="22"/>
          <w:szCs w:val="22"/>
        </w:rPr>
        <w:t xml:space="preserve">prompts — Returns existing prompt templates.</w:t>
      </w:r>
    </w:p>
    <w:p>
      <w:pPr>
        <w:pStyle w:val="ListParagraph"/>
        <w:numPr>
          <w:ilvl w:val="0"/>
          <w:numId w:val="2"/>
        </w:numPr>
        <w:spacing w:after="80" w:line="276" w:lineRule="auto"/>
      </w:pPr>
      <w:r>
        <w:rPr>
          <w:rFonts w:ascii="Calibri" w:cs="Calibri" w:eastAsia="Calibri" w:hAnsi="Calibri"/>
          <w:b w:val="false"/>
          <w:bCs w:val="false"/>
          <w:sz w:val="22"/>
          <w:szCs w:val="22"/>
        </w:rPr>
        <w:t xml:space="preserve">current-role — Returns the user's Snowflake RBAC role (administrative privileges).</w:t>
      </w:r>
    </w:p>
    <w:p>
      <w:pPr>
        <w:pStyle w:val="ListParagraph"/>
        <w:numPr>
          <w:ilvl w:val="0"/>
          <w:numId w:val="2"/>
        </w:numPr>
        <w:spacing w:after="80" w:line="276" w:lineRule="auto"/>
      </w:pPr>
      <w:r>
        <w:rPr>
          <w:rFonts w:ascii="Calibri" w:cs="Calibri" w:eastAsia="Calibri" w:hAnsi="Calibri"/>
          <w:b w:val="false"/>
          <w:bCs w:val="false"/>
          <w:sz w:val="22"/>
          <w:szCs w:val="22"/>
        </w:rPr>
        <w:t xml:space="preserve">current-access — Returns the user's effective permissions for the session.</w:t>
      </w:r>
    </w:p>
    <w:p>
      <w:pPr>
        <w:spacing w:after="80"/>
      </w:pPr>
    </w:p>
    <w:p>
      <w:pPr>
        <w:pStyle w:val="Heading3"/>
        <w:spacing w:after="120" w:before="280"/>
      </w:pPr>
      <w:r>
        <w:rPr>
          <w:rFonts w:ascii="Calibri" w:cs="Calibri" w:eastAsia="Calibri" w:hAnsi="Calibri"/>
          <w:b/>
          <w:bCs/>
          <w:color w:val="2D6CC0"/>
          <w:sz w:val="24"/>
          <w:szCs w:val="24"/>
        </w:rPr>
        <w:t xml:space="preserve">Home Page KPI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Delta Computation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Total Users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Distinct user count from the users API endpoint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Month-over-month delta computed from the monthly trend array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Total Conversations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Sum of conversation records in the current period</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Compared against the previous period for percentage change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Token Usage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Aggregate tokens consumed across all chatbot sessions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Month-over-month trend from the tokenTrendData array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Average Latency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Mean response latency in milliseconds across all chatbot calls</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Compared against the SPIKE.LATENCY_RED_MS threshold (3,000 ms)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CSAT (avg)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Average customer satisfaction score from user feedback</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Point-to-point delta from the csatPoints time series array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Adoption Rate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Percentage of entitled users who have interacted with the platform</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Compared against SPIKE.ADOPTION_GREEN (70%) and SPIKE.ADOPTION_RED (40%) thresholds</w:t>
            </w:r>
          </w:p>
        </w:tc>
      </w:tr>
    </w:tbl>
    <w:p>
      <w:pPr>
        <w:spacing w:after="80"/>
      </w:pPr>
    </w:p>
    <w:p>
      <w:pPr>
        <w:pStyle w:val="Heading3"/>
        <w:spacing w:after="120" w:before="280"/>
      </w:pPr>
      <w:r>
        <w:rPr>
          <w:rFonts w:ascii="Calibri" w:cs="Calibri" w:eastAsia="Calibri" w:hAnsi="Calibri"/>
          <w:b/>
          <w:bCs/>
          <w:color w:val="2D6CC0"/>
          <w:sz w:val="24"/>
          <w:szCs w:val="24"/>
        </w:rPr>
        <w:t xml:space="preserve">Spike Alert Logic</w:t>
      </w:r>
    </w:p>
    <w:p>
      <w:pPr>
        <w:spacing w:after="120" w:line="276" w:lineRule="auto"/>
      </w:pPr>
      <w:r>
        <w:rPr>
          <w:rFonts w:ascii="Calibri" w:cs="Calibri" w:eastAsia="Calibri" w:hAnsi="Calibri"/>
          <w:sz w:val="22"/>
          <w:szCs w:val="22"/>
        </w:rPr>
        <w:t xml:space="preserve">After all metrics are fetched, the Home page computes dynamic alert banners by comparing each metric against the SPIKE configuration thresholds:</w:t>
      </w:r>
    </w:p>
    <w:p>
      <w:pPr>
        <w:pStyle w:val="ListParagraph"/>
        <w:numPr>
          <w:ilvl w:val="0"/>
          <w:numId w:val="2"/>
        </w:numPr>
        <w:spacing w:after="80" w:line="276" w:lineRule="auto"/>
      </w:pPr>
      <w:r>
        <w:rPr>
          <w:rFonts w:ascii="Calibri" w:cs="Calibri" w:eastAsia="Calibri" w:hAnsi="Calibri"/>
          <w:b w:val="false"/>
          <w:bCs w:val="false"/>
          <w:sz w:val="22"/>
          <w:szCs w:val="22"/>
        </w:rPr>
        <w:t xml:space="preserve">Token usage month-over-month change &gt; 20% triggers a warning; a decrease &gt; 10% triggers a positive alert.</w:t>
      </w:r>
    </w:p>
    <w:p>
      <w:pPr>
        <w:pStyle w:val="ListParagraph"/>
        <w:numPr>
          <w:ilvl w:val="0"/>
          <w:numId w:val="2"/>
        </w:numPr>
        <w:spacing w:after="80" w:line="276" w:lineRule="auto"/>
      </w:pPr>
      <w:r>
        <w:rPr>
          <w:rFonts w:ascii="Calibri" w:cs="Calibri" w:eastAsia="Calibri" w:hAnsi="Calibri"/>
          <w:b w:val="false"/>
          <w:bCs w:val="false"/>
          <w:sz w:val="22"/>
          <w:szCs w:val="22"/>
        </w:rPr>
        <w:t xml:space="preserve">User growth month-over-month &gt; 15% triggers a positive alert.</w:t>
      </w:r>
    </w:p>
    <w:p>
      <w:pPr>
        <w:pStyle w:val="ListParagraph"/>
        <w:numPr>
          <w:ilvl w:val="0"/>
          <w:numId w:val="2"/>
        </w:numPr>
        <w:spacing w:after="80" w:line="276" w:lineRule="auto"/>
      </w:pPr>
      <w:r>
        <w:rPr>
          <w:rFonts w:ascii="Calibri" w:cs="Calibri" w:eastAsia="Calibri" w:hAnsi="Calibri"/>
          <w:b w:val="false"/>
          <w:bCs w:val="false"/>
          <w:sz w:val="22"/>
          <w:szCs w:val="22"/>
        </w:rPr>
        <w:t xml:space="preserve">Conversation volume month-over-month change &gt; 30% triggers a warning; a decrease &gt; 20% triggers a positive alert.</w:t>
      </w:r>
    </w:p>
    <w:p>
      <w:pPr>
        <w:pStyle w:val="ListParagraph"/>
        <w:numPr>
          <w:ilvl w:val="0"/>
          <w:numId w:val="2"/>
        </w:numPr>
        <w:spacing w:after="80" w:line="276" w:lineRule="auto"/>
      </w:pPr>
      <w:r>
        <w:rPr>
          <w:rFonts w:ascii="Calibri" w:cs="Calibri" w:eastAsia="Calibri" w:hAnsi="Calibri"/>
          <w:b w:val="false"/>
          <w:bCs w:val="false"/>
          <w:sz w:val="22"/>
          <w:szCs w:val="22"/>
        </w:rPr>
        <w:t xml:space="preserve">Average latency exceeding 3,000 ms triggers a warning.</w:t>
      </w:r>
    </w:p>
    <w:p>
      <w:pPr>
        <w:pStyle w:val="ListParagraph"/>
        <w:numPr>
          <w:ilvl w:val="0"/>
          <w:numId w:val="2"/>
        </w:numPr>
        <w:spacing w:after="80" w:line="276" w:lineRule="auto"/>
      </w:pPr>
      <w:r>
        <w:rPr>
          <w:rFonts w:ascii="Calibri" w:cs="Calibri" w:eastAsia="Calibri" w:hAnsi="Calibri"/>
          <w:b w:val="false"/>
          <w:bCs w:val="false"/>
          <w:sz w:val="22"/>
          <w:szCs w:val="22"/>
        </w:rPr>
        <w:t xml:space="preserve">CSAT score below 3.5 triggers a warning; an improvement of 0.5 or more triggers a positive alert.</w:t>
      </w:r>
    </w:p>
    <w:p>
      <w:pPr>
        <w:pStyle w:val="ListParagraph"/>
        <w:numPr>
          <w:ilvl w:val="0"/>
          <w:numId w:val="2"/>
        </w:numPr>
        <w:spacing w:after="80" w:line="276" w:lineRule="auto"/>
      </w:pPr>
      <w:r>
        <w:rPr>
          <w:rFonts w:ascii="Calibri" w:cs="Calibri" w:eastAsia="Calibri" w:hAnsi="Calibri"/>
          <w:b w:val="false"/>
          <w:bCs w:val="false"/>
          <w:sz w:val="22"/>
          <w:szCs w:val="22"/>
        </w:rPr>
        <w:t xml:space="preserve">Adoption rate at or above 70% triggers a positive alert; at or below 40% triggers a warning.</w:t>
      </w:r>
    </w:p>
    <w:p>
      <w:pPr>
        <w:spacing w:after="80"/>
      </w:pPr>
    </w:p>
    <w:p>
      <w:pPr>
        <w:pStyle w:val="Heading2"/>
        <w:spacing w:after="120" w:before="320"/>
      </w:pPr>
      <w:r>
        <w:rPr>
          <w:rFonts w:ascii="Calibri" w:cs="Calibri" w:eastAsia="Calibri" w:hAnsi="Calibri"/>
          <w:b/>
          <w:bCs/>
          <w:color w:val="2D6CC0"/>
          <w:sz w:val="28"/>
          <w:szCs w:val="28"/>
        </w:rPr>
        <w:t xml:space="preserve">1.4 Account Options</w:t>
      </w:r>
    </w:p>
    <w:p>
      <w:pPr>
        <w:spacing w:after="120" w:line="276" w:lineRule="auto"/>
      </w:pPr>
      <w:r>
        <w:rPr>
          <w:rFonts w:ascii="Calibri" w:cs="Calibri" w:eastAsia="Calibri" w:hAnsi="Calibri"/>
          <w:sz w:val="22"/>
          <w:szCs w:val="22"/>
        </w:rPr>
        <w:t xml:space="preserve">Clicking the account icon in the top-right corner exposes three options:</w:t>
      </w:r>
    </w:p>
    <w:p>
      <w:pPr>
        <w:pStyle w:val="ListParagraph"/>
        <w:numPr>
          <w:ilvl w:val="0"/>
          <w:numId w:val="2"/>
        </w:numPr>
        <w:spacing w:after="80" w:line="276" w:lineRule="auto"/>
      </w:pPr>
      <w:r>
        <w:rPr>
          <w:rFonts w:ascii="Calibri" w:cs="Calibri" w:eastAsia="Calibri" w:hAnsi="Calibri"/>
          <w:b w:val="false"/>
          <w:bCs w:val="false"/>
          <w:sz w:val="22"/>
          <w:szCs w:val="22"/>
        </w:rPr>
        <w:t xml:space="preserve">About — Displays version and usage information in a modal dialog.</w:t>
      </w:r>
    </w:p>
    <w:p>
      <w:pPr>
        <w:pStyle w:val="ListParagraph"/>
        <w:numPr>
          <w:ilvl w:val="0"/>
          <w:numId w:val="2"/>
        </w:numPr>
        <w:spacing w:after="80" w:line="276" w:lineRule="auto"/>
      </w:pPr>
      <w:r>
        <w:rPr>
          <w:rFonts w:ascii="Calibri" w:cs="Calibri" w:eastAsia="Calibri" w:hAnsi="Calibri"/>
          <w:b w:val="false"/>
          <w:bCs w:val="false"/>
          <w:sz w:val="22"/>
          <w:szCs w:val="22"/>
        </w:rPr>
        <w:t xml:space="preserve">Settings — Navigates to the Settings page for email notification configuration.</w:t>
      </w:r>
    </w:p>
    <w:p>
      <w:pPr>
        <w:pStyle w:val="ListParagraph"/>
        <w:numPr>
          <w:ilvl w:val="0"/>
          <w:numId w:val="2"/>
        </w:numPr>
        <w:spacing w:after="80" w:line="276" w:lineRule="auto"/>
      </w:pPr>
      <w:r>
        <w:rPr>
          <w:rFonts w:ascii="Calibri" w:cs="Calibri" w:eastAsia="Calibri" w:hAnsi="Calibri"/>
          <w:b w:val="false"/>
          <w:bCs w:val="false"/>
          <w:sz w:val="22"/>
          <w:szCs w:val="22"/>
        </w:rPr>
        <w:t xml:space="preserve">Access Control — Available to RAISE_ADMIN role only; manages role-based permissions for all users.</w:t>
      </w:r>
    </w:p>
    <w:p>
      <w:pPr>
        <w:spacing w:after="80"/>
      </w:pPr>
    </w:p>
    <w:p>
      <w:pPr>
        <w:pStyle w:val="Heading3"/>
        <w:spacing w:after="120" w:before="280"/>
      </w:pPr>
      <w:r>
        <w:rPr>
          <w:rFonts w:ascii="Calibri" w:cs="Calibri" w:eastAsia="Calibri" w:hAnsi="Calibri"/>
          <w:b/>
          <w:bCs/>
          <w:color w:val="2D6CC0"/>
          <w:sz w:val="24"/>
          <w:szCs w:val="24"/>
        </w:rPr>
        <w:t xml:space="preserve">Settings Page</w:t>
      </w:r>
    </w:p>
    <w:p>
      <w:pPr>
        <w:spacing w:after="120" w:line="276" w:lineRule="auto"/>
      </w:pPr>
      <w:r>
        <w:rPr>
          <w:rFonts w:ascii="Calibri" w:cs="Calibri" w:eastAsia="Calibri" w:hAnsi="Calibri"/>
          <w:sz w:val="22"/>
          <w:szCs w:val="22"/>
        </w:rPr>
        <w:t xml:space="preserve">Users can update their email address to receive error notifications. The update_procedure_email POST API updates the saved email address on the backend.</w:t>
      </w:r>
    </w:p>
    <w:p>
      <w:pPr>
        <w:spacing w:after="80"/>
      </w:pPr>
    </w:p>
    <w:p>
      <w:pPr>
        <w:pStyle w:val="Heading3"/>
        <w:spacing w:after="120" w:before="280"/>
      </w:pPr>
      <w:r>
        <w:rPr>
          <w:rFonts w:ascii="Calibri" w:cs="Calibri" w:eastAsia="Calibri" w:hAnsi="Calibri"/>
          <w:b/>
          <w:bCs/>
          <w:color w:val="2D6CC0"/>
          <w:sz w:val="24"/>
          <w:szCs w:val="24"/>
        </w:rPr>
        <w:t xml:space="preserve">Access Control Page</w:t>
      </w:r>
    </w:p>
    <w:p>
      <w:pPr>
        <w:spacing w:after="120" w:line="276" w:lineRule="auto"/>
      </w:pPr>
      <w:r>
        <w:rPr>
          <w:rFonts w:ascii="Calibri" w:cs="Calibri" w:eastAsia="Calibri" w:hAnsi="Calibri"/>
          <w:sz w:val="22"/>
          <w:szCs w:val="22"/>
        </w:rPr>
        <w:t xml:space="preserve">URL: https://jgdedud-pihjdmo-capgemini-apac-poc.snowflakecomputing.app/access-control</w:t>
      </w:r>
    </w:p>
    <w:p>
      <w:pPr>
        <w:spacing w:after="120" w:line="276" w:lineRule="auto"/>
      </w:pPr>
      <w:r>
        <w:rPr>
          <w:rFonts w:ascii="Calibri" w:cs="Calibri" w:eastAsia="Calibri" w:hAnsi="Calibri"/>
          <w:sz w:val="22"/>
          <w:szCs w:val="22"/>
        </w:rPr>
        <w:t xml:space="preserve">The Access Control page allows administrators to manage permissions assigned to different user roles. Admins can modify access by checking or unchecking permission checkboxes and clicking Save Permissions.</w:t>
      </w:r>
    </w:p>
    <w:p>
      <w:pPr>
        <w:pStyle w:val="ListParagraph"/>
        <w:numPr>
          <w:ilvl w:val="0"/>
          <w:numId w:val="2"/>
        </w:numPr>
        <w:spacing w:after="80" w:line="276" w:lineRule="auto"/>
      </w:pPr>
      <w:r>
        <w:rPr>
          <w:rFonts w:ascii="Calibri" w:cs="Calibri" w:eastAsia="Calibri" w:hAnsi="Calibri"/>
          <w:b w:val="false"/>
          <w:bCs w:val="false"/>
          <w:sz w:val="22"/>
          <w:szCs w:val="22"/>
        </w:rPr>
        <w:t xml:space="preserve">current-access — Verifies that the requesting user has permission to modify access.</w:t>
      </w:r>
    </w:p>
    <w:p>
      <w:pPr>
        <w:pStyle w:val="ListParagraph"/>
        <w:numPr>
          <w:ilvl w:val="0"/>
          <w:numId w:val="2"/>
        </w:numPr>
        <w:spacing w:after="80" w:line="276" w:lineRule="auto"/>
      </w:pPr>
      <w:r>
        <w:rPr>
          <w:rFonts w:ascii="Calibri" w:cs="Calibri" w:eastAsia="Calibri" w:hAnsi="Calibri"/>
          <w:b w:val="false"/>
          <w:bCs w:val="false"/>
          <w:sz w:val="22"/>
          <w:szCs w:val="22"/>
        </w:rPr>
        <w:t xml:space="preserve">update — Updates permissions based on the new configuration set by the administrator.</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2. Application Architecture &amp; State Management</w:t>
      </w:r>
    </w:p>
    <w:p>
      <w:pPr>
        <w:pStyle w:val="Heading2"/>
        <w:spacing w:after="120" w:before="320"/>
      </w:pPr>
      <w:r>
        <w:rPr>
          <w:rFonts w:ascii="Calibri" w:cs="Calibri" w:eastAsia="Calibri" w:hAnsi="Calibri"/>
          <w:b/>
          <w:bCs/>
          <w:color w:val="2D6CC0"/>
          <w:sz w:val="28"/>
          <w:szCs w:val="28"/>
        </w:rPr>
        <w:t xml:space="preserve">2.1 Application Entry Flow</w:t>
      </w:r>
    </w:p>
    <w:p>
      <w:pPr>
        <w:spacing w:after="120" w:line="276" w:lineRule="auto"/>
      </w:pPr>
      <w:r>
        <w:rPr>
          <w:rFonts w:ascii="Calibri" w:cs="Calibri" w:eastAsia="Calibri" w:hAnsi="Calibri"/>
          <w:sz w:val="22"/>
          <w:szCs w:val="22"/>
        </w:rPr>
        <w:t xml:space="preserve">The application mounts from main.tsx, which creates a React DOM root and renders the top-level RootApp component. App.tsx composes the full provider tree in a deterministic order:</w:t>
      </w:r>
    </w:p>
    <w:p>
      <w:pPr>
        <w:pStyle w:val="ListParagraph"/>
        <w:numPr>
          <w:ilvl w:val="0"/>
          <w:numId w:val="2"/>
        </w:numPr>
        <w:spacing w:after="80" w:line="276" w:lineRule="auto"/>
      </w:pPr>
      <w:r>
        <w:rPr>
          <w:rFonts w:ascii="Calibri" w:cs="Calibri" w:eastAsia="Calibri" w:hAnsi="Calibri"/>
          <w:b w:val="false"/>
          <w:bCs w:val="false"/>
          <w:sz w:val="22"/>
          <w:szCs w:val="22"/>
        </w:rPr>
        <w:t xml:space="preserve">ErrorBoundary — Wraps the entire tree to catch unhandled render-time exceptions and display a recovery UI.</w:t>
      </w:r>
    </w:p>
    <w:p>
      <w:pPr>
        <w:pStyle w:val="ListParagraph"/>
        <w:numPr>
          <w:ilvl w:val="0"/>
          <w:numId w:val="2"/>
        </w:numPr>
        <w:spacing w:after="80" w:line="276" w:lineRule="auto"/>
      </w:pPr>
      <w:r>
        <w:rPr>
          <w:rFonts w:ascii="Calibri" w:cs="Calibri" w:eastAsia="Calibri" w:hAnsi="Calibri"/>
          <w:b w:val="false"/>
          <w:bCs w:val="false"/>
          <w:sz w:val="22"/>
          <w:szCs w:val="22"/>
        </w:rPr>
        <w:t xml:space="preserve">ThemeProvider — Injects the Material UI light theme, derived from the SCSS design token palette, into all MUI components.</w:t>
      </w:r>
    </w:p>
    <w:p>
      <w:pPr>
        <w:pStyle w:val="ListParagraph"/>
        <w:numPr>
          <w:ilvl w:val="0"/>
          <w:numId w:val="2"/>
        </w:numPr>
        <w:spacing w:after="80" w:line="276" w:lineRule="auto"/>
      </w:pPr>
      <w:r>
        <w:rPr>
          <w:rFonts w:ascii="Calibri" w:cs="Calibri" w:eastAsia="Calibri" w:hAnsi="Calibri"/>
          <w:b w:val="false"/>
          <w:bCs w:val="false"/>
          <w:sz w:val="22"/>
          <w:szCs w:val="22"/>
        </w:rPr>
        <w:t xml:space="preserve">BrowserRouter — Enables declarative URL-based navigation via React Router DOM.</w:t>
      </w:r>
    </w:p>
    <w:p>
      <w:pPr>
        <w:pStyle w:val="ListParagraph"/>
        <w:numPr>
          <w:ilvl w:val="0"/>
          <w:numId w:val="2"/>
        </w:numPr>
        <w:spacing w:after="80" w:line="276" w:lineRule="auto"/>
      </w:pPr>
      <w:r>
        <w:rPr>
          <w:rFonts w:ascii="Calibri" w:cs="Calibri" w:eastAsia="Calibri" w:hAnsi="Calibri"/>
          <w:b w:val="false"/>
          <w:bCs w:val="false"/>
          <w:sz w:val="22"/>
          <w:szCs w:val="22"/>
        </w:rPr>
        <w:t xml:space="preserve">AppProvider — Initialises user identity, RBAC permissions, application mode (TalkToDocument vs TalkToData), and sidebar collapse state by calling Snowflake and RBAC APIs in parallel on mount.</w:t>
      </w:r>
    </w:p>
    <w:p>
      <w:pPr>
        <w:pStyle w:val="ListParagraph"/>
        <w:numPr>
          <w:ilvl w:val="0"/>
          <w:numId w:val="2"/>
        </w:numPr>
        <w:spacing w:after="80" w:line="276" w:lineRule="auto"/>
      </w:pPr>
      <w:r>
        <w:rPr>
          <w:rFonts w:ascii="Calibri" w:cs="Calibri" w:eastAsia="Calibri" w:hAnsi="Calibri"/>
          <w:b w:val="false"/>
          <w:bCs w:val="false"/>
          <w:sz w:val="22"/>
          <w:szCs w:val="22"/>
        </w:rPr>
        <w:t xml:space="preserve">NotificationProvider — Registers the global toast notification system and wires it to the singleton NotificationService used by Axios interceptors.</w:t>
      </w:r>
    </w:p>
    <w:p>
      <w:pPr>
        <w:pStyle w:val="ListParagraph"/>
        <w:numPr>
          <w:ilvl w:val="0"/>
          <w:numId w:val="2"/>
        </w:numPr>
        <w:spacing w:after="80" w:line="276" w:lineRule="auto"/>
      </w:pPr>
      <w:r>
        <w:rPr>
          <w:rFonts w:ascii="Calibri" w:cs="Calibri" w:eastAsia="Calibri" w:hAnsi="Calibri"/>
          <w:b w:val="false"/>
          <w:bCs w:val="false"/>
          <w:sz w:val="22"/>
          <w:szCs w:val="22"/>
        </w:rPr>
        <w:t xml:space="preserve">ChatbotProvider — Fetches available chatbots, pipelines, and prompts on mount; exposes selection state and actions to the Experimentation page.</w:t>
      </w:r>
    </w:p>
    <w:p>
      <w:pPr>
        <w:pStyle w:val="ListParagraph"/>
        <w:numPr>
          <w:ilvl w:val="0"/>
          <w:numId w:val="2"/>
        </w:numPr>
        <w:spacing w:after="80" w:line="276" w:lineRule="auto"/>
      </w:pPr>
      <w:r>
        <w:rPr>
          <w:rFonts w:ascii="Calibri" w:cs="Calibri" w:eastAsia="Calibri" w:hAnsi="Calibri"/>
          <w:b w:val="false"/>
          <w:bCs w:val="false"/>
          <w:sz w:val="22"/>
          <w:szCs w:val="22"/>
        </w:rPr>
        <w:t xml:space="preserve">Layout — Renders the persistent Sidebar and Header around a main content area.</w:t>
      </w:r>
    </w:p>
    <w:p>
      <w:pPr>
        <w:pStyle w:val="ListParagraph"/>
        <w:numPr>
          <w:ilvl w:val="0"/>
          <w:numId w:val="2"/>
        </w:numPr>
        <w:spacing w:after="80" w:line="276" w:lineRule="auto"/>
      </w:pPr>
      <w:r>
        <w:rPr>
          <w:rFonts w:ascii="Calibri" w:cs="Calibri" w:eastAsia="Calibri" w:hAnsi="Calibri"/>
          <w:b w:val="false"/>
          <w:bCs w:val="false"/>
          <w:sz w:val="22"/>
          <w:szCs w:val="22"/>
        </w:rPr>
        <w:t xml:space="preserve">Suspense + AppRoutes — Lazy-loads each page component on demand, showing a Loader fallback during the import phase.</w:t>
      </w:r>
    </w:p>
    <w:p>
      <w:pPr>
        <w:spacing w:after="80"/>
      </w:pPr>
    </w:p>
    <w:p>
      <w:pPr>
        <w:pStyle w:val="Heading2"/>
        <w:spacing w:after="120" w:before="320"/>
      </w:pPr>
      <w:r>
        <w:rPr>
          <w:rFonts w:ascii="Calibri" w:cs="Calibri" w:eastAsia="Calibri" w:hAnsi="Calibri"/>
          <w:b/>
          <w:bCs/>
          <w:color w:val="2D6CC0"/>
          <w:sz w:val="28"/>
          <w:szCs w:val="28"/>
        </w:rPr>
        <w:t xml:space="preserve">2.2 Project Structure</w:t>
      </w:r>
    </w:p>
    <w:p>
      <w:pPr>
        <w:spacing w:after="120" w:line="276" w:lineRule="auto"/>
      </w:pPr>
      <w:r>
        <w:rPr>
          <w:rFonts w:ascii="Calibri" w:cs="Calibri" w:eastAsia="Calibri" w:hAnsi="Calibri"/>
          <w:sz w:val="22"/>
          <w:szCs w:val="22"/>
        </w:rPr>
        <w:t xml:space="preserve">The source tree is organised by technical role under src/. Key top-level directories include:</w:t>
      </w:r>
    </w:p>
    <w:p>
      <w:pPr>
        <w:pStyle w:val="ListParagraph"/>
        <w:numPr>
          <w:ilvl w:val="0"/>
          <w:numId w:val="2"/>
        </w:numPr>
        <w:spacing w:after="80" w:line="276" w:lineRule="auto"/>
      </w:pPr>
      <w:r>
        <w:rPr>
          <w:rFonts w:ascii="Calibri" w:cs="Calibri" w:eastAsia="Calibri" w:hAnsi="Calibri"/>
          <w:b w:val="false"/>
          <w:bCs w:val="false"/>
          <w:sz w:val="22"/>
          <w:szCs w:val="22"/>
        </w:rPr>
        <w:t xml:space="preserve">api/ — Centralised HTTP layer: the base Axios instance, the apiClient wrapper, error enrichment logic, user-facing error string maps, a singleton notification bridge, and one endpoint module per backend domain.</w:t>
      </w:r>
    </w:p>
    <w:p>
      <w:pPr>
        <w:pStyle w:val="ListParagraph"/>
        <w:numPr>
          <w:ilvl w:val="0"/>
          <w:numId w:val="2"/>
        </w:numPr>
        <w:spacing w:after="80" w:line="276" w:lineRule="auto"/>
      </w:pPr>
      <w:r>
        <w:rPr>
          <w:rFonts w:ascii="Calibri" w:cs="Calibri" w:eastAsia="Calibri" w:hAnsi="Calibri"/>
          <w:b w:val="false"/>
          <w:bCs w:val="false"/>
          <w:sz w:val="22"/>
          <w:szCs w:val="22"/>
        </w:rPr>
        <w:t xml:space="preserve">components/ — Divided into common/ (application-wide utilities such as ErrorBoundary and Loader) and ui/ (reusable presentational components such as charts, dialogs, dropdowns, and chat bubbles).</w:t>
      </w:r>
    </w:p>
    <w:p>
      <w:pPr>
        <w:pStyle w:val="ListParagraph"/>
        <w:numPr>
          <w:ilvl w:val="0"/>
          <w:numId w:val="2"/>
        </w:numPr>
        <w:spacing w:after="80" w:line="276" w:lineRule="auto"/>
      </w:pPr>
      <w:r>
        <w:rPr>
          <w:rFonts w:ascii="Calibri" w:cs="Calibri" w:eastAsia="Calibri" w:hAnsi="Calibri"/>
          <w:b w:val="false"/>
          <w:bCs w:val="false"/>
          <w:sz w:val="22"/>
          <w:szCs w:val="22"/>
        </w:rPr>
        <w:t xml:space="preserve">context/ — Three React Context providers: AppContext (user identity and RBAC), ChatbotContext (chatbot/pipeline/prompt selection), and NotificationContext (global toast notifications).</w:t>
      </w:r>
    </w:p>
    <w:p>
      <w:pPr>
        <w:pStyle w:val="ListParagraph"/>
        <w:numPr>
          <w:ilvl w:val="0"/>
          <w:numId w:val="2"/>
        </w:numPr>
        <w:spacing w:after="80" w:line="276" w:lineRule="auto"/>
      </w:pPr>
      <w:r>
        <w:rPr>
          <w:rFonts w:ascii="Calibri" w:cs="Calibri" w:eastAsia="Calibri" w:hAnsi="Calibri"/>
          <w:b w:val="false"/>
          <w:bCs w:val="false"/>
          <w:sz w:val="22"/>
          <w:szCs w:val="22"/>
        </w:rPr>
        <w:t xml:space="preserve">pages/ — One folder per route, each containing the page component plus page-specific sub-components and stylesheets.</w:t>
      </w:r>
    </w:p>
    <w:p>
      <w:pPr>
        <w:pStyle w:val="ListParagraph"/>
        <w:numPr>
          <w:ilvl w:val="0"/>
          <w:numId w:val="2"/>
        </w:numPr>
        <w:spacing w:after="80" w:line="276" w:lineRule="auto"/>
      </w:pPr>
      <w:r>
        <w:rPr>
          <w:rFonts w:ascii="Calibri" w:cs="Calibri" w:eastAsia="Calibri" w:hAnsi="Calibri"/>
          <w:b w:val="false"/>
          <w:bCs w:val="false"/>
          <w:sz w:val="22"/>
          <w:szCs w:val="22"/>
        </w:rPr>
        <w:t xml:space="preserve">routes/ — The AppRoutes component: all lazy-loaded routes and their RBAC guard wrappers (RequirePermission, RequireAdmin).</w:t>
      </w:r>
    </w:p>
    <w:p>
      <w:pPr>
        <w:pStyle w:val="ListParagraph"/>
        <w:numPr>
          <w:ilvl w:val="0"/>
          <w:numId w:val="2"/>
        </w:numPr>
        <w:spacing w:after="80" w:line="276" w:lineRule="auto"/>
      </w:pPr>
      <w:r>
        <w:rPr>
          <w:rFonts w:ascii="Calibri" w:cs="Calibri" w:eastAsia="Calibri" w:hAnsi="Calibri"/>
          <w:b w:val="false"/>
          <w:bCs w:val="false"/>
          <w:sz w:val="22"/>
          <w:szCs w:val="22"/>
        </w:rPr>
        <w:t xml:space="preserve">layout/ — The persistent shell (Layout.tsx) comprising the collapsible Sidebar and top Header.</w:t>
      </w:r>
    </w:p>
    <w:p>
      <w:pPr>
        <w:pStyle w:val="ListParagraph"/>
        <w:numPr>
          <w:ilvl w:val="0"/>
          <w:numId w:val="2"/>
        </w:numPr>
        <w:spacing w:after="80" w:line="276" w:lineRule="auto"/>
      </w:pPr>
      <w:r>
        <w:rPr>
          <w:rFonts w:ascii="Calibri" w:cs="Calibri" w:eastAsia="Calibri" w:hAnsi="Calibri"/>
          <w:b w:val="false"/>
          <w:bCs w:val="false"/>
          <w:sz w:val="22"/>
          <w:szCs w:val="22"/>
        </w:rPr>
        <w:t xml:space="preserve">styles/ — Global SCSS design tokens (tokens.scss), shared mixins (mixins.scss), and colour palette definitions (color.scss).</w:t>
      </w:r>
    </w:p>
    <w:p>
      <w:pPr>
        <w:pStyle w:val="ListParagraph"/>
        <w:numPr>
          <w:ilvl w:val="0"/>
          <w:numId w:val="2"/>
        </w:numPr>
        <w:spacing w:after="80" w:line="276" w:lineRule="auto"/>
      </w:pPr>
      <w:r>
        <w:rPr>
          <w:rFonts w:ascii="Calibri" w:cs="Calibri" w:eastAsia="Calibri" w:hAnsi="Calibri"/>
          <w:b w:val="false"/>
          <w:bCs w:val="false"/>
          <w:sz w:val="22"/>
          <w:szCs w:val="22"/>
        </w:rPr>
        <w:t xml:space="preserve">types/ — All TypeScript type definitions organised by domain, with a barrel index.ts for clean imports.</w:t>
      </w:r>
    </w:p>
    <w:p>
      <w:pPr>
        <w:pStyle w:val="ListParagraph"/>
        <w:numPr>
          <w:ilvl w:val="0"/>
          <w:numId w:val="2"/>
        </w:numPr>
        <w:spacing w:after="80" w:line="276" w:lineRule="auto"/>
      </w:pPr>
      <w:r>
        <w:rPr>
          <w:rFonts w:ascii="Calibri" w:cs="Calibri" w:eastAsia="Calibri" w:hAnsi="Calibri"/>
          <w:b w:val="false"/>
          <w:bCs w:val="false"/>
          <w:sz w:val="22"/>
          <w:szCs w:val="22"/>
        </w:rPr>
        <w:t xml:space="preserve">utils/ — Shared pure functions for RBAC access checks, text normalisation, chart formatting, token counting, and session handling.</w:t>
      </w:r>
    </w:p>
    <w:p>
      <w:pPr>
        <w:spacing w:after="80"/>
      </w:pPr>
    </w:p>
    <w:p>
      <w:pPr>
        <w:pStyle w:val="Heading2"/>
        <w:spacing w:after="120" w:before="320"/>
      </w:pPr>
      <w:r>
        <w:rPr>
          <w:rFonts w:ascii="Calibri" w:cs="Calibri" w:eastAsia="Calibri" w:hAnsi="Calibri"/>
          <w:b/>
          <w:bCs/>
          <w:color w:val="2D6CC0"/>
          <w:sz w:val="28"/>
          <w:szCs w:val="28"/>
        </w:rPr>
        <w:t xml:space="preserve">2.3 Global State Management (Context Providers)</w:t>
      </w:r>
    </w:p>
    <w:p>
      <w:pPr>
        <w:spacing w:after="120" w:line="276" w:lineRule="auto"/>
      </w:pPr>
      <w:r>
        <w:rPr>
          <w:rFonts w:ascii="Calibri" w:cs="Calibri" w:eastAsia="Calibri" w:hAnsi="Calibri"/>
          <w:sz w:val="22"/>
          <w:szCs w:val="22"/>
        </w:rPr>
        <w:t xml:space="preserve">Application state is partitioned across three React Context providers, each responsible for a clearly bounded domain.</w:t>
      </w:r>
    </w:p>
    <w:p>
      <w:pPr>
        <w:spacing w:after="80"/>
      </w:pPr>
    </w:p>
    <w:p>
      <w:pPr>
        <w:pStyle w:val="Heading3"/>
        <w:spacing w:after="120" w:before="280"/>
      </w:pPr>
      <w:r>
        <w:rPr>
          <w:rFonts w:ascii="Calibri" w:cs="Calibri" w:eastAsia="Calibri" w:hAnsi="Calibri"/>
          <w:b/>
          <w:bCs/>
          <w:color w:val="2D6CC0"/>
          <w:sz w:val="24"/>
          <w:szCs w:val="24"/>
        </w:rPr>
        <w:t xml:space="preserve">2.3.1 AppContext</w:t>
      </w:r>
    </w:p>
    <w:p>
      <w:pPr>
        <w:spacing w:after="120" w:line="276" w:lineRule="auto"/>
      </w:pPr>
      <w:r>
        <w:rPr>
          <w:rFonts w:ascii="Calibri" w:cs="Calibri" w:eastAsia="Calibri" w:hAnsi="Calibri"/>
          <w:sz w:val="22"/>
          <w:szCs w:val="22"/>
        </w:rPr>
        <w:t xml:space="preserve">AppContext is the central application state provider. It initialises on mount by calling Snowflake and RBAC APIs in parallel, then exposes:</w:t>
      </w:r>
    </w:p>
    <w:p>
      <w:pPr>
        <w:pStyle w:val="ListParagraph"/>
        <w:numPr>
          <w:ilvl w:val="0"/>
          <w:numId w:val="2"/>
        </w:numPr>
        <w:spacing w:after="80" w:line="276" w:lineRule="auto"/>
      </w:pPr>
      <w:r>
        <w:rPr>
          <w:rFonts w:ascii="Calibri" w:cs="Calibri" w:eastAsia="Calibri" w:hAnsi="Calibri"/>
          <w:b w:val="false"/>
          <w:bCs w:val="false"/>
          <w:sz w:val="22"/>
          <w:szCs w:val="22"/>
        </w:rPr>
        <w:t xml:space="preserve">sidebarCollapsed / toggleSidebar — Boolean flag and toggle controlling the left navigation panel width.</w:t>
      </w:r>
    </w:p>
    <w:p>
      <w:pPr>
        <w:pStyle w:val="ListParagraph"/>
        <w:numPr>
          <w:ilvl w:val="0"/>
          <w:numId w:val="2"/>
        </w:numPr>
        <w:spacing w:after="80" w:line="276" w:lineRule="auto"/>
      </w:pPr>
      <w:r>
        <w:rPr>
          <w:rFonts w:ascii="Calibri" w:cs="Calibri" w:eastAsia="Calibri" w:hAnsi="Calibri"/>
          <w:b w:val="false"/>
          <w:bCs w:val="false"/>
          <w:sz w:val="22"/>
          <w:szCs w:val="22"/>
        </w:rPr>
        <w:t xml:space="preserve">currentUser / isLoadingUser / userError — The authenticated Snowflake user record (USERID, USERNAME, LOGINNAME, EMAIL) and async loading state.</w:t>
      </w:r>
    </w:p>
    <w:p>
      <w:pPr>
        <w:pStyle w:val="ListParagraph"/>
        <w:numPr>
          <w:ilvl w:val="0"/>
          <w:numId w:val="2"/>
        </w:numPr>
        <w:spacing w:after="80" w:line="276" w:lineRule="auto"/>
      </w:pPr>
      <w:r>
        <w:rPr>
          <w:rFonts w:ascii="Calibri" w:cs="Calibri" w:eastAsia="Calibri" w:hAnsi="Calibri"/>
          <w:b w:val="false"/>
          <w:bCs w:val="false"/>
          <w:sz w:val="22"/>
          <w:szCs w:val="22"/>
        </w:rPr>
        <w:t xml:space="preserve">mode / setMode — The global application mode toggle between TalkToDocument and TalkToData.</w:t>
      </w:r>
    </w:p>
    <w:p>
      <w:pPr>
        <w:pStyle w:val="ListParagraph"/>
        <w:numPr>
          <w:ilvl w:val="0"/>
          <w:numId w:val="2"/>
        </w:numPr>
        <w:spacing w:after="80" w:line="276" w:lineRule="auto"/>
      </w:pPr>
      <w:r>
        <w:rPr>
          <w:rFonts w:ascii="Calibri" w:cs="Calibri" w:eastAsia="Calibri" w:hAnsi="Calibri"/>
          <w:b w:val="false"/>
          <w:bCs w:val="false"/>
          <w:sz w:val="22"/>
          <w:szCs w:val="22"/>
        </w:rPr>
        <w:t xml:space="preserve">currentRole / loadingRole — The user's Snowflake RBAC role, used for permission checks and displayed in the Header.</w:t>
      </w:r>
    </w:p>
    <w:p>
      <w:pPr>
        <w:pStyle w:val="ListParagraph"/>
        <w:numPr>
          <w:ilvl w:val="0"/>
          <w:numId w:val="2"/>
        </w:numPr>
        <w:spacing w:after="80" w:line="276" w:lineRule="auto"/>
      </w:pPr>
      <w:r>
        <w:rPr>
          <w:rFonts w:ascii="Calibri" w:cs="Calibri" w:eastAsia="Calibri" w:hAnsi="Calibri"/>
          <w:b w:val="false"/>
          <w:bCs w:val="false"/>
          <w:sz w:val="22"/>
          <w:szCs w:val="22"/>
        </w:rPr>
        <w:t xml:space="preserve">permissions — A flat page-keyed boolean map derived from the RBAC permission rows for the currentRole.</w:t>
      </w:r>
    </w:p>
    <w:p>
      <w:pPr>
        <w:pStyle w:val="ListParagraph"/>
        <w:numPr>
          <w:ilvl w:val="0"/>
          <w:numId w:val="2"/>
        </w:numPr>
        <w:spacing w:after="80" w:line="276" w:lineRule="auto"/>
      </w:pPr>
      <w:r>
        <w:rPr>
          <w:rFonts w:ascii="Calibri" w:cs="Calibri" w:eastAsia="Calibri" w:hAnsi="Calibri"/>
          <w:b w:val="false"/>
          <w:bCs w:val="false"/>
          <w:sz w:val="22"/>
          <w:szCs w:val="22"/>
        </w:rPr>
        <w:t xml:space="preserve">permissionRows — The raw, unfiltered permission matrix for all roles and pages, consumed by the AccessControl admin page.</w:t>
      </w:r>
    </w:p>
    <w:p>
      <w:pPr>
        <w:pStyle w:val="ListParagraph"/>
        <w:numPr>
          <w:ilvl w:val="0"/>
          <w:numId w:val="2"/>
        </w:numPr>
        <w:spacing w:after="80" w:line="276" w:lineRule="auto"/>
      </w:pPr>
      <w:r>
        <w:rPr>
          <w:rFonts w:ascii="Calibri" w:cs="Calibri" w:eastAsia="Calibri" w:hAnsi="Calibri"/>
          <w:b w:val="false"/>
          <w:bCs w:val="false"/>
          <w:sz w:val="22"/>
          <w:szCs w:val="22"/>
        </w:rPr>
        <w:t xml:space="preserve">effectiveRole / setEffectiveRole — The admin role-preview override; supersedes currentRole for permission checks and is persisted to localStorage.</w:t>
      </w:r>
    </w:p>
    <w:p>
      <w:pPr>
        <w:pStyle w:val="ListParagraph"/>
        <w:numPr>
          <w:ilvl w:val="0"/>
          <w:numId w:val="2"/>
        </w:numPr>
        <w:spacing w:after="80" w:line="276" w:lineRule="auto"/>
      </w:pPr>
      <w:r>
        <w:rPr>
          <w:rFonts w:ascii="Calibri" w:cs="Calibri" w:eastAsia="Calibri" w:hAnsi="Calibri"/>
          <w:b w:val="false"/>
          <w:bCs w:val="false"/>
          <w:sz w:val="22"/>
          <w:szCs w:val="22"/>
        </w:rPr>
        <w:t xml:space="preserve">effectivePermissions — The permission map built for effectiveRole, reflecting admin role-preview mode everywhere in the UI.</w:t>
      </w:r>
    </w:p>
    <w:p>
      <w:pPr>
        <w:pStyle w:val="ListParagraph"/>
        <w:numPr>
          <w:ilvl w:val="0"/>
          <w:numId w:val="2"/>
        </w:numPr>
        <w:spacing w:after="80" w:line="276" w:lineRule="auto"/>
      </w:pPr>
      <w:r>
        <w:rPr>
          <w:rFonts w:ascii="Calibri" w:cs="Calibri" w:eastAsia="Calibri" w:hAnsi="Calibri"/>
          <w:b w:val="false"/>
          <w:bCs w:val="false"/>
          <w:sz w:val="22"/>
          <w:szCs w:val="22"/>
        </w:rPr>
        <w:t xml:space="preserve">refreshRoleAndPermissions / refreshPermissions — Async actions to re-fetch RBAC data and update permission maps after any access-control change.</w:t>
      </w:r>
    </w:p>
    <w:p>
      <w:pPr>
        <w:spacing w:after="80"/>
      </w:pPr>
    </w:p>
    <w:p>
      <w:pPr>
        <w:pStyle w:val="Heading3"/>
        <w:spacing w:after="120" w:before="280"/>
      </w:pPr>
      <w:r>
        <w:rPr>
          <w:rFonts w:ascii="Calibri" w:cs="Calibri" w:eastAsia="Calibri" w:hAnsi="Calibri"/>
          <w:b/>
          <w:bCs/>
          <w:color w:val="2D6CC0"/>
          <w:sz w:val="24"/>
          <w:szCs w:val="24"/>
        </w:rPr>
        <w:t xml:space="preserve">2.3.2 Admin Preview Mode</w:t>
      </w:r>
    </w:p>
    <w:p>
      <w:pPr>
        <w:spacing w:after="120" w:line="276" w:lineRule="auto"/>
      </w:pPr>
      <w:r>
        <w:rPr>
          <w:rFonts w:ascii="Calibri" w:cs="Calibri" w:eastAsia="Calibri" w:hAnsi="Calibri"/>
          <w:sz w:val="22"/>
          <w:szCs w:val="22"/>
        </w:rPr>
        <w:t xml:space="preserve">Admin users can impersonate any role by selecting it in the AccessControl page. The chosen role is stored in localStorage under the key rbacPreviewRole, surviving browser refreshes. While preview mode is active, effectiveRole is non-null and a visible badge in the Header/Sidebar identifies the previewed role. Setting effectiveRole back to null clears localStorage and restores the admin's own permissions.</w:t>
      </w:r>
    </w:p>
    <w:p>
      <w:pPr>
        <w:spacing w:after="80"/>
      </w:pPr>
    </w:p>
    <w:p>
      <w:pPr>
        <w:pStyle w:val="Heading3"/>
        <w:spacing w:after="120" w:before="280"/>
      </w:pPr>
      <w:r>
        <w:rPr>
          <w:rFonts w:ascii="Calibri" w:cs="Calibri" w:eastAsia="Calibri" w:hAnsi="Calibri"/>
          <w:b/>
          <w:bCs/>
          <w:color w:val="2D6CC0"/>
          <w:sz w:val="24"/>
          <w:szCs w:val="24"/>
        </w:rPr>
        <w:t xml:space="preserve">2.3.3 ChatbotContext</w:t>
      </w:r>
    </w:p>
    <w:p>
      <w:pPr>
        <w:spacing w:after="120" w:line="276" w:lineRule="auto"/>
      </w:pPr>
      <w:r>
        <w:rPr>
          <w:rFonts w:ascii="Calibri" w:cs="Calibri" w:eastAsia="Calibri" w:hAnsi="Calibri"/>
          <w:sz w:val="22"/>
          <w:szCs w:val="22"/>
        </w:rPr>
        <w:t xml:space="preserve">ChatbotContext owns all chatbot-related selection state: the active chatbot, pipeline, and prompt, plus option lists loaded on mount. Key state properties and actions:</w:t>
      </w:r>
    </w:p>
    <w:p>
      <w:pPr>
        <w:pStyle w:val="ListParagraph"/>
        <w:numPr>
          <w:ilvl w:val="0"/>
          <w:numId w:val="2"/>
        </w:numPr>
        <w:spacing w:after="80" w:line="276" w:lineRule="auto"/>
      </w:pPr>
      <w:r>
        <w:rPr>
          <w:rFonts w:ascii="Calibri" w:cs="Calibri" w:eastAsia="Calibri" w:hAnsi="Calibri"/>
          <w:b w:val="false"/>
          <w:bCs w:val="false"/>
          <w:sz w:val="22"/>
          <w:szCs w:val="22"/>
        </w:rPr>
        <w:t xml:space="preserve">chatbot / pipeline / prompt — The currently selected entities (full records from their APIs).</w:t>
      </w:r>
    </w:p>
    <w:p>
      <w:pPr>
        <w:pStyle w:val="ListParagraph"/>
        <w:numPr>
          <w:ilvl w:val="0"/>
          <w:numId w:val="2"/>
        </w:numPr>
        <w:spacing w:after="80" w:line="276" w:lineRule="auto"/>
      </w:pPr>
      <w:r>
        <w:rPr>
          <w:rFonts w:ascii="Calibri" w:cs="Calibri" w:eastAsia="Calibri" w:hAnsi="Calibri"/>
          <w:b w:val="false"/>
          <w:bCs w:val="false"/>
          <w:sz w:val="22"/>
          <w:szCs w:val="22"/>
        </w:rPr>
        <w:t xml:space="preserve">availableChatbots / pipelines / prompts — Complete option lists for each selector dropdown.</w:t>
      </w:r>
    </w:p>
    <w:p>
      <w:pPr>
        <w:pStyle w:val="ListParagraph"/>
        <w:numPr>
          <w:ilvl w:val="0"/>
          <w:numId w:val="2"/>
        </w:numPr>
        <w:spacing w:after="80" w:line="276" w:lineRule="auto"/>
      </w:pPr>
      <w:r>
        <w:rPr>
          <w:rFonts w:ascii="Calibri" w:cs="Calibri" w:eastAsia="Calibri" w:hAnsi="Calibri"/>
          <w:b w:val="false"/>
          <w:bCs w:val="false"/>
          <w:sz w:val="22"/>
          <w:szCs w:val="22"/>
        </w:rPr>
        <w:t xml:space="preserve">createChatbot — Async action that posts to the chatbot creation endpoint, refreshes the chatbot list, and returns the new chatbot ID.</w:t>
      </w:r>
    </w:p>
    <w:p>
      <w:pPr>
        <w:pStyle w:val="ListParagraph"/>
        <w:numPr>
          <w:ilvl w:val="0"/>
          <w:numId w:val="2"/>
        </w:numPr>
        <w:spacing w:after="80" w:line="276" w:lineRule="auto"/>
      </w:pPr>
      <w:r>
        <w:rPr>
          <w:rFonts w:ascii="Calibri" w:cs="Calibri" w:eastAsia="Calibri" w:hAnsi="Calibri"/>
          <w:b w:val="false"/>
          <w:bCs w:val="false"/>
          <w:sz w:val="22"/>
          <w:szCs w:val="22"/>
        </w:rPr>
        <w:t xml:space="preserve">fetchChatbotById — Loads a single chatbot record by ID, used for direct navigation to /experimentation/:chatbotId.</w:t>
      </w:r>
    </w:p>
    <w:p>
      <w:pPr>
        <w:pStyle w:val="ListParagraph"/>
        <w:numPr>
          <w:ilvl w:val="0"/>
          <w:numId w:val="2"/>
        </w:numPr>
        <w:spacing w:after="80" w:line="276" w:lineRule="auto"/>
      </w:pPr>
      <w:r>
        <w:rPr>
          <w:rFonts w:ascii="Calibri" w:cs="Calibri" w:eastAsia="Calibri" w:hAnsi="Calibri"/>
          <w:b w:val="false"/>
          <w:bCs w:val="false"/>
          <w:sz w:val="22"/>
          <w:szCs w:val="22"/>
        </w:rPr>
        <w:t xml:space="preserve">selectChatbot — Updates the selected chatbot and triggers pipeline list re-fetch scoped to that chatbot.</w:t>
      </w:r>
    </w:p>
    <w:p>
      <w:pPr>
        <w:pStyle w:val="ListParagraph"/>
        <w:numPr>
          <w:ilvl w:val="0"/>
          <w:numId w:val="2"/>
        </w:numPr>
        <w:spacing w:after="80" w:line="276" w:lineRule="auto"/>
      </w:pPr>
      <w:r>
        <w:rPr>
          <w:rFonts w:ascii="Calibri" w:cs="Calibri" w:eastAsia="Calibri" w:hAnsi="Calibri"/>
          <w:b w:val="false"/>
          <w:bCs w:val="false"/>
          <w:sz w:val="22"/>
          <w:szCs w:val="22"/>
        </w:rPr>
        <w:t xml:space="preserve">updateChatbotPipeline — Patches the currently selected chatbot's active pipeline.</w:t>
      </w:r>
    </w:p>
    <w:p>
      <w:pPr>
        <w:pStyle w:val="ListParagraph"/>
        <w:numPr>
          <w:ilvl w:val="0"/>
          <w:numId w:val="2"/>
        </w:numPr>
        <w:spacing w:after="80" w:line="276" w:lineRule="auto"/>
      </w:pPr>
      <w:r>
        <w:rPr>
          <w:rFonts w:ascii="Calibri" w:cs="Calibri" w:eastAsia="Calibri" w:hAnsi="Calibri"/>
          <w:b w:val="false"/>
          <w:bCs w:val="false"/>
          <w:sz w:val="22"/>
          <w:szCs w:val="22"/>
        </w:rPr>
        <w:t xml:space="preserve">clearChatbotData — Resets all selection state to null, called on logout or mode change.</w:t>
      </w:r>
    </w:p>
    <w:p>
      <w:pPr>
        <w:spacing w:after="80"/>
      </w:pPr>
    </w:p>
    <w:p>
      <w:pPr>
        <w:pStyle w:val="Heading3"/>
        <w:spacing w:after="120" w:before="280"/>
      </w:pPr>
      <w:r>
        <w:rPr>
          <w:rFonts w:ascii="Calibri" w:cs="Calibri" w:eastAsia="Calibri" w:hAnsi="Calibri"/>
          <w:b/>
          <w:bCs/>
          <w:color w:val="2D6CC0"/>
          <w:sz w:val="24"/>
          <w:szCs w:val="24"/>
        </w:rPr>
        <w:t xml:space="preserve">2.3.4 NotificationContext</w:t>
      </w:r>
    </w:p>
    <w:p>
      <w:pPr>
        <w:spacing w:after="120" w:line="276" w:lineRule="auto"/>
      </w:pPr>
      <w:r>
        <w:rPr>
          <w:rFonts w:ascii="Calibri" w:cs="Calibri" w:eastAsia="Calibri" w:hAnsi="Calibri"/>
          <w:sz w:val="22"/>
          <w:szCs w:val="22"/>
        </w:rPr>
        <w:t xml:space="preserve">NotificationContext provides a global toast notification system backed by a Material UI Snackbar. The key design pattern is a singleton NotificationService class that lives outside React. It holds a reference to the showNotification function registered by NotificationContext at mount time. Axios interceptors call notificationService.showError() when an API request fails, surfacing errors as toasts without importing any React hook.</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3. API Architecture</w:t>
      </w:r>
    </w:p>
    <w:p>
      <w:pPr>
        <w:pStyle w:val="Heading2"/>
        <w:spacing w:after="120" w:before="320"/>
      </w:pPr>
      <w:r>
        <w:rPr>
          <w:rFonts w:ascii="Calibri" w:cs="Calibri" w:eastAsia="Calibri" w:hAnsi="Calibri"/>
          <w:b/>
          <w:bCs/>
          <w:color w:val="2D6CC0"/>
          <w:sz w:val="28"/>
          <w:szCs w:val="28"/>
        </w:rPr>
        <w:t xml:space="preserve">3.1 Centralised API Client (apiClient)</w:t>
      </w:r>
    </w:p>
    <w:p>
      <w:pPr>
        <w:spacing w:after="120" w:line="276" w:lineRule="auto"/>
      </w:pPr>
      <w:r>
        <w:rPr>
          <w:rFonts w:ascii="Calibri" w:cs="Calibri" w:eastAsia="Calibri" w:hAnsi="Calibri"/>
          <w:sz w:val="22"/>
          <w:szCs w:val="22"/>
        </w:rPr>
        <w:t xml:space="preserve">All HTTP communication is centralised through a two-layer architecture: a base Axios instance configured with the backend URL and default headers, and a higher-level apiClient wrapper that adds response unwrapping, structured error enrichment, and notification dispatching.</w:t>
      </w:r>
    </w:p>
    <w:p>
      <w:pPr>
        <w:spacing w:after="120" w:line="276" w:lineRule="auto"/>
      </w:pPr>
      <w:r>
        <w:rPr>
          <w:rFonts w:ascii="Calibri" w:cs="Calibri" w:eastAsia="Calibri" w:hAnsi="Calibri"/>
          <w:sz w:val="22"/>
          <w:szCs w:val="22"/>
        </w:rPr>
        <w:t xml:space="preserve">apiClient exposes get, post, put, patch, and delete methods. Every method automatically unwraps the { success, data } response envelope returned by the backend. On failure, each method converts the raw Axios error into a typed EnhancedApiError via the enrichError utility, and calls notificationService.showError() to surface the failure as a toast.</w:t>
      </w:r>
    </w:p>
    <w:p>
      <w:pPr>
        <w:spacing w:after="80"/>
      </w:pPr>
    </w:p>
    <w:p>
      <w:pPr>
        <w:pStyle w:val="Heading3"/>
        <w:spacing w:after="120" w:before="280"/>
      </w:pPr>
      <w:r>
        <w:rPr>
          <w:rFonts w:ascii="Calibri" w:cs="Calibri" w:eastAsia="Calibri" w:hAnsi="Calibri"/>
          <w:b/>
          <w:bCs/>
          <w:color w:val="2D6CC0"/>
          <w:sz w:val="24"/>
          <w:szCs w:val="24"/>
        </w:rPr>
        <w:t xml:space="preserve">3.1.1 EnhancedApiError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message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User-readable string sourced from errorMessages.ts, mapped by HTTP status code or Axios error code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code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string</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The HTTP status code or Axios error code (e.g. ECONNABORTED for timeouts)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number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The raw HTTP status integer, present for server and client errors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data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any</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The raw response body, useful for validation error details from the backend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isNetworkError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boolean</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True when the request never reached the server (DNS failure, CORS block)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isTimeout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boolean</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True when Axios reports ECONNABORTED (request timeout)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isServerError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boolean</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True for 5xx responses (backend fault)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isClientError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boolean</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True for 4xx responses (request fault)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originalError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AxiosError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The raw Axios error object, preserved for debugging</w:t>
            </w:r>
          </w:p>
        </w:tc>
      </w:tr>
    </w:tbl>
    <w:p>
      <w:pPr>
        <w:spacing w:after="80"/>
      </w:pPr>
    </w:p>
    <w:p>
      <w:pPr>
        <w:pStyle w:val="Heading2"/>
        <w:spacing w:after="120" w:before="320"/>
      </w:pPr>
      <w:r>
        <w:rPr>
          <w:rFonts w:ascii="Calibri" w:cs="Calibri" w:eastAsia="Calibri" w:hAnsi="Calibri"/>
          <w:b/>
          <w:bCs/>
          <w:color w:val="2D6CC0"/>
          <w:sz w:val="28"/>
          <w:szCs w:val="28"/>
        </w:rPr>
        <w:t xml:space="preserve">3.2 API Endpoint Modules</w:t>
      </w:r>
    </w:p>
    <w:p>
      <w:pPr>
        <w:spacing w:after="120" w:line="276" w:lineRule="auto"/>
      </w:pPr>
      <w:r>
        <w:rPr>
          <w:rFonts w:ascii="Calibri" w:cs="Calibri" w:eastAsia="Calibri" w:hAnsi="Calibri"/>
          <w:sz w:val="22"/>
          <w:szCs w:val="22"/>
        </w:rPr>
        <w:t xml:space="preserve">Each backend domain has its own module under src/api/endpoints/. All modules use apiClient for consistent error handling, with the exception of models.api.ts (which uses raw fetch() with a hardcoded base URL and is flagged for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Module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Key Endpoints / Responsibilities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Notable Behaviour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chatbot.api.ts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createChatbot, getChatbots, deployChatbot, saveResponseREST, saveFeedbackREST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Also owns CSAT/KPI metric fetches for the ModelComparisonPanel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pipeline.api.ts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submitPipeline, updatePipeline, getPipelines, getPipelineById, getPipelineConfiguration</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Handles camelCase → snake_case field mapping before sending to backend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snowflake.api.ts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getCurrentUser, getRoles, getCostHistory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Returns Snowflake session identity and billing data</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rbac.api.ts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getCurrentRole, getPermissions, updatePermission, getUsersWithRole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toBool() helper normalises the HAS_ACCESS field from numeric to boolean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raCompliance.api.ts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getCompliances, getComplianceById, createComplianceCheck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Handles both array and object response variants from backend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policyScanner.api.ts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addPolicy, approvePolicies, generateMapping, runComplianceCheck, generateReport, getDatabases, getSchemas, getTables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Serves the 7-step Policy Scanner wizard backend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semanticView.api.ts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getDatabases, getSchemas, getTablesBySchema, generateSql, getSemanticModels, getSemanticViews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Powers AI-driven SQL generation for semantic views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prompts.api.ts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getPrompts, getPromptById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Loads prompt templates for the Experimentation page selector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models.api.ts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getModels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 Uses raw fetch() with hardcoded base URL — flagged for apiClient migration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metadata.api.ts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getTables, getColumns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Provides Snowflake schema metadata for the pipeline creation form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searchService.api.ts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create (Cortex Search Service)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Initiates Cortex Search Service provisioning as part of pipeline setup</w:t>
            </w:r>
          </w:p>
        </w:tc>
      </w:tr>
    </w:tbl>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4. Routing and RBAC Guards</w:t>
      </w:r>
    </w:p>
    <w:p>
      <w:pPr>
        <w:spacing w:after="120" w:line="276" w:lineRule="auto"/>
      </w:pPr>
      <w:r>
        <w:rPr>
          <w:rFonts w:ascii="Calibri" w:cs="Calibri" w:eastAsia="Calibri" w:hAnsi="Calibri"/>
          <w:sz w:val="22"/>
          <w:szCs w:val="22"/>
        </w:rPr>
        <w:t xml:space="preserve">All routes are declared in AppRoutes using React Router DOM v7. Every page component is loaded via React.lazy() to enable code-splitting, reducing the initial bundle size by deferring page-level code until the user navigates to that route.</w:t>
      </w:r>
    </w:p>
    <w:p>
      <w:pPr>
        <w:spacing w:after="80"/>
      </w:pPr>
    </w:p>
    <w:p>
      <w:pPr>
        <w:pStyle w:val="Heading2"/>
        <w:spacing w:after="120" w:before="320"/>
      </w:pPr>
      <w:r>
        <w:rPr>
          <w:rFonts w:ascii="Calibri" w:cs="Calibri" w:eastAsia="Calibri" w:hAnsi="Calibri"/>
          <w:b/>
          <w:bCs/>
          <w:color w:val="2D6CC0"/>
          <w:sz w:val="28"/>
          <w:szCs w:val="28"/>
        </w:rPr>
        <w:t xml:space="preserve">4.1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800"/>
        <w:gridCol w:w="21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Path</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Component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Guard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Permission Key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Home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Home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/application</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Application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Application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/experimentation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Experimentation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Experiment and Deploy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/experimentation/:chatbotId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Experimentation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Experiment and Deploy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/deployed-application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DeployedApplication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Deployed Applications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/service-monitoring</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ServiceMonitoring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Service Monitoring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/error-monitoring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ErrorMonitoring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Error Monitoring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/cost-calculator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CostCalculator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Cost Calculator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/templates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Templates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Templates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/prompt-generator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PromptGenerator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Prompt Generator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/create-chatbot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CreateChatbot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Experiment and Deploy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/data-preparation</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DataPreparation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Data Preparation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/create-pipeline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CreatePipeline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Data Preparation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/edit-pipeline/:id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EditPipeline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Data Preparation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/pipeline-configuration/:id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PipelineConfiguration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Data Preparation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/review-pipeline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ReviewPipeline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Data Preparation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/services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Services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Services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/services/register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RegisterService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Services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/regulatory-audit-compliance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RACompliance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RA Compliance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/create-ra-compliance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CreateRACompliance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RA Compliance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/view-ra-compliance/:id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ViewRACompliance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RA Compliance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/lineage-graph</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LineageGraph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RequirePermission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Lineage Graph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/access-control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AccessControl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RequireAdmin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RAISE_ADMIN only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/settings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Settings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None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All users</w:t>
            </w:r>
          </w:p>
        </w:tc>
      </w:tr>
    </w:tbl>
    <w:p>
      <w:pPr>
        <w:spacing w:after="80"/>
      </w:pPr>
    </w:p>
    <w:p>
      <w:pPr>
        <w:pStyle w:val="Heading2"/>
        <w:spacing w:after="120" w:before="320"/>
      </w:pPr>
      <w:r>
        <w:rPr>
          <w:rFonts w:ascii="Calibri" w:cs="Calibri" w:eastAsia="Calibri" w:hAnsi="Calibri"/>
          <w:b/>
          <w:bCs/>
          <w:color w:val="2D6CC0"/>
          <w:sz w:val="28"/>
          <w:szCs w:val="28"/>
        </w:rPr>
        <w:t xml:space="preserve">4.2 RequirePermission Guard</w:t>
      </w:r>
    </w:p>
    <w:p>
      <w:pPr>
        <w:spacing w:after="120" w:line="276" w:lineRule="auto"/>
      </w:pPr>
      <w:r>
        <w:rPr>
          <w:rFonts w:ascii="Calibri" w:cs="Calibri" w:eastAsia="Calibri" w:hAnsi="Calibri"/>
          <w:sz w:val="22"/>
          <w:szCs w:val="22"/>
        </w:rPr>
        <w:t xml:space="preserve">RequirePermission is a React route-level wrapper that enforces RBAC before rendering its child route. It accepts a page permission key and an optional parent key. On render, it reads effectivePermissions and effectiveRole from AppContext. If RBAC data is still loading, it renders the full-page Loader to prevent a flash of unauthorised content. Once loaded, it delegates to canAccess() and either renders the Outlet or redirects the user to the Home page.</w:t>
      </w:r>
    </w:p>
    <w:p>
      <w:pPr>
        <w:spacing w:after="120" w:line="276" w:lineRule="auto"/>
      </w:pPr>
      <w:r>
        <w:rPr>
          <w:rFonts w:ascii="Calibri" w:cs="Calibri" w:eastAsia="Calibri" w:hAnsi="Calibri"/>
          <w:sz w:val="22"/>
          <w:szCs w:val="22"/>
        </w:rPr>
        <w:t xml:space="preserve">The parent key parameter supports hierarchical permissions: if a parent permission group is explicitly denied, all child pages within that group are also denied, regardless of their individual permission values.</w:t>
      </w:r>
    </w:p>
    <w:p>
      <w:pPr>
        <w:spacing w:after="80"/>
      </w:pPr>
    </w:p>
    <w:p>
      <w:pPr>
        <w:pStyle w:val="Heading2"/>
        <w:spacing w:after="120" w:before="320"/>
      </w:pPr>
      <w:r>
        <w:rPr>
          <w:rFonts w:ascii="Calibri" w:cs="Calibri" w:eastAsia="Calibri" w:hAnsi="Calibri"/>
          <w:b/>
          <w:bCs/>
          <w:color w:val="2D6CC0"/>
          <w:sz w:val="28"/>
          <w:szCs w:val="28"/>
        </w:rPr>
        <w:t xml:space="preserve">4.3 canAccess() Utility</w:t>
      </w:r>
    </w:p>
    <w:p>
      <w:pPr>
        <w:spacing w:after="120" w:line="276" w:lineRule="auto"/>
      </w:pPr>
      <w:r>
        <w:rPr>
          <w:rFonts w:ascii="Calibri" w:cs="Calibri" w:eastAsia="Calibri" w:hAnsi="Calibri"/>
          <w:sz w:val="22"/>
          <w:szCs w:val="22"/>
        </w:rPr>
        <w:t xml:space="preserve">The canAccess() utility in src/utils/rbacAccess.ts is the single source of truth for permission evaluation. Its evaluation logic follows this precedence:</w:t>
      </w:r>
    </w:p>
    <w:p>
      <w:pPr>
        <w:pStyle w:val="ListParagraph"/>
        <w:numPr>
          <w:ilvl w:val="0"/>
          <w:numId w:val="2"/>
        </w:numPr>
        <w:spacing w:after="80" w:line="276" w:lineRule="auto"/>
      </w:pPr>
      <w:r>
        <w:rPr>
          <w:rFonts w:ascii="Calibri" w:cs="Calibri" w:eastAsia="Calibri" w:hAnsi="Calibri"/>
          <w:b w:val="false"/>
          <w:bCs w:val="false"/>
          <w:sz w:val="22"/>
          <w:szCs w:val="22"/>
        </w:rPr>
        <w:t xml:space="preserve">If the current role (case-insensitive) is RAISE_ADMIN, access is unconditionally granted.</w:t>
      </w:r>
    </w:p>
    <w:p>
      <w:pPr>
        <w:pStyle w:val="ListParagraph"/>
        <w:numPr>
          <w:ilvl w:val="0"/>
          <w:numId w:val="2"/>
        </w:numPr>
        <w:spacing w:after="80" w:line="276" w:lineRule="auto"/>
      </w:pPr>
      <w:r>
        <w:rPr>
          <w:rFonts w:ascii="Calibri" w:cs="Calibri" w:eastAsia="Calibri" w:hAnsi="Calibri"/>
          <w:b w:val="false"/>
          <w:bCs w:val="false"/>
          <w:sz w:val="22"/>
          <w:szCs w:val="22"/>
        </w:rPr>
        <w:t xml:space="preserve">If a parent permission key is provided and that key is explicitly set to false in the permissions map, access is denied regardless of the child key's value.</w:t>
      </w:r>
    </w:p>
    <w:p>
      <w:pPr>
        <w:pStyle w:val="ListParagraph"/>
        <w:numPr>
          <w:ilvl w:val="0"/>
          <w:numId w:val="2"/>
        </w:numPr>
        <w:spacing w:after="80" w:line="276" w:lineRule="auto"/>
      </w:pPr>
      <w:r>
        <w:rPr>
          <w:rFonts w:ascii="Calibri" w:cs="Calibri" w:eastAsia="Calibri" w:hAnsi="Calibri"/>
          <w:b w:val="false"/>
          <w:bCs w:val="false"/>
          <w:sz w:val="22"/>
          <w:szCs w:val="22"/>
        </w:rPr>
        <w:t xml:space="preserve">If the child key exists in the permissions map, its boolean value is returned directly.</w:t>
      </w:r>
    </w:p>
    <w:p>
      <w:pPr>
        <w:pStyle w:val="ListParagraph"/>
        <w:numPr>
          <w:ilvl w:val="0"/>
          <w:numId w:val="2"/>
        </w:numPr>
        <w:spacing w:after="80" w:line="276" w:lineRule="auto"/>
      </w:pPr>
      <w:r>
        <w:rPr>
          <w:rFonts w:ascii="Calibri" w:cs="Calibri" w:eastAsia="Calibri" w:hAnsi="Calibri"/>
          <w:b w:val="false"/>
          <w:bCs w:val="false"/>
          <w:sz w:val="22"/>
          <w:szCs w:val="22"/>
        </w:rPr>
        <w:t xml:space="preserve">If the child key is absent but a parent key is present and exists in the map, the parent's value is used as a fallback.</w:t>
      </w:r>
    </w:p>
    <w:p>
      <w:pPr>
        <w:pStyle w:val="ListParagraph"/>
        <w:numPr>
          <w:ilvl w:val="0"/>
          <w:numId w:val="2"/>
        </w:numPr>
        <w:spacing w:after="80" w:line="276" w:lineRule="auto"/>
      </w:pPr>
      <w:r>
        <w:rPr>
          <w:rFonts w:ascii="Calibri" w:cs="Calibri" w:eastAsia="Calibri" w:hAnsi="Calibri"/>
          <w:b w:val="false"/>
          <w:bCs w:val="false"/>
          <w:sz w:val="22"/>
          <w:szCs w:val="22"/>
        </w:rPr>
        <w:t xml:space="preserve">If neither key is found, access is denied.</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5. Layout and Navigation Components</w:t>
      </w:r>
    </w:p>
    <w:p>
      <w:pPr>
        <w:pStyle w:val="Heading2"/>
        <w:spacing w:after="120" w:before="320"/>
      </w:pPr>
      <w:r>
        <w:rPr>
          <w:rFonts w:ascii="Calibri" w:cs="Calibri" w:eastAsia="Calibri" w:hAnsi="Calibri"/>
          <w:b/>
          <w:bCs/>
          <w:color w:val="2D6CC0"/>
          <w:sz w:val="28"/>
          <w:szCs w:val="28"/>
        </w:rPr>
        <w:t xml:space="preserve">5.1 Layout</w:t>
      </w:r>
    </w:p>
    <w:p>
      <w:pPr>
        <w:spacing w:after="120" w:line="276" w:lineRule="auto"/>
      </w:pPr>
      <w:r>
        <w:rPr>
          <w:rFonts w:ascii="Calibri" w:cs="Calibri" w:eastAsia="Calibri" w:hAnsi="Calibri"/>
          <w:sz w:val="22"/>
          <w:szCs w:val="22"/>
        </w:rPr>
        <w:t xml:space="preserve">The Layout component is the persistent shell rendered around all authenticated pages. It composes the Sidebar and Header into a two-region flex layout, with the main content area occupying the remaining horizontal space. The outer container applies a CSS class based on the sidebarCollapsed flag from AppContext, adjusting the left margin of the content region to match the sidebar width transition.</w:t>
      </w:r>
    </w:p>
    <w:p>
      <w:pPr>
        <w:spacing w:after="80"/>
      </w:pPr>
    </w:p>
    <w:p>
      <w:pPr>
        <w:pStyle w:val="Heading2"/>
        <w:spacing w:after="120" w:before="320"/>
      </w:pPr>
      <w:r>
        <w:rPr>
          <w:rFonts w:ascii="Calibri" w:cs="Calibri" w:eastAsia="Calibri" w:hAnsi="Calibri"/>
          <w:b/>
          <w:bCs/>
          <w:color w:val="2D6CC0"/>
          <w:sz w:val="28"/>
          <w:szCs w:val="28"/>
        </w:rPr>
        <w:t xml:space="preserve">5.2 Sidebar</w:t>
      </w:r>
    </w:p>
    <w:p>
      <w:pPr>
        <w:spacing w:after="120" w:line="276" w:lineRule="auto"/>
      </w:pPr>
      <w:r>
        <w:rPr>
          <w:rFonts w:ascii="Calibri" w:cs="Calibri" w:eastAsia="Calibri" w:hAnsi="Calibri"/>
          <w:sz w:val="22"/>
          <w:szCs w:val="22"/>
        </w:rPr>
        <w:t xml:space="preserve">The Sidebar is a collapsible left navigation panel that renders filtered navigation links based on the user's effective permissions. Two visual states: expanded (240px, showing icons and text labels) and collapsed (60px, showing icons only with tooltip labels on hover).</w:t>
      </w:r>
    </w:p>
    <w:p>
      <w:pPr>
        <w:spacing w:after="120" w:line="276" w:lineRule="auto"/>
      </w:pPr>
      <w:r>
        <w:rPr>
          <w:rFonts w:ascii="Calibri" w:cs="Calibri" w:eastAsia="Calibri" w:hAnsi="Calibri"/>
          <w:sz w:val="22"/>
          <w:szCs w:val="22"/>
        </w:rPr>
        <w:t xml:space="preserve">Navigation items are defined as a static array of objects, each containing a display label, a route path constant from the ROUTES map, a permission key, and an optional icon component. This array is filtered using canAccess() before rendering. Each item uses React Router's NavLink, which automatically applies an active CSS class for the current route.</w:t>
      </w:r>
    </w:p>
    <w:p>
      <w:pPr>
        <w:spacing w:after="120" w:line="276" w:lineRule="auto"/>
      </w:pPr>
      <w:r>
        <w:rPr>
          <w:rFonts w:ascii="Calibri" w:cs="Calibri" w:eastAsia="Calibri" w:hAnsi="Calibri"/>
          <w:sz w:val="22"/>
          <w:szCs w:val="22"/>
        </w:rPr>
        <w:t xml:space="preserve">If effectiveRole is non-null (admin in role-preview mode), the Sidebar displays a coloured badge beneath the logo identifying the previewed role.</w:t>
      </w:r>
    </w:p>
    <w:p>
      <w:pPr>
        <w:spacing w:after="80"/>
      </w:pPr>
    </w:p>
    <w:p>
      <w:pPr>
        <w:pStyle w:val="Heading2"/>
        <w:spacing w:after="120" w:before="320"/>
      </w:pPr>
      <w:r>
        <w:rPr>
          <w:rFonts w:ascii="Calibri" w:cs="Calibri" w:eastAsia="Calibri" w:hAnsi="Calibri"/>
          <w:b/>
          <w:bCs/>
          <w:color w:val="2D6CC0"/>
          <w:sz w:val="28"/>
          <w:szCs w:val="28"/>
        </w:rPr>
        <w:t xml:space="preserve">5.3 Header</w:t>
      </w:r>
    </w:p>
    <w:p>
      <w:pPr>
        <w:spacing w:after="120" w:line="276" w:lineRule="auto"/>
      </w:pPr>
      <w:r>
        <w:rPr>
          <w:rFonts w:ascii="Calibri" w:cs="Calibri" w:eastAsia="Calibri" w:hAnsi="Calibri"/>
          <w:sz w:val="22"/>
          <w:szCs w:val="22"/>
        </w:rPr>
        <w:t xml:space="preserve">The Header is a fixed-height top bar spanning the full width of the content region. The left section renders two logos side-by-side (AI Scalability Platform logo and the combined Snowflake/Capgemini logo). The right section displays the current role name alongside an account icon. Clicking this area opens a Material UI Menu with three options: About, Settings, and Access Control (visible to RAISE_ADMIN only).</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6. Talk to Document — Application Flow</w:t>
      </w:r>
    </w:p>
    <w:p>
      <w:pPr>
        <w:pStyle w:val="Heading2"/>
        <w:spacing w:after="120" w:before="320"/>
      </w:pPr>
      <w:r>
        <w:rPr>
          <w:rFonts w:ascii="Calibri" w:cs="Calibri" w:eastAsia="Calibri" w:hAnsi="Calibri"/>
          <w:b/>
          <w:bCs/>
          <w:color w:val="2D6CC0"/>
          <w:sz w:val="28"/>
          <w:szCs w:val="28"/>
        </w:rPr>
        <w:t xml:space="preserve">6.1 Application Page Overview</w:t>
      </w:r>
    </w:p>
    <w:p>
      <w:pPr>
        <w:spacing w:after="120" w:line="276" w:lineRule="auto"/>
      </w:pPr>
      <w:r>
        <w:rPr>
          <w:rFonts w:ascii="Calibri" w:cs="Calibri" w:eastAsia="Calibri" w:hAnsi="Calibri"/>
          <w:sz w:val="22"/>
          <w:szCs w:val="22"/>
        </w:rPr>
        <w:t xml:space="preserve">URL: https://jgdedud-pihjdmo-capgemini-apac-poc.snowflakecomputing.app/application</w:t>
      </w:r>
    </w:p>
    <w:p>
      <w:pPr>
        <w:spacing w:after="120" w:line="276" w:lineRule="auto"/>
      </w:pPr>
      <w:r>
        <w:rPr>
          <w:rFonts w:ascii="Calibri" w:cs="Calibri" w:eastAsia="Calibri" w:hAnsi="Calibri"/>
          <w:sz w:val="22"/>
          <w:szCs w:val="22"/>
        </w:rPr>
        <w:t xml:space="preserve">The Application page presents three primary areas: Data Preparation, Experiment and Deploy, and Deployed Application.</w:t>
      </w:r>
    </w:p>
    <w:p>
      <w:pPr>
        <w:spacing w:after="120" w:line="276" w:lineRule="auto"/>
      </w:pPr>
      <w:r>
        <w:rPr>
          <w:rFonts w:ascii="Calibri" w:cs="Calibri" w:eastAsia="Calibri" w:hAnsi="Calibri"/>
          <w:sz w:val="22"/>
          <w:szCs w:val="22"/>
        </w:rPr>
        <w:t xml:space="preserve">Mode Handling: The application operates in a mode-aware manner. When the user enters via Talk to Document, the application context is set to document mode. When entering via Talk to Data, it is set to data mode. This mode value is stored in AppContext and shared across all components in the session. The active mode controls:</w:t>
      </w:r>
    </w:p>
    <w:p>
      <w:pPr>
        <w:pStyle w:val="ListParagraph"/>
        <w:numPr>
          <w:ilvl w:val="0"/>
          <w:numId w:val="2"/>
        </w:numPr>
        <w:spacing w:after="80" w:line="276" w:lineRule="auto"/>
      </w:pPr>
      <w:r>
        <w:rPr>
          <w:rFonts w:ascii="Calibri" w:cs="Calibri" w:eastAsia="Calibri" w:hAnsi="Calibri"/>
          <w:b w:val="false"/>
          <w:bCs w:val="false"/>
          <w:sz w:val="22"/>
          <w:szCs w:val="22"/>
        </w:rPr>
        <w:t xml:space="preserve">Source type selector: In Talk to Document mode, only Cloud Storage and Database source types are available.</w:t>
      </w:r>
    </w:p>
    <w:p>
      <w:pPr>
        <w:pStyle w:val="ListParagraph"/>
        <w:numPr>
          <w:ilvl w:val="0"/>
          <w:numId w:val="2"/>
        </w:numPr>
        <w:spacing w:after="80" w:line="276" w:lineRule="auto"/>
      </w:pPr>
      <w:r>
        <w:rPr>
          <w:rFonts w:ascii="Calibri" w:cs="Calibri" w:eastAsia="Calibri" w:hAnsi="Calibri"/>
          <w:b w:val="false"/>
          <w:bCs w:val="false"/>
          <w:sz w:val="22"/>
          <w:szCs w:val="22"/>
        </w:rPr>
        <w:t xml:space="preserve">Agent URL: The endpoint the chatbot calls to generate responses changes based on the mode. Talk to Document routes requests to the document retrieval agent; Talk to Data routes to the structured data query agent.</w:t>
      </w:r>
    </w:p>
    <w:p>
      <w:pPr>
        <w:pStyle w:val="ListParagraph"/>
        <w:numPr>
          <w:ilvl w:val="0"/>
          <w:numId w:val="2"/>
        </w:numPr>
        <w:spacing w:after="80" w:line="276" w:lineRule="auto"/>
      </w:pPr>
      <w:r>
        <w:rPr>
          <w:rFonts w:ascii="Calibri" w:cs="Calibri" w:eastAsia="Calibri" w:hAnsi="Calibri"/>
          <w:b w:val="false"/>
          <w:bCs w:val="false"/>
          <w:sz w:val="22"/>
          <w:szCs w:val="22"/>
        </w:rPr>
        <w:t xml:space="preserve">Component labels: Page descriptions and button labels update dynamically using a getModeDisplay() helper that maps the mode value to a user-friendly display string.</w:t>
      </w:r>
    </w:p>
    <w:p>
      <w:pPr>
        <w:spacing w:after="80"/>
      </w:pPr>
    </w:p>
    <w:p>
      <w:pPr>
        <w:pStyle w:val="Heading2"/>
        <w:spacing w:after="120" w:before="320"/>
      </w:pPr>
      <w:r>
        <w:rPr>
          <w:rFonts w:ascii="Calibri" w:cs="Calibri" w:eastAsia="Calibri" w:hAnsi="Calibri"/>
          <w:b/>
          <w:bCs/>
          <w:color w:val="2D6CC0"/>
          <w:sz w:val="28"/>
          <w:szCs w:val="28"/>
        </w:rPr>
        <w:t xml:space="preserve">6.2 Data Preparation</w:t>
      </w:r>
    </w:p>
    <w:p>
      <w:pPr>
        <w:spacing w:after="120" w:line="276" w:lineRule="auto"/>
      </w:pPr>
      <w:r>
        <w:rPr>
          <w:rFonts w:ascii="Calibri" w:cs="Calibri" w:eastAsia="Calibri" w:hAnsi="Calibri"/>
          <w:sz w:val="22"/>
          <w:szCs w:val="22"/>
        </w:rPr>
        <w:t xml:space="preserve">URL: https://jgdedud-pihjdmo-capgemini-apac-poc.snowflakecomputing.app/data-preparation</w:t>
      </w:r>
    </w:p>
    <w:p>
      <w:pPr>
        <w:spacing w:after="120" w:line="276" w:lineRule="auto"/>
      </w:pPr>
      <w:r>
        <w:rPr>
          <w:rFonts w:ascii="Calibri" w:cs="Calibri" w:eastAsia="Calibri" w:hAnsi="Calibri"/>
          <w:sz w:val="22"/>
          <w:szCs w:val="22"/>
        </w:rPr>
        <w:t xml:space="preserve">The Data Preparation page displays all existing pipelines and provides options to create new ones. API call on load: pipelines — returns the list of existing pipelines.</w:t>
      </w:r>
    </w:p>
    <w:p>
      <w:pPr>
        <w:spacing w:after="80"/>
      </w:pPr>
    </w:p>
    <w:p>
      <w:pPr>
        <w:pStyle w:val="Heading3"/>
        <w:spacing w:after="120" w:before="280"/>
      </w:pPr>
      <w:r>
        <w:rPr>
          <w:rFonts w:ascii="Calibri" w:cs="Calibri" w:eastAsia="Calibri" w:hAnsi="Calibri"/>
          <w:b/>
          <w:bCs/>
          <w:color w:val="2D6CC0"/>
          <w:sz w:val="24"/>
          <w:szCs w:val="24"/>
        </w:rPr>
        <w:t xml:space="preserve">6.2.1 Pipeline Listing</w:t>
      </w:r>
    </w:p>
    <w:p>
      <w:pPr>
        <w:spacing w:after="120" w:line="276" w:lineRule="auto"/>
      </w:pPr>
      <w:r>
        <w:rPr>
          <w:rFonts w:ascii="Calibri" w:cs="Calibri" w:eastAsia="Calibri" w:hAnsi="Calibri"/>
          <w:sz w:val="22"/>
          <w:szCs w:val="22"/>
        </w:rPr>
        <w:t xml:space="preserve">Each pipeline card displays its name, source type, status, and creation date. From the card, users can navigate to PipelineConfiguration (interactive flow graph), EditPipeline (modify settings), or ReviewPipeline (read-only configuration review).</w:t>
      </w:r>
    </w:p>
    <w:p>
      <w:pPr>
        <w:spacing w:after="80"/>
      </w:pPr>
    </w:p>
    <w:p>
      <w:pPr>
        <w:pStyle w:val="Heading3"/>
        <w:spacing w:after="120" w:before="280"/>
      </w:pPr>
      <w:r>
        <w:rPr>
          <w:rFonts w:ascii="Calibri" w:cs="Calibri" w:eastAsia="Calibri" w:hAnsi="Calibri"/>
          <w:b/>
          <w:bCs/>
          <w:color w:val="2D6CC0"/>
          <w:sz w:val="24"/>
          <w:szCs w:val="24"/>
        </w:rPr>
        <w:t xml:space="preserve">6.2.2 Create New Pipeline</w:t>
      </w:r>
    </w:p>
    <w:p>
      <w:pPr>
        <w:spacing w:after="120" w:line="276" w:lineRule="auto"/>
      </w:pPr>
      <w:r>
        <w:rPr>
          <w:rFonts w:ascii="Calibri" w:cs="Calibri" w:eastAsia="Calibri" w:hAnsi="Calibri"/>
          <w:sz w:val="22"/>
          <w:szCs w:val="22"/>
        </w:rPr>
        <w:t xml:space="preserve">URL: https://jgdedud-pihjdmo-capgemini-apac-poc.snowflakecomputing.app/create-pipeline</w:t>
      </w:r>
    </w:p>
    <w:p>
      <w:pPr>
        <w:spacing w:after="120" w:line="276" w:lineRule="auto"/>
      </w:pPr>
      <w:r>
        <w:rPr>
          <w:rFonts w:ascii="Calibri" w:cs="Calibri" w:eastAsia="Calibri" w:hAnsi="Calibri"/>
          <w:sz w:val="22"/>
          <w:szCs w:val="22"/>
        </w:rPr>
        <w:t xml:space="preserve">CreatePipeline is a multi-field form for configuring a new data ingestion pipeline. It dynamically adapts its visible fields based on two independent selections: data source type (Cloud or Database) and application mode (TalkToDocument or TalkToData).</w:t>
      </w:r>
    </w:p>
    <w:p>
      <w:pPr>
        <w:pBdr>
          <w:left w:val="single" w:color="2D6CC0" w:sz="12"/>
        </w:pBdr>
        <w:shd w:fill="D6E4F0" w:val="clear"/>
        <w:spacing w:after="120"/>
        <w:ind w:left="180" w:right="180"/>
      </w:pPr>
      <w:r>
        <w:rPr>
          <w:rFonts w:ascii="Calibri" w:cs="Calibri" w:eastAsia="Calibri" w:hAnsi="Calibri"/>
          <w:b/>
          <w:bCs/>
          <w:color w:val="2D6CC0"/>
          <w:sz w:val="20"/>
          <w:szCs w:val="20"/>
        </w:rPr>
        <w:t xml:space="preserve">Pipeline Name Validation: </w:t>
      </w:r>
      <w:r>
        <w:rPr>
          <w:rFonts w:ascii="Calibri" w:cs="Calibri" w:eastAsia="Calibri" w:hAnsi="Calibri"/>
          <w:sz w:val="20"/>
          <w:szCs w:val="20"/>
        </w:rPr>
        <w:t xml:space="preserve">The pipeline name must be unique. The system validates the entered name against all existing pipeline names before submission. This validation is performed on the frontend before the create API is called. The error is shown inline next to the name input field, and the Next button remains disabled until the name is valid and unique.</w:t>
      </w:r>
    </w:p>
    <w:p>
      <w:pPr>
        <w:spacing w:after="80"/>
      </w:pPr>
    </w:p>
    <w:p>
      <w:pPr>
        <w:pStyle w:val="Heading3"/>
        <w:spacing w:after="120" w:before="280"/>
      </w:pPr>
      <w:r>
        <w:rPr>
          <w:rFonts w:ascii="Calibri" w:cs="Calibri" w:eastAsia="Calibri" w:hAnsi="Calibri"/>
          <w:b/>
          <w:bCs/>
          <w:color w:val="2D6CC0"/>
          <w:sz w:val="24"/>
          <w:szCs w:val="24"/>
        </w:rPr>
        <w:t xml:space="preserve">6.2.3 Pipeline Form Data Structure</w:t>
      </w:r>
    </w:p>
    <w:p>
      <w:pPr>
        <w:spacing w:after="120" w:line="276" w:lineRule="auto"/>
      </w:pPr>
      <w:r>
        <w:rPr>
          <w:rFonts w:ascii="Calibri" w:cs="Calibri" w:eastAsia="Calibri" w:hAnsi="Calibri"/>
          <w:sz w:val="22"/>
          <w:szCs w:val="22"/>
        </w:rPr>
        <w:t xml:space="preserve">The form state is typed as PipelineFormData covering these logical groups:</w:t>
      </w:r>
    </w:p>
    <w:p>
      <w:pPr>
        <w:pStyle w:val="ListParagraph"/>
        <w:numPr>
          <w:ilvl w:val="0"/>
          <w:numId w:val="2"/>
        </w:numPr>
        <w:spacing w:after="80" w:line="276" w:lineRule="auto"/>
      </w:pPr>
      <w:r>
        <w:rPr>
          <w:rFonts w:ascii="Calibri" w:cs="Calibri" w:eastAsia="Calibri" w:hAnsi="Calibri"/>
          <w:b/>
          <w:bCs/>
          <w:sz w:val="22"/>
          <w:szCs w:val="22"/>
        </w:rPr>
        <w:t xml:space="preserve">Common fields — pipelineName (required string), dataSourceType (cloud or database discriminator), selectedDb, and selectedSchema. These fields are always visible and control which downstream fields appear.</w:t>
      </w:r>
    </w:p>
    <w:p>
      <w:pPr>
        <w:pStyle w:val="ListParagraph"/>
        <w:numPr>
          <w:ilvl w:val="0"/>
          <w:numId w:val="2"/>
        </w:numPr>
        <w:spacing w:after="80" w:line="276" w:lineRule="auto"/>
      </w:pPr>
      <w:r>
        <w:rPr>
          <w:rFonts w:ascii="Calibri" w:cs="Calibri" w:eastAsia="Calibri" w:hAnsi="Calibri"/>
          <w:b/>
          <w:bCs/>
          <w:sz w:val="22"/>
          <w:szCs w:val="22"/>
        </w:rPr>
        <w:t xml:space="preserve">Cloud source fields (TalkToDocument) — fileLocation (Snowflake stage path), selectedFiles (list of files to ingest), chunkingMethod, chunkSize, chunkOverlap, chunkTable (destination table), and cortexSearchService (Cortex Search Service name for retrieval).</w:t>
      </w:r>
    </w:p>
    <w:p>
      <w:pPr>
        <w:pStyle w:val="ListParagraph"/>
        <w:numPr>
          <w:ilvl w:val="0"/>
          <w:numId w:val="2"/>
        </w:numPr>
        <w:spacing w:after="80" w:line="276" w:lineRule="auto"/>
      </w:pPr>
      <w:r>
        <w:rPr>
          <w:rFonts w:ascii="Calibri" w:cs="Calibri" w:eastAsia="Calibri" w:hAnsi="Calibri"/>
          <w:b/>
          <w:bCs/>
          <w:sz w:val="22"/>
          <w:szCs w:val="22"/>
        </w:rPr>
        <w:t xml:space="preserve">Database source — TalkToData (semantic) fields — semanticView (list of selected semantic view names) and semanticModel (Cortex Analyst semantic model identifier).</w:t>
      </w:r>
    </w:p>
    <w:p>
      <w:pPr>
        <w:pStyle w:val="ListParagraph"/>
        <w:numPr>
          <w:ilvl w:val="0"/>
          <w:numId w:val="2"/>
        </w:numPr>
        <w:spacing w:after="80" w:line="276" w:lineRule="auto"/>
      </w:pPr>
      <w:r>
        <w:rPr>
          <w:rFonts w:ascii="Calibri" w:cs="Calibri" w:eastAsia="Calibri" w:hAnsi="Calibri"/>
          <w:b/>
          <w:bCs/>
          <w:sz w:val="22"/>
          <w:szCs w:val="22"/>
        </w:rPr>
        <w:t xml:space="preserve">Database source — TalkToDocument (multi-table) fields — serviceNameBase, selectedTables, tableConfigs (per-table map of text column and attribute column selections), and createdSearchServices (per-table map of provisioned Cortex Search Service names).</w:t>
      </w:r>
    </w:p>
    <w:p>
      <w:pPr>
        <w:spacing w:after="80"/>
      </w:pPr>
    </w:p>
    <w:p>
      <w:pPr>
        <w:pStyle w:val="Heading3"/>
        <w:spacing w:after="120" w:before="280"/>
      </w:pPr>
      <w:r>
        <w:rPr>
          <w:rFonts w:ascii="Calibri" w:cs="Calibri" w:eastAsia="Calibri" w:hAnsi="Calibri"/>
          <w:b/>
          <w:bCs/>
          <w:color w:val="2D6CC0"/>
          <w:sz w:val="24"/>
          <w:szCs w:val="24"/>
        </w:rPr>
        <w:t xml:space="preserve">6.2.4 Cloud Storage Configuration</w:t>
      </w:r>
    </w:p>
    <w:p>
      <w:pPr>
        <w:spacing w:after="120" w:line="276" w:lineRule="auto"/>
      </w:pPr>
      <w:r>
        <w:rPr>
          <w:rFonts w:ascii="Calibri" w:cs="Calibri" w:eastAsia="Calibri" w:hAnsi="Calibri"/>
          <w:sz w:val="22"/>
          <w:szCs w:val="22"/>
        </w:rPr>
        <w:t xml:space="preserve">Data Entry:</w:t>
      </w:r>
    </w:p>
    <w:p>
      <w:pPr>
        <w:pStyle w:val="ListParagraph"/>
        <w:numPr>
          <w:ilvl w:val="0"/>
          <w:numId w:val="2"/>
        </w:numPr>
        <w:spacing w:after="80" w:line="276" w:lineRule="auto"/>
      </w:pPr>
      <w:r>
        <w:rPr>
          <w:rFonts w:ascii="Calibri" w:cs="Calibri" w:eastAsia="Calibri" w:hAnsi="Calibri"/>
          <w:b w:val="false"/>
          <w:bCs w:val="false"/>
          <w:sz w:val="22"/>
          <w:szCs w:val="22"/>
        </w:rPr>
        <w:t xml:space="preserve">Select the database.</w:t>
      </w:r>
    </w:p>
    <w:p>
      <w:pPr>
        <w:pStyle w:val="ListParagraph"/>
        <w:numPr>
          <w:ilvl w:val="0"/>
          <w:numId w:val="2"/>
        </w:numPr>
        <w:spacing w:after="80" w:line="276" w:lineRule="auto"/>
      </w:pPr>
      <w:r>
        <w:rPr>
          <w:rFonts w:ascii="Calibri" w:cs="Calibri" w:eastAsia="Calibri" w:hAnsi="Calibri"/>
          <w:b w:val="false"/>
          <w:bCs w:val="false"/>
          <w:sz w:val="22"/>
          <w:szCs w:val="22"/>
        </w:rPr>
        <w:t xml:space="preserve">Select the schema present inside the selected database.</w:t>
      </w:r>
    </w:p>
    <w:p>
      <w:pPr>
        <w:pStyle w:val="ListParagraph"/>
        <w:numPr>
          <w:ilvl w:val="0"/>
          <w:numId w:val="2"/>
        </w:numPr>
        <w:spacing w:after="80" w:line="276" w:lineRule="auto"/>
      </w:pPr>
      <w:r>
        <w:rPr>
          <w:rFonts w:ascii="Calibri" w:cs="Calibri" w:eastAsia="Calibri" w:hAnsi="Calibri"/>
          <w:b w:val="false"/>
          <w:bCs w:val="false"/>
          <w:sz w:val="22"/>
          <w:szCs w:val="22"/>
        </w:rPr>
        <w:t xml:space="preserve">Choose a file location (Snowflake stage path).</w:t>
      </w:r>
    </w:p>
    <w:p>
      <w:pPr>
        <w:pStyle w:val="ListParagraph"/>
        <w:numPr>
          <w:ilvl w:val="0"/>
          <w:numId w:val="2"/>
        </w:numPr>
        <w:spacing w:after="80" w:line="276" w:lineRule="auto"/>
      </w:pPr>
      <w:r>
        <w:rPr>
          <w:rFonts w:ascii="Calibri" w:cs="Calibri" w:eastAsia="Calibri" w:hAnsi="Calibri"/>
          <w:b w:val="false"/>
          <w:bCs w:val="false"/>
          <w:sz w:val="22"/>
          <w:szCs w:val="22"/>
        </w:rPr>
        <w:t xml:space="preserve">Select the PDF files inside the selected file location (optional).</w:t>
      </w:r>
    </w:p>
    <w:p>
      <w:pPr>
        <w:pStyle w:val="ListParagraph"/>
        <w:numPr>
          <w:ilvl w:val="0"/>
          <w:numId w:val="2"/>
        </w:numPr>
        <w:spacing w:after="80" w:line="276" w:lineRule="auto"/>
      </w:pPr>
      <w:r>
        <w:rPr>
          <w:rFonts w:ascii="Calibri" w:cs="Calibri" w:eastAsia="Calibri" w:hAnsi="Calibri"/>
          <w:b w:val="false"/>
          <w:bCs w:val="false"/>
          <w:sz w:val="22"/>
          <w:szCs w:val="22"/>
        </w:rPr>
        <w:t xml:space="preserve">Select the chunking method, chunking size, and chunking overlap.</w:t>
      </w:r>
    </w:p>
    <w:p>
      <w:pPr>
        <w:spacing w:after="120" w:line="276" w:lineRule="auto"/>
      </w:pPr>
      <w:r>
        <w:rPr>
          <w:rFonts w:ascii="Calibri" w:cs="Calibri" w:eastAsia="Calibri" w:hAnsi="Calibri"/>
          <w:sz w:val="22"/>
          <w:szCs w:val="22"/>
        </w:rPr>
        <w:t xml:space="preserve">API calls: databases, schemas, stages, stage-files.</w:t>
      </w:r>
    </w:p>
    <w:p>
      <w:pPr>
        <w:spacing w:after="80"/>
      </w:pPr>
    </w:p>
    <w:p>
      <w:pPr>
        <w:pStyle w:val="Heading3"/>
        <w:spacing w:after="120" w:before="280"/>
      </w:pPr>
      <w:r>
        <w:rPr>
          <w:rFonts w:ascii="Calibri" w:cs="Calibri" w:eastAsia="Calibri" w:hAnsi="Calibri"/>
          <w:b/>
          <w:bCs/>
          <w:color w:val="2D6CC0"/>
          <w:sz w:val="24"/>
          <w:szCs w:val="24"/>
        </w:rPr>
        <w:t xml:space="preserve">6.2.5 Database Storage Configuration</w:t>
      </w:r>
    </w:p>
    <w:p>
      <w:pPr>
        <w:spacing w:after="120" w:line="276" w:lineRule="auto"/>
      </w:pPr>
      <w:r>
        <w:rPr>
          <w:rFonts w:ascii="Calibri" w:cs="Calibri" w:eastAsia="Calibri" w:hAnsi="Calibri"/>
          <w:sz w:val="22"/>
          <w:szCs w:val="22"/>
        </w:rPr>
        <w:t xml:space="preserve">Data Entry:</w:t>
      </w:r>
    </w:p>
    <w:p>
      <w:pPr>
        <w:pStyle w:val="ListParagraph"/>
        <w:numPr>
          <w:ilvl w:val="0"/>
          <w:numId w:val="2"/>
        </w:numPr>
        <w:spacing w:after="80" w:line="276" w:lineRule="auto"/>
      </w:pPr>
      <w:r>
        <w:rPr>
          <w:rFonts w:ascii="Calibri" w:cs="Calibri" w:eastAsia="Calibri" w:hAnsi="Calibri"/>
          <w:b w:val="false"/>
          <w:bCs w:val="false"/>
          <w:sz w:val="22"/>
          <w:szCs w:val="22"/>
        </w:rPr>
        <w:t xml:space="preserve">Select the database.</w:t>
      </w:r>
    </w:p>
    <w:p>
      <w:pPr>
        <w:pStyle w:val="ListParagraph"/>
        <w:numPr>
          <w:ilvl w:val="0"/>
          <w:numId w:val="2"/>
        </w:numPr>
        <w:spacing w:after="80" w:line="276" w:lineRule="auto"/>
      </w:pPr>
      <w:r>
        <w:rPr>
          <w:rFonts w:ascii="Calibri" w:cs="Calibri" w:eastAsia="Calibri" w:hAnsi="Calibri"/>
          <w:b w:val="false"/>
          <w:bCs w:val="false"/>
          <w:sz w:val="22"/>
          <w:szCs w:val="22"/>
        </w:rPr>
        <w:t xml:space="preserve">Select the schema present inside the selected database.</w:t>
      </w:r>
    </w:p>
    <w:p>
      <w:pPr>
        <w:pStyle w:val="ListParagraph"/>
        <w:numPr>
          <w:ilvl w:val="0"/>
          <w:numId w:val="2"/>
        </w:numPr>
        <w:spacing w:after="80" w:line="276" w:lineRule="auto"/>
      </w:pPr>
      <w:r>
        <w:rPr>
          <w:rFonts w:ascii="Calibri" w:cs="Calibri" w:eastAsia="Calibri" w:hAnsi="Calibri"/>
          <w:b w:val="false"/>
          <w:bCs w:val="false"/>
          <w:sz w:val="22"/>
          <w:szCs w:val="22"/>
        </w:rPr>
        <w:t xml:space="preserve">Select the tables present inside the schema (multiple tables can be selected).</w:t>
      </w:r>
    </w:p>
    <w:p>
      <w:pPr>
        <w:pStyle w:val="ListParagraph"/>
        <w:numPr>
          <w:ilvl w:val="0"/>
          <w:numId w:val="2"/>
        </w:numPr>
        <w:spacing w:after="80" w:line="276" w:lineRule="auto"/>
      </w:pPr>
      <w:r>
        <w:rPr>
          <w:rFonts w:ascii="Calibri" w:cs="Calibri" w:eastAsia="Calibri" w:hAnsi="Calibri"/>
          <w:b w:val="false"/>
          <w:bCs w:val="false"/>
          <w:sz w:val="22"/>
          <w:szCs w:val="22"/>
        </w:rPr>
        <w:t xml:space="preserve">Select the column inside the table.</w:t>
      </w:r>
    </w:p>
    <w:p>
      <w:pPr>
        <w:pStyle w:val="ListParagraph"/>
        <w:numPr>
          <w:ilvl w:val="0"/>
          <w:numId w:val="2"/>
        </w:numPr>
        <w:spacing w:after="80" w:line="276" w:lineRule="auto"/>
      </w:pPr>
      <w:r>
        <w:rPr>
          <w:rFonts w:ascii="Calibri" w:cs="Calibri" w:eastAsia="Calibri" w:hAnsi="Calibri"/>
          <w:b w:val="false"/>
          <w:bCs w:val="false"/>
          <w:sz w:val="22"/>
          <w:szCs w:val="22"/>
        </w:rPr>
        <w:t xml:space="preserve">Select the attribute (optional).</w:t>
      </w:r>
    </w:p>
    <w:p>
      <w:pPr>
        <w:spacing w:after="120" w:line="276" w:lineRule="auto"/>
      </w:pPr>
      <w:r>
        <w:rPr>
          <w:rFonts w:ascii="Calibri" w:cs="Calibri" w:eastAsia="Calibri" w:hAnsi="Calibri"/>
          <w:sz w:val="22"/>
          <w:szCs w:val="22"/>
        </w:rPr>
        <w:t xml:space="preserve">API calls: databases, schemas, tables, columns.</w:t>
      </w:r>
    </w:p>
    <w:p>
      <w:pPr>
        <w:spacing w:after="80"/>
      </w:pPr>
    </w:p>
    <w:p>
      <w:pPr>
        <w:pStyle w:val="Heading3"/>
        <w:spacing w:after="120" w:before="280"/>
      </w:pPr>
      <w:r>
        <w:rPr>
          <w:rFonts w:ascii="Calibri" w:cs="Calibri" w:eastAsia="Calibri" w:hAnsi="Calibri"/>
          <w:b/>
          <w:bCs/>
          <w:color w:val="2D6CC0"/>
          <w:sz w:val="24"/>
          <w:szCs w:val="24"/>
        </w:rPr>
        <w:t xml:space="preserve">6.2.6 Dynamic DB/Schema Selectors</w:t>
      </w:r>
    </w:p>
    <w:p>
      <w:pPr>
        <w:spacing w:after="120" w:line="276" w:lineRule="auto"/>
      </w:pPr>
      <w:r>
        <w:rPr>
          <w:rFonts w:ascii="Calibri" w:cs="Calibri" w:eastAsia="Calibri" w:hAnsi="Calibri"/>
          <w:sz w:val="22"/>
          <w:szCs w:val="22"/>
        </w:rPr>
        <w:t xml:space="preserve">The database and schema selectors are dynamically populated from the Snowflake metadata API. When the user selects a database, MetadataAPI.getSchemas() is called to fetch available schemas. The schema selection is cleared whenever the database changes. A schemasByDb lookup map caches previously fetched schemas keyed by database name to avoid redundant API calls when the user toggles between databases.</w:t>
      </w:r>
    </w:p>
    <w:p>
      <w:pPr>
        <w:spacing w:after="80"/>
      </w:pPr>
    </w:p>
    <w:p>
      <w:pPr>
        <w:pStyle w:val="Heading3"/>
        <w:spacing w:after="120" w:before="280"/>
      </w:pPr>
      <w:r>
        <w:rPr>
          <w:rFonts w:ascii="Calibri" w:cs="Calibri" w:eastAsia="Calibri" w:hAnsi="Calibri"/>
          <w:b/>
          <w:bCs/>
          <w:color w:val="2D6CC0"/>
          <w:sz w:val="24"/>
          <w:szCs w:val="24"/>
        </w:rPr>
        <w:t xml:space="preserve">6.2.7 Review Pipeline &amp; Submission</w:t>
      </w:r>
    </w:p>
    <w:p>
      <w:pPr>
        <w:spacing w:after="120" w:line="276" w:lineRule="auto"/>
      </w:pPr>
      <w:r>
        <w:rPr>
          <w:rFonts w:ascii="Calibri" w:cs="Calibri" w:eastAsia="Calibri" w:hAnsi="Calibri"/>
          <w:sz w:val="22"/>
          <w:szCs w:val="22"/>
        </w:rPr>
        <w:t xml:space="preserve">Before submitting, the user can review the complete pipeline configuration on the Review Pipeline page. Upon clicking Submit, the pipeline creation API is called and the user is redirected to the Data Preparation listing page.</w:t>
      </w:r>
    </w:p>
    <w:p>
      <w:pPr>
        <w:spacing w:after="80"/>
      </w:pPr>
    </w:p>
    <w:p>
      <w:pPr>
        <w:pStyle w:val="Heading2"/>
        <w:spacing w:after="120" w:before="320"/>
      </w:pPr>
      <w:r>
        <w:rPr>
          <w:rFonts w:ascii="Calibri" w:cs="Calibri" w:eastAsia="Calibri" w:hAnsi="Calibri"/>
          <w:b/>
          <w:bCs/>
          <w:color w:val="2D6CC0"/>
          <w:sz w:val="28"/>
          <w:szCs w:val="28"/>
        </w:rPr>
        <w:t xml:space="preserve">6.3 Experiment and Deploy</w:t>
      </w:r>
    </w:p>
    <w:p>
      <w:pPr>
        <w:spacing w:after="120" w:line="276" w:lineRule="auto"/>
      </w:pPr>
      <w:r>
        <w:rPr>
          <w:rFonts w:ascii="Calibri" w:cs="Calibri" w:eastAsia="Calibri" w:hAnsi="Calibri"/>
          <w:sz w:val="22"/>
          <w:szCs w:val="22"/>
        </w:rPr>
        <w:t xml:space="preserve">URL: https://jgdedud-pihjdmo-capgemini-apac-poc.snowflakecomputing.app/experimentation</w:t>
      </w:r>
    </w:p>
    <w:p>
      <w:pPr>
        <w:spacing w:after="120" w:line="276" w:lineRule="auto"/>
      </w:pPr>
      <w:r>
        <w:rPr>
          <w:rFonts w:ascii="Calibri" w:cs="Calibri" w:eastAsia="Calibri" w:hAnsi="Calibri"/>
          <w:sz w:val="22"/>
          <w:szCs w:val="22"/>
        </w:rPr>
        <w:t xml:space="preserve">The Experimentation page is the primary chatbot interaction interface. It renders a responsive three-column layout:</w:t>
      </w:r>
    </w:p>
    <w:p>
      <w:pPr>
        <w:pStyle w:val="ListParagraph"/>
        <w:numPr>
          <w:ilvl w:val="0"/>
          <w:numId w:val="2"/>
        </w:numPr>
        <w:spacing w:after="80" w:line="276" w:lineRule="auto"/>
      </w:pPr>
      <w:r>
        <w:rPr>
          <w:rFonts w:ascii="Calibri" w:cs="Calibri" w:eastAsia="Calibri" w:hAnsi="Calibri"/>
          <w:b w:val="false"/>
          <w:bCs w:val="false"/>
          <w:sz w:val="22"/>
          <w:szCs w:val="22"/>
        </w:rPr>
        <w:t xml:space="preserve">Left column — PipelineSection: chatbot, pipeline, and prompt selector dropdowns plus a Create Chatbot shortcut button.</w:t>
      </w:r>
    </w:p>
    <w:p>
      <w:pPr>
        <w:pStyle w:val="ListParagraph"/>
        <w:numPr>
          <w:ilvl w:val="0"/>
          <w:numId w:val="2"/>
        </w:numPr>
        <w:spacing w:after="80" w:line="276" w:lineRule="auto"/>
      </w:pPr>
      <w:r>
        <w:rPr>
          <w:rFonts w:ascii="Calibri" w:cs="Calibri" w:eastAsia="Calibri" w:hAnsi="Calibri"/>
          <w:b w:val="false"/>
          <w:bCs w:val="false"/>
          <w:sz w:val="22"/>
          <w:szCs w:val="22"/>
        </w:rPr>
        <w:t xml:space="preserve">Centre column — ChatWindow: the primary conversational interface where users type questions and read AI responses.</w:t>
      </w:r>
    </w:p>
    <w:p>
      <w:pPr>
        <w:pStyle w:val="ListParagraph"/>
        <w:numPr>
          <w:ilvl w:val="0"/>
          <w:numId w:val="2"/>
        </w:numPr>
        <w:spacing w:after="80" w:line="276" w:lineRule="auto"/>
      </w:pPr>
      <w:r>
        <w:rPr>
          <w:rFonts w:ascii="Calibri" w:cs="Calibri" w:eastAsia="Calibri" w:hAnsi="Calibri"/>
          <w:b w:val="false"/>
          <w:bCs w:val="false"/>
          <w:sz w:val="22"/>
          <w:szCs w:val="22"/>
        </w:rPr>
        <w:t xml:space="preserve">Right column (conditional) — In TalkToDocument mode, ReferredDocumentsPanel shows document citations. In TalkToData mode, ChatDataTabs renders result, SQL, visualisation, and execution plan tabs. When model comparison is enabled, ModelComparisonPanel overlays performance metrics.</w:t>
      </w:r>
    </w:p>
    <w:p>
      <w:pPr>
        <w:spacing w:after="80"/>
      </w:pPr>
    </w:p>
    <w:p>
      <w:pPr>
        <w:pStyle w:val="Heading3"/>
        <w:spacing w:after="120" w:before="280"/>
      </w:pPr>
      <w:r>
        <w:rPr>
          <w:rFonts w:ascii="Calibri" w:cs="Calibri" w:eastAsia="Calibri" w:hAnsi="Calibri"/>
          <w:b/>
          <w:bCs/>
          <w:color w:val="2D6CC0"/>
          <w:sz w:val="24"/>
          <w:szCs w:val="24"/>
        </w:rPr>
        <w:t xml:space="preserve">6.3.1 Chatbot Listing</w:t>
      </w:r>
    </w:p>
    <w:p>
      <w:pPr>
        <w:spacing w:after="120" w:line="276" w:lineRule="auto"/>
      </w:pPr>
      <w:r>
        <w:rPr>
          <w:rFonts w:ascii="Calibri" w:cs="Calibri" w:eastAsia="Calibri" w:hAnsi="Calibri"/>
          <w:sz w:val="22"/>
          <w:szCs w:val="22"/>
        </w:rPr>
        <w:t xml:space="preserve">The chatbot listing shows all available chatbots accessible to the current user. Selecting a chatbot updates the active selection in ChatbotContext and triggers a pipeline list re-fetch scoped to that chatbot.</w:t>
      </w:r>
    </w:p>
    <w:p>
      <w:pPr>
        <w:spacing w:after="80"/>
      </w:pPr>
    </w:p>
    <w:p>
      <w:pPr>
        <w:pStyle w:val="Heading3"/>
        <w:spacing w:after="120" w:before="280"/>
      </w:pPr>
      <w:r>
        <w:rPr>
          <w:rFonts w:ascii="Calibri" w:cs="Calibri" w:eastAsia="Calibri" w:hAnsi="Calibri"/>
          <w:b/>
          <w:bCs/>
          <w:color w:val="2D6CC0"/>
          <w:sz w:val="24"/>
          <w:szCs w:val="24"/>
        </w:rPr>
        <w:t xml:space="preserve">6.3.2 Create New Chatbot</w:t>
      </w:r>
    </w:p>
    <w:p>
      <w:pPr>
        <w:spacing w:after="120" w:line="276" w:lineRule="auto"/>
      </w:pPr>
      <w:r>
        <w:rPr>
          <w:rFonts w:ascii="Calibri" w:cs="Calibri" w:eastAsia="Calibri" w:hAnsi="Calibri"/>
          <w:sz w:val="22"/>
          <w:szCs w:val="22"/>
        </w:rPr>
        <w:t xml:space="preserve">Clicking Create New Chatbot navigates to /create-chatbot. The createChatbot async action posts to the chatbot creation endpoint, refreshes the chatbot list, and returns the new chatbot ID for immediate navigation.</w:t>
      </w:r>
    </w:p>
    <w:p>
      <w:pPr>
        <w:spacing w:after="80"/>
      </w:pPr>
    </w:p>
    <w:p>
      <w:pPr>
        <w:pStyle w:val="Heading3"/>
        <w:spacing w:after="120" w:before="280"/>
      </w:pPr>
      <w:r>
        <w:rPr>
          <w:rFonts w:ascii="Calibri" w:cs="Calibri" w:eastAsia="Calibri" w:hAnsi="Calibri"/>
          <w:b/>
          <w:bCs/>
          <w:color w:val="2D6CC0"/>
          <w:sz w:val="24"/>
          <w:szCs w:val="24"/>
        </w:rPr>
        <w:t xml:space="preserve">6.3.3 ChatWindow Component</w:t>
      </w:r>
    </w:p>
    <w:p>
      <w:pPr>
        <w:spacing w:after="120" w:line="276" w:lineRule="auto"/>
      </w:pPr>
      <w:r>
        <w:rPr>
          <w:rFonts w:ascii="Calibri" w:cs="Calibri" w:eastAsia="Calibri" w:hAnsi="Calibri"/>
          <w:sz w:val="22"/>
          <w:szCs w:val="22"/>
        </w:rPr>
        <w:t xml:space="preserve">ChatWindow maintains a local array of ChatItem records accumulating the full session history. When the user submits a message, ChatWindow immediately appends a placeholder item with a GENERATING_TEXT sentinel value for instant visual feedback. On success, it replaces the placeholder with the real response. On failure, it replaces the placeholder with an error message string.</w:t>
      </w:r>
    </w:p>
    <w:p>
      <w:pPr>
        <w:spacing w:after="120" w:line="276" w:lineRule="auto"/>
      </w:pPr>
      <w:r>
        <w:rPr>
          <w:rFonts w:ascii="Calibri" w:cs="Calibri" w:eastAsia="Calibri" w:hAnsi="Calibri"/>
          <w:sz w:val="22"/>
          <w:szCs w:val="22"/>
        </w:rPr>
        <w:t xml:space="preserve">ChatWindow also handles: feedback (thumbs up/down ratings), response refresh (re-submitting the last question), and model selection (reading the selectedModels array from localStorage and listening for the selectedModelsChanged custom window event).</w:t>
      </w:r>
    </w:p>
    <w:p>
      <w:pPr>
        <w:spacing w:after="80"/>
      </w:pPr>
    </w:p>
    <w:p>
      <w:pPr>
        <w:pStyle w:val="Heading3"/>
        <w:spacing w:after="120" w:before="280"/>
      </w:pPr>
      <w:r>
        <w:rPr>
          <w:rFonts w:ascii="Calibri" w:cs="Calibri" w:eastAsia="Calibri" w:hAnsi="Calibri"/>
          <w:b/>
          <w:bCs/>
          <w:color w:val="2D6CC0"/>
          <w:sz w:val="24"/>
          <w:szCs w:val="24"/>
        </w:rPr>
        <w:t xml:space="preserve">6.3.4 ChatResponse Component (TalkToDocument)</w:t>
      </w:r>
    </w:p>
    <w:p>
      <w:pPr>
        <w:spacing w:after="120" w:line="276" w:lineRule="auto"/>
      </w:pPr>
      <w:r>
        <w:rPr>
          <w:rFonts w:ascii="Calibri" w:cs="Calibri" w:eastAsia="Calibri" w:hAnsi="Calibri"/>
          <w:sz w:val="22"/>
          <w:szCs w:val="22"/>
        </w:rPr>
        <w:t xml:space="preserve">ChatResponse renders a single question-and-answer turn. It handles both single-model responses (a plain string) and multi-model responses (a Record mapping model names to their individual answer strings). For DeepSeek-R1 responses, ChatResponse applies stripDeepSeekThink() to remove the &lt;think&gt;...&lt;/think&gt; reasoning block, with an expandable Thinking Details section for users who want to inspect the raw chain-of-thought.</w:t>
      </w:r>
    </w:p>
    <w:p>
      <w:pPr>
        <w:spacing w:after="80"/>
      </w:pPr>
    </w:p>
    <w:p>
      <w:pPr>
        <w:pStyle w:val="Heading3"/>
        <w:spacing w:after="120" w:before="280"/>
      </w:pPr>
      <w:r>
        <w:rPr>
          <w:rFonts w:ascii="Calibri" w:cs="Calibri" w:eastAsia="Calibri" w:hAnsi="Calibri"/>
          <w:b/>
          <w:bCs/>
          <w:color w:val="2D6CC0"/>
          <w:sz w:val="24"/>
          <w:szCs w:val="24"/>
        </w:rPr>
        <w:t xml:space="preserve">6.3.5 Model Comparison</w:t>
      </w:r>
    </w:p>
    <w:p>
      <w:pPr>
        <w:spacing w:after="120" w:line="276" w:lineRule="auto"/>
      </w:pPr>
      <w:r>
        <w:rPr>
          <w:rFonts w:ascii="Calibri" w:cs="Calibri" w:eastAsia="Calibri" w:hAnsi="Calibri"/>
          <w:sz w:val="22"/>
          <w:szCs w:val="22"/>
        </w:rPr>
        <w:t xml:space="preserve">ModelComparisonPanel appears in the right column when the comparison feature is enabled. It fetches CSAT and KPI metric data for the active chatbot, merges them by model name into a unified ModelComparisonData array, and identifies the recommended model as the one with the highest average success rate.</w:t>
      </w:r>
    </w:p>
    <w:p>
      <w:pPr>
        <w:spacing w:after="80"/>
      </w:pPr>
    </w:p>
    <w:p>
      <w:pPr>
        <w:pStyle w:val="Heading3"/>
        <w:spacing w:after="120" w:before="280"/>
      </w:pPr>
      <w:r>
        <w:rPr>
          <w:rFonts w:ascii="Calibri" w:cs="Calibri" w:eastAsia="Calibri" w:hAnsi="Calibri"/>
          <w:b/>
          <w:bCs/>
          <w:color w:val="2D6CC0"/>
          <w:sz w:val="24"/>
          <w:szCs w:val="24"/>
        </w:rPr>
        <w:t xml:space="preserve">6.3.6 ModelDeployDialog Component</w:t>
      </w:r>
    </w:p>
    <w:p>
      <w:pPr>
        <w:spacing w:after="120" w:line="276" w:lineRule="auto"/>
      </w:pPr>
      <w:r>
        <w:rPr>
          <w:rFonts w:ascii="Calibri" w:cs="Calibri" w:eastAsia="Calibri" w:hAnsi="Calibri"/>
          <w:sz w:val="22"/>
          <w:szCs w:val="22"/>
        </w:rPr>
        <w:t xml:space="preserve">ModelDeployDialog is a modal dialog that collects deployment configuration:</w:t>
      </w:r>
    </w:p>
    <w:p>
      <w:pPr>
        <w:pStyle w:val="ListParagraph"/>
        <w:numPr>
          <w:ilvl w:val="0"/>
          <w:numId w:val="2"/>
        </w:numPr>
        <w:spacing w:after="80" w:line="276" w:lineRule="auto"/>
      </w:pPr>
      <w:r>
        <w:rPr>
          <w:rFonts w:ascii="Calibri" w:cs="Calibri" w:eastAsia="Calibri" w:hAnsi="Calibri"/>
          <w:b w:val="false"/>
          <w:bCs w:val="false"/>
          <w:sz w:val="22"/>
          <w:szCs w:val="22"/>
        </w:rPr>
        <w:t xml:space="preserve">TalkToDocument mode — Single-select model dropdown and a multi-select Snowflake roles dropdown. Only users with the selected roles will be able to access the deployed chatbot.</w:t>
      </w:r>
    </w:p>
    <w:p>
      <w:pPr>
        <w:pStyle w:val="ListParagraph"/>
        <w:numPr>
          <w:ilvl w:val="0"/>
          <w:numId w:val="2"/>
        </w:numPr>
        <w:spacing w:after="80" w:line="276" w:lineRule="auto"/>
      </w:pPr>
      <w:r>
        <w:rPr>
          <w:rFonts w:ascii="Calibri" w:cs="Calibri" w:eastAsia="Calibri" w:hAnsi="Calibri"/>
          <w:b w:val="false"/>
          <w:bCs w:val="false"/>
          <w:sz w:val="22"/>
          <w:szCs w:val="22"/>
        </w:rPr>
        <w:t xml:space="preserve">TalkToData mode — Pipeline selector, semantic view selector, and the same Snowflake roles multi-select. The model field is omitted because TalkToData chatbots use the pipeline's configured model.</w:t>
      </w:r>
    </w:p>
    <w:p>
      <w:pPr>
        <w:spacing w:after="120" w:line="276" w:lineRule="auto"/>
      </w:pPr>
      <w:r>
        <w:rPr>
          <w:rFonts w:ascii="Calibri" w:cs="Calibri" w:eastAsia="Calibri" w:hAnsi="Calibri"/>
          <w:sz w:val="22"/>
          <w:szCs w:val="22"/>
        </w:rPr>
        <w:t xml:space="preserve">On successful deployment, the dialog transitions to a SuccessDialog confirmation view. On failure, the EnhancedApiError message is displayed inline within the dialog.</w:t>
      </w:r>
    </w:p>
    <w:p>
      <w:pPr>
        <w:spacing w:after="80"/>
      </w:pPr>
    </w:p>
    <w:p>
      <w:pPr>
        <w:pStyle w:val="Heading2"/>
        <w:spacing w:after="120" w:before="320"/>
      </w:pPr>
      <w:r>
        <w:rPr>
          <w:rFonts w:ascii="Calibri" w:cs="Calibri" w:eastAsia="Calibri" w:hAnsi="Calibri"/>
          <w:b/>
          <w:bCs/>
          <w:color w:val="2D6CC0"/>
          <w:sz w:val="28"/>
          <w:szCs w:val="28"/>
        </w:rPr>
        <w:t xml:space="preserve">6.4 Deployed Application</w:t>
      </w:r>
    </w:p>
    <w:p>
      <w:pPr>
        <w:spacing w:after="120" w:line="276" w:lineRule="auto"/>
      </w:pPr>
      <w:r>
        <w:rPr>
          <w:rFonts w:ascii="Calibri" w:cs="Calibri" w:eastAsia="Calibri" w:hAnsi="Calibri"/>
          <w:sz w:val="22"/>
          <w:szCs w:val="22"/>
        </w:rPr>
        <w:t xml:space="preserve">URL: https://jgdedud-pihjdmo-capgemini-apac-poc.snowflakecomputing.app/deployed-application</w:t>
      </w:r>
    </w:p>
    <w:p>
      <w:pPr>
        <w:spacing w:after="120" w:line="276" w:lineRule="auto"/>
      </w:pPr>
      <w:r>
        <w:rPr>
          <w:rFonts w:ascii="Calibri" w:cs="Calibri" w:eastAsia="Calibri" w:hAnsi="Calibri"/>
          <w:sz w:val="22"/>
          <w:szCs w:val="22"/>
        </w:rPr>
        <w:t xml:space="preserve">The Deployed Application page shows the production chatbot interface where end users interact with the deployed chatbot. It renders the Chatbot Execution View with full Chat History and Response tracking.</w:t>
      </w:r>
    </w:p>
    <w:p>
      <w:pPr>
        <w:spacing w:after="80"/>
      </w:pPr>
    </w:p>
    <w:p>
      <w:pPr>
        <w:pStyle w:val="Heading2"/>
        <w:spacing w:after="120" w:before="320"/>
      </w:pPr>
      <w:r>
        <w:rPr>
          <w:rFonts w:ascii="Calibri" w:cs="Calibri" w:eastAsia="Calibri" w:hAnsi="Calibri"/>
          <w:b/>
          <w:bCs/>
          <w:color w:val="2D6CC0"/>
          <w:sz w:val="28"/>
          <w:szCs w:val="28"/>
        </w:rPr>
        <w:t xml:space="preserve">6.5 Edit Pipeline</w:t>
      </w:r>
    </w:p>
    <w:p>
      <w:pPr>
        <w:spacing w:after="120" w:line="276" w:lineRule="auto"/>
      </w:pPr>
      <w:r>
        <w:rPr>
          <w:rFonts w:ascii="Calibri" w:cs="Calibri" w:eastAsia="Calibri" w:hAnsi="Calibri"/>
          <w:sz w:val="22"/>
          <w:szCs w:val="22"/>
        </w:rPr>
        <w:t xml:space="preserve">URL: https://jgdedud-pihjdmo-capgemini-apac-poc.snowflakecomputing.app/edit-pipeline/:id</w:t>
      </w:r>
    </w:p>
    <w:p>
      <w:pPr>
        <w:spacing w:after="120" w:line="276" w:lineRule="auto"/>
      </w:pPr>
      <w:r>
        <w:rPr>
          <w:rFonts w:ascii="Calibri" w:cs="Calibri" w:eastAsia="Calibri" w:hAnsi="Calibri"/>
          <w:sz w:val="22"/>
          <w:szCs w:val="22"/>
        </w:rPr>
        <w:t xml:space="preserve">The Edit Pipeline page allows users to modify the configuration of an existing pipeline. The pipeline is fetched by ID via getPipelineById() and the form is pre-populated with the existing configuration. Submission calls updatePipeline() which handles the camelCase to snake_case field mapping before sending to the backend.</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7. Talk to Data — Application Flow</w:t>
      </w:r>
    </w:p>
    <w:p>
      <w:pPr>
        <w:pStyle w:val="Heading2"/>
        <w:spacing w:after="120" w:before="320"/>
      </w:pPr>
      <w:r>
        <w:rPr>
          <w:rFonts w:ascii="Calibri" w:cs="Calibri" w:eastAsia="Calibri" w:hAnsi="Calibri"/>
          <w:b/>
          <w:bCs/>
          <w:color w:val="2D6CC0"/>
          <w:sz w:val="28"/>
          <w:szCs w:val="28"/>
        </w:rPr>
        <w:t xml:space="preserve">7.1 Application Page Overview</w:t>
      </w:r>
    </w:p>
    <w:p>
      <w:pPr>
        <w:spacing w:after="120" w:line="276" w:lineRule="auto"/>
      </w:pPr>
      <w:r>
        <w:rPr>
          <w:rFonts w:ascii="Calibri" w:cs="Calibri" w:eastAsia="Calibri" w:hAnsi="Calibri"/>
          <w:sz w:val="22"/>
          <w:szCs w:val="22"/>
        </w:rPr>
        <w:t xml:space="preserve">Talk to Data enables natural-language queries over structured Snowflake data using Cortex Analyst semantic models. When the user enters via Talk to Data, the application context mode is set to TalkToData, restricting available source types to Semantic View and Stage only.</w:t>
      </w:r>
    </w:p>
    <w:p>
      <w:pPr>
        <w:spacing w:after="80"/>
      </w:pPr>
    </w:p>
    <w:p>
      <w:pPr>
        <w:pStyle w:val="Heading2"/>
        <w:spacing w:after="120" w:before="320"/>
      </w:pPr>
      <w:r>
        <w:rPr>
          <w:rFonts w:ascii="Calibri" w:cs="Calibri" w:eastAsia="Calibri" w:hAnsi="Calibri"/>
          <w:b/>
          <w:bCs/>
          <w:color w:val="2D6CC0"/>
          <w:sz w:val="28"/>
          <w:szCs w:val="28"/>
        </w:rPr>
        <w:t xml:space="preserve">7.2 Data Preparation</w:t>
      </w:r>
    </w:p>
    <w:p>
      <w:pPr>
        <w:spacing w:after="120" w:line="276" w:lineRule="auto"/>
      </w:pPr>
      <w:r>
        <w:rPr>
          <w:rFonts w:ascii="Calibri" w:cs="Calibri" w:eastAsia="Calibri" w:hAnsi="Calibri"/>
          <w:sz w:val="22"/>
          <w:szCs w:val="22"/>
        </w:rPr>
        <w:t xml:space="preserve">The Data Preparation flow for Talk to Data differs from Talk to Document in that the primary source types are Semantic Views and Stages rather than document files.</w:t>
      </w:r>
    </w:p>
    <w:p>
      <w:pPr>
        <w:spacing w:after="80"/>
      </w:pPr>
    </w:p>
    <w:p>
      <w:pPr>
        <w:pStyle w:val="Heading3"/>
        <w:spacing w:after="120" w:before="280"/>
      </w:pPr>
      <w:r>
        <w:rPr>
          <w:rFonts w:ascii="Calibri" w:cs="Calibri" w:eastAsia="Calibri" w:hAnsi="Calibri"/>
          <w:b/>
          <w:bCs/>
          <w:color w:val="2D6CC0"/>
          <w:sz w:val="24"/>
          <w:szCs w:val="24"/>
        </w:rPr>
        <w:t xml:space="preserve">7.2.1 Create New Pipeline</w:t>
      </w:r>
    </w:p>
    <w:p>
      <w:pPr>
        <w:spacing w:after="120" w:line="276" w:lineRule="auto"/>
      </w:pPr>
      <w:r>
        <w:rPr>
          <w:rFonts w:ascii="Calibri" w:cs="Calibri" w:eastAsia="Calibri" w:hAnsi="Calibri"/>
          <w:sz w:val="22"/>
          <w:szCs w:val="22"/>
        </w:rPr>
        <w:t xml:space="preserve">In TalkToData mode, the CreatePipeline form exposes semantic-specific fields:</w:t>
      </w:r>
    </w:p>
    <w:p>
      <w:pPr>
        <w:pStyle w:val="ListParagraph"/>
        <w:numPr>
          <w:ilvl w:val="0"/>
          <w:numId w:val="2"/>
        </w:numPr>
        <w:spacing w:after="80" w:line="276" w:lineRule="auto"/>
      </w:pPr>
      <w:r>
        <w:rPr>
          <w:rFonts w:ascii="Calibri" w:cs="Calibri" w:eastAsia="Calibri" w:hAnsi="Calibri"/>
          <w:b w:val="false"/>
          <w:bCs w:val="false"/>
          <w:sz w:val="22"/>
          <w:szCs w:val="22"/>
        </w:rPr>
        <w:t xml:space="preserve">semanticView — List of selected Snowflake semantic view names.</w:t>
      </w:r>
    </w:p>
    <w:p>
      <w:pPr>
        <w:pStyle w:val="ListParagraph"/>
        <w:numPr>
          <w:ilvl w:val="0"/>
          <w:numId w:val="2"/>
        </w:numPr>
        <w:spacing w:after="80" w:line="276" w:lineRule="auto"/>
      </w:pPr>
      <w:r>
        <w:rPr>
          <w:rFonts w:ascii="Calibri" w:cs="Calibri" w:eastAsia="Calibri" w:hAnsi="Calibri"/>
          <w:b w:val="false"/>
          <w:bCs w:val="false"/>
          <w:sz w:val="22"/>
          <w:szCs w:val="22"/>
        </w:rPr>
        <w:t xml:space="preserve">semanticModel — Cortex Analyst semantic model identifier.</w:t>
      </w:r>
    </w:p>
    <w:p>
      <w:pPr>
        <w:pStyle w:val="ListParagraph"/>
        <w:numPr>
          <w:ilvl w:val="0"/>
          <w:numId w:val="2"/>
        </w:numPr>
        <w:spacing w:after="80" w:line="276" w:lineRule="auto"/>
      </w:pPr>
      <w:r>
        <w:rPr>
          <w:rFonts w:ascii="Calibri" w:cs="Calibri" w:eastAsia="Calibri" w:hAnsi="Calibri"/>
          <w:b w:val="false"/>
          <w:bCs w:val="false"/>
          <w:sz w:val="22"/>
          <w:szCs w:val="22"/>
        </w:rPr>
        <w:t xml:space="preserve">Database and schema selectors — Dynamically populated via MetadataAPI.</w:t>
      </w:r>
    </w:p>
    <w:p>
      <w:pPr>
        <w:spacing w:after="80"/>
      </w:pPr>
    </w:p>
    <w:p>
      <w:pPr>
        <w:pStyle w:val="Heading3"/>
        <w:spacing w:after="120" w:before="280"/>
      </w:pPr>
      <w:r>
        <w:rPr>
          <w:rFonts w:ascii="Calibri" w:cs="Calibri" w:eastAsia="Calibri" w:hAnsi="Calibri"/>
          <w:b/>
          <w:bCs/>
          <w:color w:val="2D6CC0"/>
          <w:sz w:val="24"/>
          <w:szCs w:val="24"/>
        </w:rPr>
        <w:t xml:space="preserve">7.2.2 Semantic Views vs Stage</w:t>
      </w:r>
    </w:p>
    <w:p>
      <w:pPr>
        <w:spacing w:after="120" w:line="276" w:lineRule="auto"/>
      </w:pPr>
      <w:r>
        <w:rPr>
          <w:rFonts w:ascii="Calibri" w:cs="Calibri" w:eastAsia="Calibri" w:hAnsi="Calibri"/>
          <w:sz w:val="22"/>
          <w:szCs w:val="22"/>
        </w:rPr>
        <w:t xml:space="preserve">Users can configure their pipeline to use either Snowflake Semantic Views (for structured natural-language SQL) or Stage files. The source type selection automatically disables incompatible options to prevent misconfiguration.</w:t>
      </w:r>
    </w:p>
    <w:p>
      <w:pPr>
        <w:spacing w:after="80"/>
      </w:pPr>
    </w:p>
    <w:p>
      <w:pPr>
        <w:pStyle w:val="Heading3"/>
        <w:spacing w:after="120" w:before="280"/>
      </w:pPr>
      <w:r>
        <w:rPr>
          <w:rFonts w:ascii="Calibri" w:cs="Calibri" w:eastAsia="Calibri" w:hAnsi="Calibri"/>
          <w:b/>
          <w:bCs/>
          <w:color w:val="2D6CC0"/>
          <w:sz w:val="24"/>
          <w:szCs w:val="24"/>
        </w:rPr>
        <w:t xml:space="preserve">7.2.3 Review &amp; Submit Pipeline</w:t>
      </w:r>
    </w:p>
    <w:p>
      <w:pPr>
        <w:spacing w:after="120" w:line="276" w:lineRule="auto"/>
      </w:pPr>
      <w:r>
        <w:rPr>
          <w:rFonts w:ascii="Calibri" w:cs="Calibri" w:eastAsia="Calibri" w:hAnsi="Calibri"/>
          <w:sz w:val="22"/>
          <w:szCs w:val="22"/>
        </w:rPr>
        <w:t xml:space="preserve">Before submitting, users review the complete pipeline configuration. On submission, the pipeline.api.ts module handles the camelCase to snake_case field mapping transformation before sending to the backend.</w:t>
      </w:r>
    </w:p>
    <w:p>
      <w:pPr>
        <w:spacing w:after="80"/>
      </w:pPr>
    </w:p>
    <w:p>
      <w:pPr>
        <w:pStyle w:val="Heading2"/>
        <w:spacing w:after="120" w:before="320"/>
      </w:pPr>
      <w:r>
        <w:rPr>
          <w:rFonts w:ascii="Calibri" w:cs="Calibri" w:eastAsia="Calibri" w:hAnsi="Calibri"/>
          <w:b/>
          <w:bCs/>
          <w:color w:val="2D6CC0"/>
          <w:sz w:val="28"/>
          <w:szCs w:val="28"/>
        </w:rPr>
        <w:t xml:space="preserve">7.3 Experiment and Deploy</w:t>
      </w:r>
    </w:p>
    <w:p>
      <w:pPr>
        <w:spacing w:after="120" w:line="276" w:lineRule="auto"/>
      </w:pPr>
      <w:r>
        <w:rPr>
          <w:rFonts w:ascii="Calibri" w:cs="Calibri" w:eastAsia="Calibri" w:hAnsi="Calibri"/>
          <w:sz w:val="22"/>
          <w:szCs w:val="22"/>
        </w:rPr>
        <w:t xml:space="preserve">In TalkToData mode, the Experimentation page adapts its right column to show ChatDataTabs instead of the document citation panel. The ChatDataResponse component replaces ChatResponse for displaying structured data results.</w:t>
      </w:r>
    </w:p>
    <w:p>
      <w:pPr>
        <w:spacing w:after="80"/>
      </w:pPr>
    </w:p>
    <w:p>
      <w:pPr>
        <w:pStyle w:val="Heading3"/>
        <w:spacing w:after="120" w:before="280"/>
      </w:pPr>
      <w:r>
        <w:rPr>
          <w:rFonts w:ascii="Calibri" w:cs="Calibri" w:eastAsia="Calibri" w:hAnsi="Calibri"/>
          <w:b/>
          <w:bCs/>
          <w:color w:val="2D6CC0"/>
          <w:sz w:val="24"/>
          <w:szCs w:val="24"/>
        </w:rPr>
        <w:t xml:space="preserve">7.3.1 ChatDataResponse Component</w:t>
      </w:r>
    </w:p>
    <w:p>
      <w:pPr>
        <w:spacing w:after="120" w:line="276" w:lineRule="auto"/>
      </w:pPr>
      <w:r>
        <w:rPr>
          <w:rFonts w:ascii="Calibri" w:cs="Calibri" w:eastAsia="Calibri" w:hAnsi="Calibri"/>
          <w:sz w:val="22"/>
          <w:szCs w:val="22"/>
        </w:rPr>
        <w:t xml:space="preserve">ChatDataResponse is the TalkToData variant of ChatResponse. It renders the same user bubble, but replaces the bot bubble's markdown content with a four-tab panel:</w:t>
      </w:r>
    </w:p>
    <w:p>
      <w:pPr>
        <w:pStyle w:val="ListParagraph"/>
        <w:numPr>
          <w:ilvl w:val="0"/>
          <w:numId w:val="2"/>
        </w:numPr>
        <w:spacing w:after="80" w:line="276" w:lineRule="auto"/>
      </w:pPr>
      <w:r>
        <w:rPr>
          <w:rFonts w:ascii="Calibri" w:cs="Calibri" w:eastAsia="Calibri" w:hAnsi="Calibri"/>
          <w:b w:val="false"/>
          <w:bCs w:val="false"/>
          <w:sz w:val="22"/>
          <w:szCs w:val="22"/>
        </w:rPr>
        <w:t xml:space="preserve">Results tab — Renders the backend-returned row data as a paginated MUI DataGrid with auto-detected column headers.</w:t>
      </w:r>
    </w:p>
    <w:p>
      <w:pPr>
        <w:pStyle w:val="ListParagraph"/>
        <w:numPr>
          <w:ilvl w:val="0"/>
          <w:numId w:val="2"/>
        </w:numPr>
        <w:spacing w:after="80" w:line="276" w:lineRule="auto"/>
      </w:pPr>
      <w:r>
        <w:rPr>
          <w:rFonts w:ascii="Calibri" w:cs="Calibri" w:eastAsia="Calibri" w:hAnsi="Calibri"/>
          <w:b w:val="false"/>
          <w:bCs w:val="false"/>
          <w:sz w:val="22"/>
          <w:szCs w:val="22"/>
        </w:rPr>
        <w:t xml:space="preserve">SQL tab — Displays the generated SQL query string in a syntax-highlighted code block.</w:t>
      </w:r>
    </w:p>
    <w:p>
      <w:pPr>
        <w:pStyle w:val="ListParagraph"/>
        <w:numPr>
          <w:ilvl w:val="0"/>
          <w:numId w:val="2"/>
        </w:numPr>
        <w:spacing w:after="80" w:line="276" w:lineRule="auto"/>
      </w:pPr>
      <w:r>
        <w:rPr>
          <w:rFonts w:ascii="Calibri" w:cs="Calibri" w:eastAsia="Calibri" w:hAnsi="Calibri"/>
          <w:b w:val="false"/>
          <w:bCs w:val="false"/>
          <w:sz w:val="22"/>
          <w:szCs w:val="22"/>
        </w:rPr>
        <w:t xml:space="preserve">Data Visualisation tab — Renders the results data as a configurable chart using the DataVisualizationTab component.</w:t>
      </w:r>
    </w:p>
    <w:p>
      <w:pPr>
        <w:pStyle w:val="ListParagraph"/>
        <w:numPr>
          <w:ilvl w:val="0"/>
          <w:numId w:val="2"/>
        </w:numPr>
        <w:spacing w:after="80" w:line="276" w:lineRule="auto"/>
      </w:pPr>
      <w:r>
        <w:rPr>
          <w:rFonts w:ascii="Calibri" w:cs="Calibri" w:eastAsia="Calibri" w:hAnsi="Calibri"/>
          <w:b w:val="false"/>
          <w:bCs w:val="false"/>
          <w:sz w:val="22"/>
          <w:szCs w:val="22"/>
        </w:rPr>
        <w:t xml:space="preserve">Plan tab — Displays the query execution plan string in a monospaced code block, with the query ID shown above.</w:t>
      </w:r>
    </w:p>
    <w:p>
      <w:pPr>
        <w:spacing w:after="80"/>
      </w:pPr>
    </w:p>
    <w:p>
      <w:pPr>
        <w:pStyle w:val="Heading3"/>
        <w:spacing w:after="120" w:before="280"/>
      </w:pPr>
      <w:r>
        <w:rPr>
          <w:rFonts w:ascii="Calibri" w:cs="Calibri" w:eastAsia="Calibri" w:hAnsi="Calibri"/>
          <w:b/>
          <w:bCs/>
          <w:color w:val="2D6CC0"/>
          <w:sz w:val="24"/>
          <w:szCs w:val="24"/>
        </w:rPr>
        <w:t xml:space="preserve">7.3.2 Response Views</w:t>
      </w:r>
    </w:p>
    <w:p>
      <w:pPr>
        <w:spacing w:after="120" w:line="276" w:lineRule="auto"/>
      </w:pPr>
      <w:r>
        <w:rPr>
          <w:rFonts w:ascii="Calibri" w:cs="Calibri" w:eastAsia="Calibri" w:hAnsi="Calibri"/>
          <w:sz w:val="22"/>
          <w:szCs w:val="22"/>
        </w:rPr>
        <w:t xml:space="preserve">The four response views in TalkToData mode give users a comprehensive understanding of the query: the raw results, the SQL generated by Cortex Analyst, a visual chart representation, and the underlying execution plan for debugging.</w:t>
      </w:r>
    </w:p>
    <w:p>
      <w:pPr>
        <w:spacing w:after="80"/>
      </w:pPr>
    </w:p>
    <w:p>
      <w:pPr>
        <w:pStyle w:val="Heading2"/>
        <w:spacing w:after="120" w:before="320"/>
      </w:pPr>
      <w:r>
        <w:rPr>
          <w:rFonts w:ascii="Calibri" w:cs="Calibri" w:eastAsia="Calibri" w:hAnsi="Calibri"/>
          <w:b/>
          <w:bCs/>
          <w:color w:val="2D6CC0"/>
          <w:sz w:val="28"/>
          <w:szCs w:val="28"/>
        </w:rPr>
        <w:t xml:space="preserve">7.4 Deployed Application</w:t>
      </w:r>
    </w:p>
    <w:p>
      <w:pPr>
        <w:spacing w:after="120" w:line="276" w:lineRule="auto"/>
      </w:pPr>
      <w:r>
        <w:rPr>
          <w:rFonts w:ascii="Calibri" w:cs="Calibri" w:eastAsia="Calibri" w:hAnsi="Calibri"/>
          <w:sz w:val="22"/>
          <w:szCs w:val="22"/>
        </w:rPr>
        <w:t xml:space="preserve">The Talk to Data Deployed Application provides end users with a natural-language query interface over structured Snowflake data. Deployed chatbots in this mode use the pipeline's configured Cortex Analyst model.</w:t>
      </w:r>
    </w:p>
    <w:p>
      <w:pPr>
        <w:spacing w:after="80"/>
      </w:pPr>
    </w:p>
    <w:p>
      <w:pPr>
        <w:pStyle w:val="Heading2"/>
        <w:spacing w:after="120" w:before="320"/>
      </w:pPr>
      <w:r>
        <w:rPr>
          <w:rFonts w:ascii="Calibri" w:cs="Calibri" w:eastAsia="Calibri" w:hAnsi="Calibri"/>
          <w:b/>
          <w:bCs/>
          <w:color w:val="2D6CC0"/>
          <w:sz w:val="28"/>
          <w:szCs w:val="28"/>
        </w:rPr>
        <w:t xml:space="preserve">7.5 Semantic View Creation Agent</w:t>
      </w:r>
    </w:p>
    <w:p>
      <w:pPr>
        <w:spacing w:after="120" w:line="276" w:lineRule="auto"/>
      </w:pPr>
      <w:r>
        <w:rPr>
          <w:rFonts w:ascii="Calibri" w:cs="Calibri" w:eastAsia="Calibri" w:hAnsi="Calibri"/>
          <w:sz w:val="22"/>
          <w:szCs w:val="22"/>
        </w:rPr>
        <w:t xml:space="preserve">URL: https://jgdedud-pihjdmo-capgemini-apac-poc.snowflakecomputing.app/semantic-view-agent</w:t>
      </w:r>
    </w:p>
    <w:p>
      <w:pPr>
        <w:spacing w:after="120" w:line="276" w:lineRule="auto"/>
      </w:pPr>
      <w:r>
        <w:rPr>
          <w:rFonts w:ascii="Calibri" w:cs="Calibri" w:eastAsia="Calibri" w:hAnsi="Calibri"/>
          <w:sz w:val="22"/>
          <w:szCs w:val="22"/>
        </w:rPr>
        <w:t xml:space="preserve">The Semantic View Creation Agent uses AI-driven SQL generation to help users create Snowflake semantic models without manual SQL authoring.</w:t>
      </w:r>
    </w:p>
    <w:p>
      <w:pPr>
        <w:spacing w:after="80"/>
      </w:pPr>
    </w:p>
    <w:p>
      <w:pPr>
        <w:pStyle w:val="Heading3"/>
        <w:spacing w:after="120" w:before="280"/>
      </w:pPr>
      <w:r>
        <w:rPr>
          <w:rFonts w:ascii="Calibri" w:cs="Calibri" w:eastAsia="Calibri" w:hAnsi="Calibri"/>
          <w:b/>
          <w:bCs/>
          <w:color w:val="2D6CC0"/>
          <w:sz w:val="24"/>
          <w:szCs w:val="24"/>
        </w:rPr>
        <w:t xml:space="preserve">7.5.1 SQL Script Generation</w:t>
      </w:r>
    </w:p>
    <w:p>
      <w:pPr>
        <w:spacing w:after="120" w:line="276" w:lineRule="auto"/>
      </w:pPr>
      <w:r>
        <w:rPr>
          <w:rFonts w:ascii="Calibri" w:cs="Calibri" w:eastAsia="Calibri" w:hAnsi="Calibri"/>
          <w:sz w:val="22"/>
          <w:szCs w:val="22"/>
        </w:rPr>
        <w:t xml:space="preserve">The agent calls semanticView.api.ts endpoints including getDatabases, getSchemas, getTablesBySchema, generateSql, getSemanticModels, and getSemanticViews. The generateSql endpoint powers the AI-driven SQL generation for semantic views.</w:t>
      </w:r>
    </w:p>
    <w:p>
      <w:pPr>
        <w:spacing w:after="120" w:line="276" w:lineRule="auto"/>
      </w:pPr>
      <w:r>
        <w:rPr>
          <w:rFonts w:ascii="Calibri" w:cs="Calibri" w:eastAsia="Calibri" w:hAnsi="Calibri"/>
          <w:sz w:val="22"/>
          <w:szCs w:val="22"/>
        </w:rPr>
        <w:t xml:space="preserve">Users can view the generated SQL, edit it, and save it. Saved queries can be navigated to directly via /semantic-view-agent/view/:queryId and /semantic-view-agent/edit/:queryId.</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8. Regulatory Audit Compliance</w:t>
      </w:r>
    </w:p>
    <w:p>
      <w:pPr>
        <w:pStyle w:val="Heading2"/>
        <w:spacing w:after="120" w:before="320"/>
      </w:pPr>
      <w:r>
        <w:rPr>
          <w:rFonts w:ascii="Calibri" w:cs="Calibri" w:eastAsia="Calibri" w:hAnsi="Calibri"/>
          <w:b/>
          <w:bCs/>
          <w:color w:val="2D6CC0"/>
          <w:sz w:val="28"/>
          <w:szCs w:val="28"/>
        </w:rPr>
        <w:t xml:space="preserve">8.1 Compliance Page</w:t>
      </w:r>
    </w:p>
    <w:p>
      <w:pPr>
        <w:spacing w:after="120" w:line="276" w:lineRule="auto"/>
      </w:pPr>
      <w:r>
        <w:rPr>
          <w:rFonts w:ascii="Calibri" w:cs="Calibri" w:eastAsia="Calibri" w:hAnsi="Calibri"/>
          <w:sz w:val="22"/>
          <w:szCs w:val="22"/>
        </w:rPr>
        <w:t xml:space="preserve">URL: https://jgdedud-pihjdmo-capgemini-apac-poc.snowflakecomputing.app/regulatory-audit-compliance</w:t>
      </w:r>
    </w:p>
    <w:p>
      <w:pPr>
        <w:spacing w:after="120" w:line="276" w:lineRule="auto"/>
      </w:pPr>
      <w:r>
        <w:rPr>
          <w:rFonts w:ascii="Calibri" w:cs="Calibri" w:eastAsia="Calibri" w:hAnsi="Calibri"/>
          <w:sz w:val="22"/>
          <w:szCs w:val="22"/>
        </w:rPr>
        <w:t xml:space="preserve">The Regulatory Audit Compliance module provides a 7-step Policy Scanner wizard to create, map, and check data compliance against defined regulations.</w:t>
      </w:r>
    </w:p>
    <w:p>
      <w:pPr>
        <w:spacing w:after="80"/>
      </w:pPr>
    </w:p>
    <w:p>
      <w:pPr>
        <w:pStyle w:val="Heading2"/>
        <w:spacing w:after="120" w:before="320"/>
      </w:pPr>
      <w:r>
        <w:rPr>
          <w:rFonts w:ascii="Calibri" w:cs="Calibri" w:eastAsia="Calibri" w:hAnsi="Calibri"/>
          <w:b/>
          <w:bCs/>
          <w:color w:val="2D6CC0"/>
          <w:sz w:val="28"/>
          <w:szCs w:val="28"/>
        </w:rPr>
        <w:t xml:space="preserve">8.2 Create New Regulation</w:t>
      </w:r>
    </w:p>
    <w:p>
      <w:pPr>
        <w:spacing w:after="120" w:line="276" w:lineRule="auto"/>
      </w:pPr>
      <w:r>
        <w:rPr>
          <w:rFonts w:ascii="Calibri" w:cs="Calibri" w:eastAsia="Calibri" w:hAnsi="Calibri"/>
          <w:sz w:val="22"/>
          <w:szCs w:val="22"/>
        </w:rPr>
        <w:t xml:space="preserve">URL: https://jgdedud-pihjdmo-capgemini-apac-poc.snowflakecomputing.app/create-ra-compliance</w:t>
      </w:r>
    </w:p>
    <w:p>
      <w:pPr>
        <w:spacing w:after="120" w:line="276" w:lineRule="auto"/>
      </w:pPr>
      <w:r>
        <w:rPr>
          <w:rFonts w:ascii="Calibri" w:cs="Calibri" w:eastAsia="Calibri" w:hAnsi="Calibri"/>
          <w:sz w:val="22"/>
          <w:szCs w:val="22"/>
        </w:rPr>
        <w:t xml:space="preserve">Users can define new regulatory compliance requirements. The raCompliance.api.ts module handles both array and object response variants from the backend.</w:t>
      </w:r>
    </w:p>
    <w:p>
      <w:pPr>
        <w:spacing w:after="80"/>
      </w:pPr>
    </w:p>
    <w:p>
      <w:pPr>
        <w:pStyle w:val="Heading2"/>
        <w:spacing w:after="120" w:before="320"/>
      </w:pPr>
      <w:r>
        <w:rPr>
          <w:rFonts w:ascii="Calibri" w:cs="Calibri" w:eastAsia="Calibri" w:hAnsi="Calibri"/>
          <w:b/>
          <w:bCs/>
          <w:color w:val="2D6CC0"/>
          <w:sz w:val="28"/>
          <w:szCs w:val="28"/>
        </w:rPr>
        <w:t xml:space="preserve">8.3 Regulatory &amp; Audit Agent (Policy Scanner)</w:t>
      </w:r>
    </w:p>
    <w:p>
      <w:pPr>
        <w:spacing w:after="120" w:line="276" w:lineRule="auto"/>
      </w:pPr>
      <w:r>
        <w:rPr>
          <w:rFonts w:ascii="Calibri" w:cs="Calibri" w:eastAsia="Calibri" w:hAnsi="Calibri"/>
          <w:sz w:val="22"/>
          <w:szCs w:val="22"/>
        </w:rPr>
        <w:t xml:space="preserve">The Policy Scanner is a multi-step wizard backed by policyScanner.api.ts. Steps include:</w:t>
      </w:r>
    </w:p>
    <w:p>
      <w:pPr>
        <w:pStyle w:val="ListParagraph"/>
        <w:numPr>
          <w:ilvl w:val="0"/>
          <w:numId w:val="2"/>
        </w:numPr>
        <w:spacing w:after="80" w:line="276" w:lineRule="auto"/>
      </w:pPr>
      <w:r>
        <w:rPr>
          <w:rFonts w:ascii="Calibri" w:cs="Calibri" w:eastAsia="Calibri" w:hAnsi="Calibri"/>
          <w:b w:val="false"/>
          <w:bCs w:val="false"/>
          <w:sz w:val="22"/>
          <w:szCs w:val="22"/>
        </w:rPr>
        <w:t xml:space="preserve">Add Policy — Define the regulation to check against.</w:t>
      </w:r>
    </w:p>
    <w:p>
      <w:pPr>
        <w:pStyle w:val="ListParagraph"/>
        <w:numPr>
          <w:ilvl w:val="0"/>
          <w:numId w:val="2"/>
        </w:numPr>
        <w:spacing w:after="80" w:line="276" w:lineRule="auto"/>
      </w:pPr>
      <w:r>
        <w:rPr>
          <w:rFonts w:ascii="Calibri" w:cs="Calibri" w:eastAsia="Calibri" w:hAnsi="Calibri"/>
          <w:b w:val="false"/>
          <w:bCs w:val="false"/>
          <w:sz w:val="22"/>
          <w:szCs w:val="22"/>
        </w:rPr>
        <w:t xml:space="preserve">Approve Policies — Review and approve the detected policies.</w:t>
      </w:r>
    </w:p>
    <w:p>
      <w:pPr>
        <w:pStyle w:val="ListParagraph"/>
        <w:numPr>
          <w:ilvl w:val="0"/>
          <w:numId w:val="2"/>
        </w:numPr>
        <w:spacing w:after="80" w:line="276" w:lineRule="auto"/>
      </w:pPr>
      <w:r>
        <w:rPr>
          <w:rFonts w:ascii="Calibri" w:cs="Calibri" w:eastAsia="Calibri" w:hAnsi="Calibri"/>
          <w:b w:val="false"/>
          <w:bCs w:val="false"/>
          <w:sz w:val="22"/>
          <w:szCs w:val="22"/>
        </w:rPr>
        <w:t xml:space="preserve">Generate Mapping — Map policies to data elements.</w:t>
      </w:r>
    </w:p>
    <w:p>
      <w:pPr>
        <w:pStyle w:val="ListParagraph"/>
        <w:numPr>
          <w:ilvl w:val="0"/>
          <w:numId w:val="2"/>
        </w:numPr>
        <w:spacing w:after="80" w:line="276" w:lineRule="auto"/>
      </w:pPr>
      <w:r>
        <w:rPr>
          <w:rFonts w:ascii="Calibri" w:cs="Calibri" w:eastAsia="Calibri" w:hAnsi="Calibri"/>
          <w:b w:val="false"/>
          <w:bCs w:val="false"/>
          <w:sz w:val="22"/>
          <w:szCs w:val="22"/>
        </w:rPr>
        <w:t xml:space="preserve">Run Compliance Check — Execute the compliance analysis.</w:t>
      </w:r>
    </w:p>
    <w:p>
      <w:pPr>
        <w:pStyle w:val="ListParagraph"/>
        <w:numPr>
          <w:ilvl w:val="0"/>
          <w:numId w:val="2"/>
        </w:numPr>
        <w:spacing w:after="80" w:line="276" w:lineRule="auto"/>
      </w:pPr>
      <w:r>
        <w:rPr>
          <w:rFonts w:ascii="Calibri" w:cs="Calibri" w:eastAsia="Calibri" w:hAnsi="Calibri"/>
          <w:b w:val="false"/>
          <w:bCs w:val="false"/>
          <w:sz w:val="22"/>
          <w:szCs w:val="22"/>
        </w:rPr>
        <w:t xml:space="preserve">Generate Report — Create a compliance audit report.</w:t>
      </w:r>
    </w:p>
    <w:p>
      <w:pPr>
        <w:pStyle w:val="ListParagraph"/>
        <w:numPr>
          <w:ilvl w:val="0"/>
          <w:numId w:val="2"/>
        </w:numPr>
        <w:spacing w:after="80" w:line="276" w:lineRule="auto"/>
      </w:pPr>
      <w:r>
        <w:rPr>
          <w:rFonts w:ascii="Calibri" w:cs="Calibri" w:eastAsia="Calibri" w:hAnsi="Calibri"/>
          <w:b w:val="false"/>
          <w:bCs w:val="false"/>
          <w:sz w:val="22"/>
          <w:szCs w:val="22"/>
        </w:rPr>
        <w:t xml:space="preserve">Database/Schema/Table selection — Scope the compliance check to specific Snowflake objects.</w:t>
      </w:r>
    </w:p>
    <w:p>
      <w:pPr>
        <w:spacing w:after="80"/>
      </w:pPr>
    </w:p>
    <w:p>
      <w:pPr>
        <w:pStyle w:val="Heading2"/>
        <w:spacing w:after="120" w:before="320"/>
      </w:pPr>
      <w:r>
        <w:rPr>
          <w:rFonts w:ascii="Calibri" w:cs="Calibri" w:eastAsia="Calibri" w:hAnsi="Calibri"/>
          <w:b/>
          <w:bCs/>
          <w:color w:val="2D6CC0"/>
          <w:sz w:val="28"/>
          <w:szCs w:val="28"/>
        </w:rPr>
        <w:t xml:space="preserve">8.4 Policy List and Mapping</w:t>
      </w:r>
    </w:p>
    <w:p>
      <w:pPr>
        <w:spacing w:after="120" w:line="276" w:lineRule="auto"/>
      </w:pPr>
      <w:r>
        <w:rPr>
          <w:rFonts w:ascii="Calibri" w:cs="Calibri" w:eastAsia="Calibri" w:hAnsi="Calibri"/>
          <w:sz w:val="22"/>
          <w:szCs w:val="22"/>
        </w:rPr>
        <w:t xml:space="preserve">The compliance module presents the full list of policies and their mapping to Snowflake tables and columns, providing a clear audit trail.</w:t>
      </w:r>
    </w:p>
    <w:p>
      <w:pPr>
        <w:spacing w:after="80"/>
      </w:pPr>
    </w:p>
    <w:p>
      <w:pPr>
        <w:pStyle w:val="Heading2"/>
        <w:spacing w:after="120" w:before="320"/>
      </w:pPr>
      <w:r>
        <w:rPr>
          <w:rFonts w:ascii="Calibri" w:cs="Calibri" w:eastAsia="Calibri" w:hAnsi="Calibri"/>
          <w:b/>
          <w:bCs/>
          <w:color w:val="2D6CC0"/>
          <w:sz w:val="28"/>
          <w:szCs w:val="28"/>
        </w:rPr>
        <w:t xml:space="preserve">8.5 Approved Policies</w:t>
      </w:r>
    </w:p>
    <w:p>
      <w:pPr>
        <w:spacing w:after="120" w:line="276" w:lineRule="auto"/>
      </w:pPr>
      <w:r>
        <w:rPr>
          <w:rFonts w:ascii="Calibri" w:cs="Calibri" w:eastAsia="Calibri" w:hAnsi="Calibri"/>
          <w:sz w:val="22"/>
          <w:szCs w:val="22"/>
        </w:rPr>
        <w:t xml:space="preserve">Approved policies are presented for review and sign-off. The approval state is tracked and persisted to the backend via the approvePolicies endpoint.</w:t>
      </w:r>
    </w:p>
    <w:p>
      <w:pPr>
        <w:spacing w:after="80"/>
      </w:pPr>
    </w:p>
    <w:p>
      <w:pPr>
        <w:pStyle w:val="Heading2"/>
        <w:spacing w:after="120" w:before="320"/>
      </w:pPr>
      <w:r>
        <w:rPr>
          <w:rFonts w:ascii="Calibri" w:cs="Calibri" w:eastAsia="Calibri" w:hAnsi="Calibri"/>
          <w:b/>
          <w:bCs/>
          <w:color w:val="2D6CC0"/>
          <w:sz w:val="28"/>
          <w:szCs w:val="28"/>
        </w:rPr>
        <w:t xml:space="preserve">8.6 Snowflake Mapping</w:t>
      </w:r>
    </w:p>
    <w:p>
      <w:pPr>
        <w:spacing w:after="120" w:line="276" w:lineRule="auto"/>
      </w:pPr>
      <w:r>
        <w:rPr>
          <w:rFonts w:ascii="Calibri" w:cs="Calibri" w:eastAsia="Calibri" w:hAnsi="Calibri"/>
          <w:sz w:val="22"/>
          <w:szCs w:val="22"/>
        </w:rPr>
        <w:t xml:space="preserve">The Snowflake mapping step links regulatory policy items to specific Snowflake database objects (databases, schemas, and tables) using the getDatabases, getSchemas, and getTables endpoints from policyScanner.api.ts.</w:t>
      </w:r>
    </w:p>
    <w:p>
      <w:pPr>
        <w:spacing w:after="80"/>
      </w:pPr>
    </w:p>
    <w:p>
      <w:pPr>
        <w:pStyle w:val="Heading2"/>
        <w:spacing w:after="120" w:before="320"/>
      </w:pPr>
      <w:r>
        <w:rPr>
          <w:rFonts w:ascii="Calibri" w:cs="Calibri" w:eastAsia="Calibri" w:hAnsi="Calibri"/>
          <w:b/>
          <w:bCs/>
          <w:color w:val="2D6CC0"/>
          <w:sz w:val="28"/>
          <w:szCs w:val="28"/>
        </w:rPr>
        <w:t xml:space="preserve">8.7 Compliance Check Results</w:t>
      </w:r>
    </w:p>
    <w:p>
      <w:pPr>
        <w:spacing w:after="120" w:line="276" w:lineRule="auto"/>
      </w:pPr>
      <w:r>
        <w:rPr>
          <w:rFonts w:ascii="Calibri" w:cs="Calibri" w:eastAsia="Calibri" w:hAnsi="Calibri"/>
          <w:sz w:val="22"/>
          <w:szCs w:val="22"/>
        </w:rPr>
        <w:t xml:space="preserve">After running the compliance check, results are displayed showing which data elements comply and which require remediation.</w:t>
      </w:r>
    </w:p>
    <w:p>
      <w:pPr>
        <w:spacing w:after="80"/>
      </w:pPr>
    </w:p>
    <w:p>
      <w:pPr>
        <w:pStyle w:val="Heading2"/>
        <w:spacing w:after="120" w:before="320"/>
      </w:pPr>
      <w:r>
        <w:rPr>
          <w:rFonts w:ascii="Calibri" w:cs="Calibri" w:eastAsia="Calibri" w:hAnsi="Calibri"/>
          <w:b/>
          <w:bCs/>
          <w:color w:val="2D6CC0"/>
          <w:sz w:val="28"/>
          <w:szCs w:val="28"/>
        </w:rPr>
        <w:t xml:space="preserve">8.8 Remediation Policy</w:t>
      </w:r>
    </w:p>
    <w:p>
      <w:pPr>
        <w:spacing w:after="120" w:line="276" w:lineRule="auto"/>
      </w:pPr>
      <w:r>
        <w:rPr>
          <w:rFonts w:ascii="Calibri" w:cs="Calibri" w:eastAsia="Calibri" w:hAnsi="Calibri"/>
          <w:sz w:val="22"/>
          <w:szCs w:val="22"/>
        </w:rPr>
        <w:t xml:space="preserve">For non-compliant elements, the module suggests remediation policies. These are displayed in the Remediation Policy view within the compliance workflow.</w:t>
      </w:r>
    </w:p>
    <w:p>
      <w:pPr>
        <w:spacing w:after="80"/>
      </w:pPr>
    </w:p>
    <w:p>
      <w:pPr>
        <w:pStyle w:val="Heading2"/>
        <w:spacing w:after="120" w:before="320"/>
      </w:pPr>
      <w:r>
        <w:rPr>
          <w:rFonts w:ascii="Calibri" w:cs="Calibri" w:eastAsia="Calibri" w:hAnsi="Calibri"/>
          <w:b/>
          <w:bCs/>
          <w:color w:val="2D6CC0"/>
          <w:sz w:val="28"/>
          <w:szCs w:val="28"/>
        </w:rPr>
        <w:t xml:space="preserve">8.9 Remediation SQL Logic</w:t>
      </w:r>
    </w:p>
    <w:p>
      <w:pPr>
        <w:spacing w:after="120" w:line="276" w:lineRule="auto"/>
      </w:pPr>
      <w:r>
        <w:rPr>
          <w:rFonts w:ascii="Calibri" w:cs="Calibri" w:eastAsia="Calibri" w:hAnsi="Calibri"/>
          <w:sz w:val="22"/>
          <w:szCs w:val="22"/>
        </w:rPr>
        <w:t xml:space="preserve">Remediation actions may include SQL-based transformations. The Remediation SQL Logic view presents the generated SQL for implementing the required data changes.</w:t>
      </w:r>
    </w:p>
    <w:p>
      <w:pPr>
        <w:spacing w:after="80"/>
      </w:pPr>
    </w:p>
    <w:p>
      <w:pPr>
        <w:pStyle w:val="Heading2"/>
        <w:spacing w:after="120" w:before="320"/>
      </w:pPr>
      <w:r>
        <w:rPr>
          <w:rFonts w:ascii="Calibri" w:cs="Calibri" w:eastAsia="Calibri" w:hAnsi="Calibri"/>
          <w:b/>
          <w:bCs/>
          <w:color w:val="2D6CC0"/>
          <w:sz w:val="28"/>
          <w:szCs w:val="28"/>
        </w:rPr>
        <w:t xml:space="preserve">8.10 Schedule Job</w:t>
      </w:r>
    </w:p>
    <w:p>
      <w:pPr>
        <w:spacing w:after="120" w:line="276" w:lineRule="auto"/>
      </w:pPr>
      <w:r>
        <w:rPr>
          <w:rFonts w:ascii="Calibri" w:cs="Calibri" w:eastAsia="Calibri" w:hAnsi="Calibri"/>
          <w:sz w:val="22"/>
          <w:szCs w:val="22"/>
        </w:rPr>
        <w:t xml:space="preserve">Compliance checks can be scheduled to run automatically on a recurring basis. The Schedule Job step allows users to configure the schedule for automated compliance monitoring.</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9. Lineage Graph</w:t>
      </w:r>
    </w:p>
    <w:p>
      <w:pPr>
        <w:pStyle w:val="Heading2"/>
        <w:spacing w:after="120" w:before="320"/>
      </w:pPr>
      <w:r>
        <w:rPr>
          <w:rFonts w:ascii="Calibri" w:cs="Calibri" w:eastAsia="Calibri" w:hAnsi="Calibri"/>
          <w:b/>
          <w:bCs/>
          <w:color w:val="2D6CC0"/>
          <w:sz w:val="28"/>
          <w:szCs w:val="28"/>
        </w:rPr>
        <w:t xml:space="preserve">9.1 Lineage Graph Overview</w:t>
      </w:r>
    </w:p>
    <w:p>
      <w:pPr>
        <w:spacing w:after="120" w:line="276" w:lineRule="auto"/>
      </w:pPr>
      <w:r>
        <w:rPr>
          <w:rFonts w:ascii="Calibri" w:cs="Calibri" w:eastAsia="Calibri" w:hAnsi="Calibri"/>
          <w:sz w:val="22"/>
          <w:szCs w:val="22"/>
        </w:rPr>
        <w:t xml:space="preserve">URL: https://jgdedud-pihjdmo-capgemini-apac-poc.snowflakecomputing.app/lineage-graph</w:t>
      </w:r>
    </w:p>
    <w:p>
      <w:pPr>
        <w:spacing w:after="120" w:line="276" w:lineRule="auto"/>
      </w:pPr>
      <w:r>
        <w:rPr>
          <w:rFonts w:ascii="Calibri" w:cs="Calibri" w:eastAsia="Calibri" w:hAnsi="Calibri"/>
          <w:sz w:val="22"/>
          <w:szCs w:val="22"/>
        </w:rPr>
        <w:t xml:space="preserve">The Lineage Graph module visualises data lineage and dependencies using the XYFlow (@xyflow/react) graph library. It provides interactive graph views of pipeline and data relationships.</w:t>
      </w:r>
    </w:p>
    <w:p>
      <w:pPr>
        <w:spacing w:after="80"/>
      </w:pPr>
    </w:p>
    <w:p>
      <w:pPr>
        <w:pStyle w:val="Heading2"/>
        <w:spacing w:after="120" w:before="320"/>
      </w:pPr>
      <w:r>
        <w:rPr>
          <w:rFonts w:ascii="Calibri" w:cs="Calibri" w:eastAsia="Calibri" w:hAnsi="Calibri"/>
          <w:b/>
          <w:bCs/>
          <w:color w:val="2D6CC0"/>
          <w:sz w:val="28"/>
          <w:szCs w:val="28"/>
        </w:rPr>
        <w:t xml:space="preserve">9.2 Create Lineage Graph</w:t>
      </w:r>
    </w:p>
    <w:p>
      <w:pPr>
        <w:spacing w:after="120" w:line="276" w:lineRule="auto"/>
      </w:pPr>
      <w:r>
        <w:rPr>
          <w:rFonts w:ascii="Calibri" w:cs="Calibri" w:eastAsia="Calibri" w:hAnsi="Calibri"/>
          <w:sz w:val="22"/>
          <w:szCs w:val="22"/>
        </w:rPr>
        <w:t xml:space="preserve">Users can create new lineage graphs by specifying the source data objects. The graph is rendered as an interactive node-edge diagram.</w:t>
      </w:r>
    </w:p>
    <w:p>
      <w:pPr>
        <w:spacing w:after="80"/>
      </w:pPr>
    </w:p>
    <w:p>
      <w:pPr>
        <w:pStyle w:val="Heading2"/>
        <w:spacing w:after="120" w:before="320"/>
      </w:pPr>
      <w:r>
        <w:rPr>
          <w:rFonts w:ascii="Calibri" w:cs="Calibri" w:eastAsia="Calibri" w:hAnsi="Calibri"/>
          <w:b/>
          <w:bCs/>
          <w:color w:val="2D6CC0"/>
          <w:sz w:val="28"/>
          <w:szCs w:val="28"/>
        </w:rPr>
        <w:t xml:space="preserve">9.3 View Generated Graphs</w:t>
      </w:r>
    </w:p>
    <w:p>
      <w:pPr>
        <w:spacing w:after="120" w:line="276" w:lineRule="auto"/>
      </w:pPr>
      <w:r>
        <w:rPr>
          <w:rFonts w:ascii="Calibri" w:cs="Calibri" w:eastAsia="Calibri" w:hAnsi="Calibri"/>
          <w:sz w:val="22"/>
          <w:szCs w:val="22"/>
        </w:rPr>
        <w:t xml:space="preserve">Generated lineage graphs can be viewed at /lineage-graph/view/:graphId. The XYFlow library provides pan, zoom, and node-selection capabilities for exploring complex lineage relationships.</w:t>
      </w:r>
    </w:p>
    <w:p>
      <w:pPr>
        <w:spacing w:after="80"/>
      </w:pPr>
    </w:p>
    <w:p>
      <w:pPr>
        <w:pStyle w:val="Heading2"/>
        <w:spacing w:after="120" w:before="320"/>
      </w:pPr>
      <w:r>
        <w:rPr>
          <w:rFonts w:ascii="Calibri" w:cs="Calibri" w:eastAsia="Calibri" w:hAnsi="Calibri"/>
          <w:b/>
          <w:bCs/>
          <w:color w:val="2D6CC0"/>
          <w:sz w:val="28"/>
          <w:szCs w:val="28"/>
        </w:rPr>
        <w:t xml:space="preserve">9.4 Export Lineage Graph</w:t>
      </w:r>
    </w:p>
    <w:p>
      <w:pPr>
        <w:spacing w:after="120" w:line="276" w:lineRule="auto"/>
      </w:pPr>
      <w:r>
        <w:rPr>
          <w:rFonts w:ascii="Calibri" w:cs="Calibri" w:eastAsia="Calibri" w:hAnsi="Calibri"/>
          <w:sz w:val="22"/>
          <w:szCs w:val="22"/>
        </w:rPr>
        <w:t xml:space="preserve">Lineage graphs can be exported for use in documentation or external tools.</w:t>
      </w:r>
    </w:p>
    <w:p>
      <w:pPr>
        <w:spacing w:after="80"/>
      </w:pPr>
    </w:p>
    <w:p>
      <w:pPr>
        <w:pStyle w:val="Heading2"/>
        <w:spacing w:after="120" w:before="320"/>
      </w:pPr>
      <w:r>
        <w:rPr>
          <w:rFonts w:ascii="Calibri" w:cs="Calibri" w:eastAsia="Calibri" w:hAnsi="Calibri"/>
          <w:b/>
          <w:bCs/>
          <w:color w:val="2D6CC0"/>
          <w:sz w:val="28"/>
          <w:szCs w:val="28"/>
        </w:rPr>
        <w:t xml:space="preserve">9.5 User Access &amp; Role Information</w:t>
      </w:r>
    </w:p>
    <w:p>
      <w:pPr>
        <w:spacing w:after="120" w:line="276" w:lineRule="auto"/>
      </w:pPr>
      <w:r>
        <w:rPr>
          <w:rFonts w:ascii="Calibri" w:cs="Calibri" w:eastAsia="Calibri" w:hAnsi="Calibri"/>
          <w:sz w:val="22"/>
          <w:szCs w:val="22"/>
        </w:rPr>
        <w:t xml:space="preserve">The Lineage Graph module respects RBAC permissions. Only users with the Lineage Graph permission in their role's permission map can access this module.</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10. Registered Services</w:t>
      </w:r>
    </w:p>
    <w:p>
      <w:pPr>
        <w:pStyle w:val="Heading2"/>
        <w:spacing w:after="120" w:before="320"/>
      </w:pPr>
      <w:r>
        <w:rPr>
          <w:rFonts w:ascii="Calibri" w:cs="Calibri" w:eastAsia="Calibri" w:hAnsi="Calibri"/>
          <w:b/>
          <w:bCs/>
          <w:color w:val="2D6CC0"/>
          <w:sz w:val="28"/>
          <w:szCs w:val="28"/>
        </w:rPr>
        <w:t xml:space="preserve">10.1 Registered Services Page</w:t>
      </w:r>
    </w:p>
    <w:p>
      <w:pPr>
        <w:spacing w:after="120" w:line="276" w:lineRule="auto"/>
      </w:pPr>
      <w:r>
        <w:rPr>
          <w:rFonts w:ascii="Calibri" w:cs="Calibri" w:eastAsia="Calibri" w:hAnsi="Calibri"/>
          <w:sz w:val="22"/>
          <w:szCs w:val="22"/>
        </w:rPr>
        <w:t xml:space="preserve">URL: https://jgdedud-pihjdmo-capgemini-apac-poc.snowflakecomputing.app/services</w:t>
      </w:r>
    </w:p>
    <w:p>
      <w:pPr>
        <w:spacing w:after="120" w:line="276" w:lineRule="auto"/>
      </w:pPr>
      <w:r>
        <w:rPr>
          <w:rFonts w:ascii="Calibri" w:cs="Calibri" w:eastAsia="Calibri" w:hAnsi="Calibri"/>
          <w:sz w:val="22"/>
          <w:szCs w:val="22"/>
        </w:rPr>
        <w:t xml:space="preserve">The Registered Services page lists all services registered with the platform. These are backend services that can be invoked as part of data pipelines or compliance workflows.</w:t>
      </w:r>
    </w:p>
    <w:p>
      <w:pPr>
        <w:spacing w:after="80"/>
      </w:pPr>
    </w:p>
    <w:p>
      <w:pPr>
        <w:pStyle w:val="Heading2"/>
        <w:spacing w:after="120" w:before="320"/>
      </w:pPr>
      <w:r>
        <w:rPr>
          <w:rFonts w:ascii="Calibri" w:cs="Calibri" w:eastAsia="Calibri" w:hAnsi="Calibri"/>
          <w:b/>
          <w:bCs/>
          <w:color w:val="2D6CC0"/>
          <w:sz w:val="28"/>
          <w:szCs w:val="28"/>
        </w:rPr>
        <w:t xml:space="preserve">10.2 Register New Service</w:t>
      </w:r>
    </w:p>
    <w:p>
      <w:pPr>
        <w:spacing w:after="120" w:line="276" w:lineRule="auto"/>
      </w:pPr>
      <w:r>
        <w:rPr>
          <w:rFonts w:ascii="Calibri" w:cs="Calibri" w:eastAsia="Calibri" w:hAnsi="Calibri"/>
          <w:sz w:val="22"/>
          <w:szCs w:val="22"/>
        </w:rPr>
        <w:t xml:space="preserve">URL: https://jgdedud-pihjdmo-capgemini-apac-poc.snowflakecomputing.app/services/register</w:t>
      </w:r>
    </w:p>
    <w:p>
      <w:pPr>
        <w:spacing w:after="120" w:line="276" w:lineRule="auto"/>
      </w:pPr>
      <w:r>
        <w:rPr>
          <w:rFonts w:ascii="Calibri" w:cs="Calibri" w:eastAsia="Calibri" w:hAnsi="Calibri"/>
          <w:sz w:val="22"/>
          <w:szCs w:val="22"/>
        </w:rPr>
        <w:t xml:space="preserve">Users can register new services by providing service configuration details. The registration wizard collects the service name, endpoint, and authentication settings.</w:t>
      </w:r>
    </w:p>
    <w:p>
      <w:pPr>
        <w:spacing w:after="80"/>
      </w:pPr>
    </w:p>
    <w:p>
      <w:pPr>
        <w:pStyle w:val="Heading2"/>
        <w:spacing w:after="120" w:before="320"/>
      </w:pPr>
      <w:r>
        <w:rPr>
          <w:rFonts w:ascii="Calibri" w:cs="Calibri" w:eastAsia="Calibri" w:hAnsi="Calibri"/>
          <w:b/>
          <w:bCs/>
          <w:color w:val="2D6CC0"/>
          <w:sz w:val="28"/>
          <w:szCs w:val="28"/>
        </w:rPr>
        <w:t xml:space="preserve">10.3 Upload SQL File</w:t>
      </w:r>
    </w:p>
    <w:p>
      <w:pPr>
        <w:spacing w:after="120" w:line="276" w:lineRule="auto"/>
      </w:pPr>
      <w:r>
        <w:rPr>
          <w:rFonts w:ascii="Calibri" w:cs="Calibri" w:eastAsia="Calibri" w:hAnsi="Calibri"/>
          <w:sz w:val="22"/>
          <w:szCs w:val="22"/>
        </w:rPr>
        <w:t xml:space="preserve">As part of service registration, users can upload a SQL file that defines the service's data transformation logic.</w:t>
      </w:r>
    </w:p>
    <w:p>
      <w:pPr>
        <w:spacing w:after="80"/>
      </w:pPr>
    </w:p>
    <w:p>
      <w:pPr>
        <w:pStyle w:val="Heading2"/>
        <w:spacing w:after="120" w:before="320"/>
      </w:pPr>
      <w:r>
        <w:rPr>
          <w:rFonts w:ascii="Calibri" w:cs="Calibri" w:eastAsia="Calibri" w:hAnsi="Calibri"/>
          <w:b/>
          <w:bCs/>
          <w:color w:val="2D6CC0"/>
          <w:sz w:val="28"/>
          <w:szCs w:val="28"/>
        </w:rPr>
        <w:t xml:space="preserve">10.4 Deploy Service</w:t>
      </w:r>
    </w:p>
    <w:p>
      <w:pPr>
        <w:spacing w:after="120" w:line="276" w:lineRule="auto"/>
      </w:pPr>
      <w:r>
        <w:rPr>
          <w:rFonts w:ascii="Calibri" w:cs="Calibri" w:eastAsia="Calibri" w:hAnsi="Calibri"/>
          <w:sz w:val="22"/>
          <w:szCs w:val="22"/>
        </w:rPr>
        <w:t xml:space="preserve">Once configured, the service can be deployed. Deployment provisioning is tracked in the Registered Services listing with a status indicator.</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11. Application Performance &amp; Monitoring</w:t>
      </w:r>
    </w:p>
    <w:p>
      <w:pPr>
        <w:pStyle w:val="Heading2"/>
        <w:spacing w:after="120" w:before="320"/>
      </w:pPr>
      <w:r>
        <w:rPr>
          <w:rFonts w:ascii="Calibri" w:cs="Calibri" w:eastAsia="Calibri" w:hAnsi="Calibri"/>
          <w:b/>
          <w:bCs/>
          <w:color w:val="2D6CC0"/>
          <w:sz w:val="28"/>
          <w:szCs w:val="28"/>
        </w:rPr>
        <w:t xml:space="preserve">11.1 User Metrics</w:t>
      </w:r>
    </w:p>
    <w:p>
      <w:pPr>
        <w:spacing w:after="120" w:line="276" w:lineRule="auto"/>
      </w:pPr>
      <w:r>
        <w:rPr>
          <w:rFonts w:ascii="Calibri" w:cs="Calibri" w:eastAsia="Calibri" w:hAnsi="Calibri"/>
          <w:sz w:val="22"/>
          <w:szCs w:val="22"/>
        </w:rPr>
        <w:t xml:space="preserve">URL: https://jgdedud-pihjdmo-capgemini-apac-poc.snowflakecomputing.app/service-monitoring</w:t>
      </w:r>
    </w:p>
    <w:p>
      <w:pPr>
        <w:spacing w:after="120" w:line="276" w:lineRule="auto"/>
      </w:pPr>
      <w:r>
        <w:rPr>
          <w:rFonts w:ascii="Calibri" w:cs="Calibri" w:eastAsia="Calibri" w:hAnsi="Calibri"/>
          <w:sz w:val="22"/>
          <w:szCs w:val="22"/>
        </w:rPr>
        <w:t xml:space="preserve">The Service Monitoring page displays operational metrics. Note: All operational metrics (request rates, error rates, latency percentiles, uptime) are currently sourced from src/data/mockMonitoringData.ts. The real-time monitoring API integration is pending.</w:t>
      </w:r>
    </w:p>
    <w:p>
      <w:pPr>
        <w:spacing w:after="80"/>
      </w:pPr>
    </w:p>
    <w:p>
      <w:pPr>
        <w:pStyle w:val="Heading2"/>
        <w:spacing w:after="120" w:before="320"/>
      </w:pPr>
      <w:r>
        <w:rPr>
          <w:rFonts w:ascii="Calibri" w:cs="Calibri" w:eastAsia="Calibri" w:hAnsi="Calibri"/>
          <w:b/>
          <w:bCs/>
          <w:color w:val="2D6CC0"/>
          <w:sz w:val="28"/>
          <w:szCs w:val="28"/>
        </w:rPr>
        <w:t xml:space="preserve">11.2 Usage Trends</w:t>
      </w:r>
    </w:p>
    <w:p>
      <w:pPr>
        <w:spacing w:after="120" w:line="276" w:lineRule="auto"/>
      </w:pPr>
      <w:r>
        <w:rPr>
          <w:rFonts w:ascii="Calibri" w:cs="Calibri" w:eastAsia="Calibri" w:hAnsi="Calibri"/>
          <w:sz w:val="22"/>
          <w:szCs w:val="22"/>
        </w:rPr>
        <w:t xml:space="preserve">Monthly active user trends are displayed as a filled area chart (UserTrendAreaChart) using Recharts, showing the monthlyUsersTrend array from the users API.</w:t>
      </w:r>
    </w:p>
    <w:p>
      <w:pPr>
        <w:spacing w:after="80"/>
      </w:pPr>
    </w:p>
    <w:p>
      <w:pPr>
        <w:pStyle w:val="Heading2"/>
        <w:spacing w:after="120" w:before="320"/>
      </w:pPr>
      <w:r>
        <w:rPr>
          <w:rFonts w:ascii="Calibri" w:cs="Calibri" w:eastAsia="Calibri" w:hAnsi="Calibri"/>
          <w:b/>
          <w:bCs/>
          <w:color w:val="2D6CC0"/>
          <w:sz w:val="28"/>
          <w:szCs w:val="28"/>
        </w:rPr>
        <w:t xml:space="preserve">11.3 Token Usage</w:t>
      </w:r>
    </w:p>
    <w:p>
      <w:pPr>
        <w:spacing w:after="120" w:line="276" w:lineRule="auto"/>
      </w:pPr>
      <w:r>
        <w:rPr>
          <w:rFonts w:ascii="Calibri" w:cs="Calibri" w:eastAsia="Calibri" w:hAnsi="Calibri"/>
          <w:sz w:val="22"/>
          <w:szCs w:val="22"/>
        </w:rPr>
        <w:t xml:space="preserve">Monthly token usage is displayed as a line chart (TokenTrendLineChart) with formatted Y-axis labels using the formatNumber() utility from chartFormatters.ts. The formatNumber() function converts large numbers to compact notation (e.g. 1,200,000 → '1.2M').</w:t>
      </w:r>
    </w:p>
    <w:p>
      <w:pPr>
        <w:spacing w:after="80"/>
      </w:pPr>
    </w:p>
    <w:p>
      <w:pPr>
        <w:pStyle w:val="Heading2"/>
        <w:spacing w:after="120" w:before="320"/>
      </w:pPr>
      <w:r>
        <w:rPr>
          <w:rFonts w:ascii="Calibri" w:cs="Calibri" w:eastAsia="Calibri" w:hAnsi="Calibri"/>
          <w:b/>
          <w:bCs/>
          <w:color w:val="2D6CC0"/>
          <w:sz w:val="28"/>
          <w:szCs w:val="28"/>
        </w:rPr>
        <w:t xml:space="preserve">11.4 CSAT Scores</w:t>
      </w:r>
    </w:p>
    <w:p>
      <w:pPr>
        <w:spacing w:after="120" w:line="276" w:lineRule="auto"/>
      </w:pPr>
      <w:r>
        <w:rPr>
          <w:rFonts w:ascii="Calibri" w:cs="Calibri" w:eastAsia="Calibri" w:hAnsi="Calibri"/>
          <w:sz w:val="22"/>
          <w:szCs w:val="22"/>
        </w:rPr>
        <w:t xml:space="preserve">Monthly CSAT scores are visualised as a vertical bar chart (CSATBarChart) using Recharts, sourced from the csatPoints array from the CSAT API.</w:t>
      </w:r>
    </w:p>
    <w:p>
      <w:pPr>
        <w:spacing w:after="80"/>
      </w:pPr>
    </w:p>
    <w:p>
      <w:pPr>
        <w:pStyle w:val="Heading2"/>
        <w:spacing w:after="120" w:before="320"/>
      </w:pPr>
      <w:r>
        <w:rPr>
          <w:rFonts w:ascii="Calibri" w:cs="Calibri" w:eastAsia="Calibri" w:hAnsi="Calibri"/>
          <w:b/>
          <w:bCs/>
          <w:color w:val="2D6CC0"/>
          <w:sz w:val="28"/>
          <w:szCs w:val="28"/>
        </w:rPr>
        <w:t xml:space="preserve">11.5 Adoption Rates</w:t>
      </w:r>
    </w:p>
    <w:p>
      <w:pPr>
        <w:spacing w:after="120" w:line="276" w:lineRule="auto"/>
      </w:pPr>
      <w:r>
        <w:rPr>
          <w:rFonts w:ascii="Calibri" w:cs="Calibri" w:eastAsia="Calibri" w:hAnsi="Calibri"/>
          <w:sz w:val="22"/>
          <w:szCs w:val="22"/>
        </w:rPr>
        <w:t xml:space="preserve">Adoption rate is tracked as the percentage of entitled users who have interacted with the platform, compared against configurable thresholds for positive and warning alerts.</w:t>
      </w:r>
    </w:p>
    <w:p>
      <w:pPr>
        <w:spacing w:after="80"/>
      </w:pPr>
    </w:p>
    <w:p>
      <w:pPr>
        <w:pStyle w:val="Heading2"/>
        <w:spacing w:after="120" w:before="320"/>
      </w:pPr>
      <w:r>
        <w:rPr>
          <w:rFonts w:ascii="Calibri" w:cs="Calibri" w:eastAsia="Calibri" w:hAnsi="Calibri"/>
          <w:b/>
          <w:bCs/>
          <w:color w:val="2D6CC0"/>
          <w:sz w:val="28"/>
          <w:szCs w:val="28"/>
        </w:rPr>
        <w:t xml:space="preserve">11.6 Latency Metrics</w:t>
      </w:r>
    </w:p>
    <w:p>
      <w:pPr>
        <w:spacing w:after="120" w:line="276" w:lineRule="auto"/>
      </w:pPr>
      <w:r>
        <w:rPr>
          <w:rFonts w:ascii="Calibri" w:cs="Calibri" w:eastAsia="Calibri" w:hAnsi="Calibri"/>
          <w:sz w:val="22"/>
          <w:szCs w:val="22"/>
        </w:rPr>
        <w:t xml:space="preserve">Mean response latency in milliseconds across all chatbot calls, compared against the SPIKE.LATENCY_RED_MS threshold (3,000 ms). Latency exceeding this threshold triggers a warning alert on the Home page dashboard.</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12. Error Monitoring</w:t>
      </w:r>
    </w:p>
    <w:p>
      <w:pPr>
        <w:spacing w:after="120" w:line="276" w:lineRule="auto"/>
      </w:pPr>
      <w:r>
        <w:rPr>
          <w:rFonts w:ascii="Calibri" w:cs="Calibri" w:eastAsia="Calibri" w:hAnsi="Calibri"/>
          <w:sz w:val="22"/>
          <w:szCs w:val="22"/>
        </w:rPr>
        <w:t xml:space="preserve">URL: https://jgdedud-pihjdmo-capgemini-apac-poc.snowflakecomputing.app/error-monitoring</w:t>
      </w:r>
    </w:p>
    <w:p>
      <w:pPr>
        <w:spacing w:after="120" w:line="276" w:lineRule="auto"/>
      </w:pPr>
      <w:r>
        <w:rPr>
          <w:rFonts w:ascii="Calibri" w:cs="Calibri" w:eastAsia="Calibri" w:hAnsi="Calibri"/>
          <w:sz w:val="22"/>
          <w:szCs w:val="22"/>
        </w:rPr>
        <w:t xml:space="preserve">The Error Monitoring page displays error events captured by the Sentry integration (Sentry 8.55.0). Note: All error event data is currently sourced from src/data/mockErrorData.ts. The production Sentry or backend error log integration is pending.</w:t>
      </w:r>
    </w:p>
    <w:p>
      <w:pPr>
        <w:spacing w:after="120" w:line="276" w:lineRule="auto"/>
      </w:pPr>
      <w:r>
        <w:rPr>
          <w:rFonts w:ascii="Calibri" w:cs="Calibri" w:eastAsia="Calibri" w:hAnsi="Calibri"/>
          <w:sz w:val="22"/>
          <w:szCs w:val="22"/>
        </w:rPr>
        <w:t xml:space="preserve">The ErrorMonitoring page uses a bare Axios instance and is flagged in the refactoring backlog for apiClient migration.</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13. Cost Calculator</w:t>
      </w:r>
    </w:p>
    <w:p>
      <w:pPr>
        <w:spacing w:after="120" w:line="276" w:lineRule="auto"/>
      </w:pPr>
      <w:r>
        <w:rPr>
          <w:rFonts w:ascii="Calibri" w:cs="Calibri" w:eastAsia="Calibri" w:hAnsi="Calibri"/>
          <w:sz w:val="22"/>
          <w:szCs w:val="22"/>
        </w:rPr>
        <w:t xml:space="preserve">URL: https://jgdedud-pihjdmo-capgemini-apac-poc.snowflakecomputing.app/cost-calculator</w:t>
      </w:r>
    </w:p>
    <w:p>
      <w:pPr>
        <w:spacing w:after="120" w:line="276" w:lineRule="auto"/>
      </w:pPr>
      <w:r>
        <w:rPr>
          <w:rFonts w:ascii="Calibri" w:cs="Calibri" w:eastAsia="Calibri" w:hAnsi="Calibri"/>
          <w:sz w:val="22"/>
          <w:szCs w:val="22"/>
        </w:rPr>
        <w:t xml:space="preserve">The Cost Calculator page provides billing and token cost estimation for chatbot usage. It uses SnowflakeAPI.getCostHistory() to retrieve billing data from the backend, which returns Snowflake session-level billing information.</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14. Templates</w:t>
      </w:r>
    </w:p>
    <w:p>
      <w:pPr>
        <w:pStyle w:val="Heading2"/>
        <w:spacing w:after="120" w:before="320"/>
      </w:pPr>
      <w:r>
        <w:rPr>
          <w:rFonts w:ascii="Calibri" w:cs="Calibri" w:eastAsia="Calibri" w:hAnsi="Calibri"/>
          <w:b/>
          <w:bCs/>
          <w:color w:val="2D6CC0"/>
          <w:sz w:val="28"/>
          <w:szCs w:val="28"/>
        </w:rPr>
        <w:t xml:space="preserve">14.1 Templates Page</w:t>
      </w:r>
    </w:p>
    <w:p>
      <w:pPr>
        <w:spacing w:after="120" w:line="276" w:lineRule="auto"/>
      </w:pPr>
      <w:r>
        <w:rPr>
          <w:rFonts w:ascii="Calibri" w:cs="Calibri" w:eastAsia="Calibri" w:hAnsi="Calibri"/>
          <w:sz w:val="22"/>
          <w:szCs w:val="22"/>
        </w:rPr>
        <w:t xml:space="preserve">URL: https://jgdedud-pihjdmo-capgemini-apac-poc.snowflakecomputing.app/templates</w:t>
      </w:r>
    </w:p>
    <w:p>
      <w:pPr>
        <w:spacing w:after="120" w:line="276" w:lineRule="auto"/>
      </w:pPr>
      <w:r>
        <w:rPr>
          <w:rFonts w:ascii="Calibri" w:cs="Calibri" w:eastAsia="Calibri" w:hAnsi="Calibri"/>
          <w:sz w:val="22"/>
          <w:szCs w:val="22"/>
        </w:rPr>
        <w:t xml:space="preserve">The Templates page displays available prompt and pipeline templates that users can apply to accelerate chatbot configuration. Note: src/hooks/useTemplates.ts currently uses raw fetch() for template data loading and is flagged for apiClient migration (High priority).</w:t>
      </w:r>
    </w:p>
    <w:p>
      <w:pPr>
        <w:spacing w:after="80"/>
      </w:pPr>
    </w:p>
    <w:p>
      <w:pPr>
        <w:pStyle w:val="Heading2"/>
        <w:spacing w:after="120" w:before="320"/>
      </w:pPr>
      <w:r>
        <w:rPr>
          <w:rFonts w:ascii="Calibri" w:cs="Calibri" w:eastAsia="Calibri" w:hAnsi="Calibri"/>
          <w:b/>
          <w:bCs/>
          <w:color w:val="2D6CC0"/>
          <w:sz w:val="28"/>
          <w:szCs w:val="28"/>
        </w:rPr>
        <w:t xml:space="preserve">14.2 Register New Template</w:t>
      </w:r>
    </w:p>
    <w:p>
      <w:pPr>
        <w:spacing w:after="120" w:line="276" w:lineRule="auto"/>
      </w:pPr>
      <w:r>
        <w:rPr>
          <w:rFonts w:ascii="Calibri" w:cs="Calibri" w:eastAsia="Calibri" w:hAnsi="Calibri"/>
          <w:sz w:val="22"/>
          <w:szCs w:val="22"/>
        </w:rPr>
        <w:t xml:space="preserve">Users can register new templates by providing a template name, description, and configuration. Registered templates become available in the Templates listing for all authorised users.</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15. Prompt Generator</w:t>
      </w:r>
    </w:p>
    <w:p>
      <w:pPr>
        <w:pStyle w:val="Heading2"/>
        <w:spacing w:after="120" w:before="320"/>
      </w:pPr>
      <w:r>
        <w:rPr>
          <w:rFonts w:ascii="Calibri" w:cs="Calibri" w:eastAsia="Calibri" w:hAnsi="Calibri"/>
          <w:b/>
          <w:bCs/>
          <w:color w:val="2D6CC0"/>
          <w:sz w:val="28"/>
          <w:szCs w:val="28"/>
        </w:rPr>
        <w:t xml:space="preserve">15.1 Generator Interface</w:t>
      </w:r>
    </w:p>
    <w:p>
      <w:pPr>
        <w:spacing w:after="120" w:line="276" w:lineRule="auto"/>
      </w:pPr>
      <w:r>
        <w:rPr>
          <w:rFonts w:ascii="Calibri" w:cs="Calibri" w:eastAsia="Calibri" w:hAnsi="Calibri"/>
          <w:sz w:val="22"/>
          <w:szCs w:val="22"/>
        </w:rPr>
        <w:t xml:space="preserve">URL: https://jgdedud-pihjdmo-capgemini-apac-poc.snowflakecomputing.app/prompt-generator</w:t>
      </w:r>
    </w:p>
    <w:p>
      <w:pPr>
        <w:spacing w:after="120" w:line="276" w:lineRule="auto"/>
      </w:pPr>
      <w:r>
        <w:rPr>
          <w:rFonts w:ascii="Calibri" w:cs="Calibri" w:eastAsia="Calibri" w:hAnsi="Calibri"/>
          <w:sz w:val="22"/>
          <w:szCs w:val="22"/>
        </w:rPr>
        <w:t xml:space="preserve">The Prompt Generator provides an AI-assisted interface for creating and refining system prompts for chatbots. Note: src/pages/PromptGenerator/PromptGenerator.tsx currently uses bare Axios for all prompt CRUD operations and is flagged for apiClient migration (Medium priority).</w:t>
      </w:r>
    </w:p>
    <w:p>
      <w:pPr>
        <w:spacing w:after="80"/>
      </w:pPr>
    </w:p>
    <w:p>
      <w:pPr>
        <w:pStyle w:val="Heading2"/>
        <w:spacing w:after="120" w:before="320"/>
      </w:pPr>
      <w:r>
        <w:rPr>
          <w:rFonts w:ascii="Calibri" w:cs="Calibri" w:eastAsia="Calibri" w:hAnsi="Calibri"/>
          <w:b/>
          <w:bCs/>
          <w:color w:val="2D6CC0"/>
          <w:sz w:val="28"/>
          <w:szCs w:val="28"/>
        </w:rPr>
        <w:t xml:space="preserve">15.2 Generate Prompt</w:t>
      </w:r>
    </w:p>
    <w:p>
      <w:pPr>
        <w:spacing w:after="120" w:line="276" w:lineRule="auto"/>
      </w:pPr>
      <w:r>
        <w:rPr>
          <w:rFonts w:ascii="Calibri" w:cs="Calibri" w:eastAsia="Calibri" w:hAnsi="Calibri"/>
          <w:sz w:val="22"/>
          <w:szCs w:val="22"/>
        </w:rPr>
        <w:t xml:space="preserve">Users describe the chatbot's purpose and the generator produces a structured system prompt. The prompts.api.ts module handles getPrompts and getPromptById operations for loading existing templates.</w:t>
      </w:r>
    </w:p>
    <w:p>
      <w:pPr>
        <w:spacing w:after="80"/>
      </w:pPr>
    </w:p>
    <w:p>
      <w:pPr>
        <w:pStyle w:val="Heading2"/>
        <w:spacing w:after="120" w:before="320"/>
      </w:pPr>
      <w:r>
        <w:rPr>
          <w:rFonts w:ascii="Calibri" w:cs="Calibri" w:eastAsia="Calibri" w:hAnsi="Calibri"/>
          <w:b/>
          <w:bCs/>
          <w:color w:val="2D6CC0"/>
          <w:sz w:val="28"/>
          <w:szCs w:val="28"/>
        </w:rPr>
        <w:t xml:space="preserve">15.3 Edit &amp; Save Prompt</w:t>
      </w:r>
    </w:p>
    <w:p>
      <w:pPr>
        <w:spacing w:after="120" w:line="276" w:lineRule="auto"/>
      </w:pPr>
      <w:r>
        <w:rPr>
          <w:rFonts w:ascii="Calibri" w:cs="Calibri" w:eastAsia="Calibri" w:hAnsi="Calibri"/>
          <w:sz w:val="22"/>
          <w:szCs w:val="22"/>
        </w:rPr>
        <w:t xml:space="preserve">Generated prompts can be edited inline before saving. Saved prompts become available in the Experimentation page's prompt selector dropdown.</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16. Folder Structure (Technical Architecture)</w:t>
      </w:r>
    </w:p>
    <w:p>
      <w:pPr>
        <w:pStyle w:val="Heading2"/>
        <w:spacing w:after="120" w:before="320"/>
      </w:pPr>
      <w:r>
        <w:rPr>
          <w:rFonts w:ascii="Calibri" w:cs="Calibri" w:eastAsia="Calibri" w:hAnsi="Calibri"/>
          <w:b/>
          <w:bCs/>
          <w:color w:val="2D6CC0"/>
          <w:sz w:val="28"/>
          <w:szCs w:val="28"/>
        </w:rPr>
        <w:t xml:space="preserve">16.1 Architecture Overview</w:t>
      </w:r>
    </w:p>
    <w:p>
      <w:pPr>
        <w:spacing w:after="120" w:line="276" w:lineRule="auto"/>
      </w:pPr>
      <w:r>
        <w:rPr>
          <w:rFonts w:ascii="Calibri" w:cs="Calibri" w:eastAsia="Calibri" w:hAnsi="Calibri"/>
          <w:sz w:val="22"/>
          <w:szCs w:val="22"/>
        </w:rPr>
        <w:t xml:space="preserve">The application is structured as a monorepo containing three deployment components: the React frontend, the Node/Express backend, and the Nginx router. Each component is independently containerised as a Docker image.</w:t>
      </w:r>
    </w:p>
    <w:p>
      <w:pPr>
        <w:spacing w:after="80"/>
      </w:pPr>
    </w:p>
    <w:p>
      <w:pPr>
        <w:pStyle w:val="Heading2"/>
        <w:spacing w:after="120" w:before="320"/>
      </w:pPr>
      <w:r>
        <w:rPr>
          <w:rFonts w:ascii="Calibri" w:cs="Calibri" w:eastAsia="Calibri" w:hAnsi="Calibri"/>
          <w:b/>
          <w:bCs/>
          <w:color w:val="2D6CC0"/>
          <w:sz w:val="28"/>
          <w:szCs w:val="28"/>
        </w:rPr>
        <w:t xml:space="preserve">16.2 Node Backend Structure</w:t>
      </w:r>
    </w:p>
    <w:p>
      <w:pPr>
        <w:spacing w:after="120" w:line="276" w:lineRule="auto"/>
      </w:pPr>
      <w:r>
        <w:rPr>
          <w:rFonts w:ascii="Calibri" w:cs="Calibri" w:eastAsia="Calibri" w:hAnsi="Calibri"/>
          <w:sz w:val="22"/>
          <w:szCs w:val="22"/>
        </w:rPr>
        <w:t xml:space="preserve">The Node.js backend is a standard Express application:</w:t>
      </w:r>
    </w:p>
    <w:p>
      <w:pPr>
        <w:pStyle w:val="ListParagraph"/>
        <w:numPr>
          <w:ilvl w:val="0"/>
          <w:numId w:val="2"/>
        </w:numPr>
        <w:spacing w:after="80" w:line="276" w:lineRule="auto"/>
      </w:pPr>
      <w:r>
        <w:rPr>
          <w:rFonts w:ascii="Calibri" w:cs="Calibri" w:eastAsia="Calibri" w:hAnsi="Calibri"/>
          <w:b w:val="false"/>
          <w:bCs w:val="false"/>
          <w:sz w:val="22"/>
          <w:szCs w:val="22"/>
        </w:rPr>
        <w:t xml:space="preserve">📂 node/ — Root backend directory.</w:t>
      </w:r>
    </w:p>
    <w:p>
      <w:pPr>
        <w:pStyle w:val="ListParagraph"/>
        <w:numPr>
          <w:ilvl w:val="0"/>
          <w:numId w:val="2"/>
        </w:numPr>
        <w:spacing w:after="80" w:line="276" w:lineRule="auto"/>
      </w:pPr>
      <w:r>
        <w:rPr>
          <w:rFonts w:ascii="Calibri" w:cs="Calibri" w:eastAsia="Calibri" w:hAnsi="Calibri"/>
          <w:b w:val="false"/>
          <w:bCs w:val="false"/>
          <w:sz w:val="22"/>
          <w:szCs w:val="22"/>
        </w:rPr>
        <w:t xml:space="preserve">📂 node/controllers/ — Route handler functions separated by domain (chatbot, pipeline, compliance, etc.).</w:t>
      </w:r>
    </w:p>
    <w:p>
      <w:pPr>
        <w:pStyle w:val="ListParagraph"/>
        <w:numPr>
          <w:ilvl w:val="0"/>
          <w:numId w:val="2"/>
        </w:numPr>
        <w:spacing w:after="80" w:line="276" w:lineRule="auto"/>
      </w:pPr>
      <w:r>
        <w:rPr>
          <w:rFonts w:ascii="Calibri" w:cs="Calibri" w:eastAsia="Calibri" w:hAnsi="Calibri"/>
          <w:b w:val="false"/>
          <w:bCs w:val="false"/>
          <w:sz w:val="22"/>
          <w:szCs w:val="22"/>
        </w:rPr>
        <w:t xml:space="preserve">📂 node/routes/ — Express router definitions mapping HTTP methods and paths to controllers.</w:t>
      </w:r>
    </w:p>
    <w:p>
      <w:pPr>
        <w:pStyle w:val="ListParagraph"/>
        <w:numPr>
          <w:ilvl w:val="0"/>
          <w:numId w:val="2"/>
        </w:numPr>
        <w:spacing w:after="80" w:line="276" w:lineRule="auto"/>
      </w:pPr>
      <w:r>
        <w:rPr>
          <w:rFonts w:ascii="Calibri" w:cs="Calibri" w:eastAsia="Calibri" w:hAnsi="Calibri"/>
          <w:b w:val="false"/>
          <w:bCs w:val="false"/>
          <w:sz w:val="22"/>
          <w:szCs w:val="22"/>
        </w:rPr>
        <w:t xml:space="preserve">📄 node/server.js — Application entry point: initialises Express, registers middleware, mounts routers.</w:t>
      </w:r>
    </w:p>
    <w:p>
      <w:pPr>
        <w:pStyle w:val="ListParagraph"/>
        <w:numPr>
          <w:ilvl w:val="0"/>
          <w:numId w:val="2"/>
        </w:numPr>
        <w:spacing w:after="80" w:line="276" w:lineRule="auto"/>
      </w:pPr>
      <w:r>
        <w:rPr>
          <w:rFonts w:ascii="Calibri" w:cs="Calibri" w:eastAsia="Calibri" w:hAnsi="Calibri"/>
          <w:b w:val="false"/>
          <w:bCs w:val="false"/>
          <w:sz w:val="22"/>
          <w:szCs w:val="22"/>
        </w:rPr>
        <w:t xml:space="preserve">📄 node/.env — Backend environment variables (Snowflake credentials, OAuth config, port).</w:t>
      </w:r>
    </w:p>
    <w:p>
      <w:pPr>
        <w:pStyle w:val="ListParagraph"/>
        <w:numPr>
          <w:ilvl w:val="0"/>
          <w:numId w:val="2"/>
        </w:numPr>
        <w:spacing w:after="80" w:line="276" w:lineRule="auto"/>
      </w:pPr>
      <w:r>
        <w:rPr>
          <w:rFonts w:ascii="Calibri" w:cs="Calibri" w:eastAsia="Calibri" w:hAnsi="Calibri"/>
          <w:b w:val="false"/>
          <w:bCs w:val="false"/>
          <w:sz w:val="22"/>
          <w:szCs w:val="22"/>
        </w:rPr>
        <w:t xml:space="preserve">📂 node/node_modules/ — Auto-generated backend dependencies.</w:t>
      </w:r>
    </w:p>
    <w:p>
      <w:pPr>
        <w:spacing w:after="80"/>
      </w:pPr>
    </w:p>
    <w:p>
      <w:pPr>
        <w:pStyle w:val="Heading2"/>
        <w:spacing w:after="120" w:before="320"/>
      </w:pPr>
      <w:r>
        <w:rPr>
          <w:rFonts w:ascii="Calibri" w:cs="Calibri" w:eastAsia="Calibri" w:hAnsi="Calibri"/>
          <w:b/>
          <w:bCs/>
          <w:color w:val="2D6CC0"/>
          <w:sz w:val="28"/>
          <w:szCs w:val="28"/>
        </w:rPr>
        <w:t xml:space="preserve">16.3 React Frontend Structure</w:t>
      </w:r>
    </w:p>
    <w:p>
      <w:pPr>
        <w:spacing w:after="120" w:line="276" w:lineRule="auto"/>
      </w:pPr>
      <w:r>
        <w:rPr>
          <w:rFonts w:ascii="Calibri" w:cs="Calibri" w:eastAsia="Calibri" w:hAnsi="Calibri"/>
          <w:sz w:val="22"/>
          <w:szCs w:val="22"/>
        </w:rPr>
        <w:t xml:space="preserve">The React frontend is a Vite-built TypeScript SPA:</w:t>
      </w:r>
    </w:p>
    <w:p>
      <w:pPr>
        <w:pStyle w:val="ListParagraph"/>
        <w:numPr>
          <w:ilvl w:val="0"/>
          <w:numId w:val="2"/>
        </w:numPr>
        <w:spacing w:after="80" w:line="276" w:lineRule="auto"/>
      </w:pPr>
      <w:r>
        <w:rPr>
          <w:rFonts w:ascii="Calibri" w:cs="Calibri" w:eastAsia="Calibri" w:hAnsi="Calibri"/>
          <w:b w:val="false"/>
          <w:bCs w:val="false"/>
          <w:sz w:val="22"/>
          <w:szCs w:val="22"/>
        </w:rPr>
        <w:t xml:space="preserve">📂 react/src/ — Core application source code: Components, Pages, Hooks, Services (API calls), State management.</w:t>
      </w:r>
    </w:p>
    <w:p>
      <w:pPr>
        <w:pStyle w:val="ListParagraph"/>
        <w:numPr>
          <w:ilvl w:val="0"/>
          <w:numId w:val="2"/>
        </w:numPr>
        <w:spacing w:after="80" w:line="276" w:lineRule="auto"/>
      </w:pPr>
      <w:r>
        <w:rPr>
          <w:rFonts w:ascii="Calibri" w:cs="Calibri" w:eastAsia="Calibri" w:hAnsi="Calibri"/>
          <w:b w:val="false"/>
          <w:bCs w:val="false"/>
          <w:sz w:val="22"/>
          <w:szCs w:val="22"/>
        </w:rPr>
        <w:t xml:space="preserve">📂 react/public/ — Static files served as-is (logos, manifest, icons).</w:t>
      </w:r>
    </w:p>
    <w:p>
      <w:pPr>
        <w:pStyle w:val="ListParagraph"/>
        <w:numPr>
          <w:ilvl w:val="0"/>
          <w:numId w:val="2"/>
        </w:numPr>
        <w:spacing w:after="80" w:line="276" w:lineRule="auto"/>
      </w:pPr>
      <w:r>
        <w:rPr>
          <w:rFonts w:ascii="Calibri" w:cs="Calibri" w:eastAsia="Calibri" w:hAnsi="Calibri"/>
          <w:b w:val="false"/>
          <w:bCs w:val="false"/>
          <w:sz w:val="22"/>
          <w:szCs w:val="22"/>
        </w:rPr>
        <w:t xml:space="preserve">📂 react/dist/ — Production build output generated by vite build.</w:t>
      </w:r>
    </w:p>
    <w:p>
      <w:pPr>
        <w:pStyle w:val="ListParagraph"/>
        <w:numPr>
          <w:ilvl w:val="0"/>
          <w:numId w:val="2"/>
        </w:numPr>
        <w:spacing w:after="80" w:line="276" w:lineRule="auto"/>
      </w:pPr>
      <w:r>
        <w:rPr>
          <w:rFonts w:ascii="Calibri" w:cs="Calibri" w:eastAsia="Calibri" w:hAnsi="Calibri"/>
          <w:b w:val="false"/>
          <w:bCs w:val="false"/>
          <w:sz w:val="22"/>
          <w:szCs w:val="22"/>
        </w:rPr>
        <w:t xml:space="preserve">📂 react/docs/ — Frontend documentation (UI flows, wireframes).</w:t>
      </w:r>
    </w:p>
    <w:p>
      <w:pPr>
        <w:pStyle w:val="ListParagraph"/>
        <w:numPr>
          <w:ilvl w:val="0"/>
          <w:numId w:val="2"/>
        </w:numPr>
        <w:spacing w:after="80" w:line="276" w:lineRule="auto"/>
      </w:pPr>
      <w:r>
        <w:rPr>
          <w:rFonts w:ascii="Calibri" w:cs="Calibri" w:eastAsia="Calibri" w:hAnsi="Calibri"/>
          <w:b w:val="false"/>
          <w:bCs w:val="false"/>
          <w:sz w:val="22"/>
          <w:szCs w:val="22"/>
        </w:rPr>
        <w:t xml:space="preserve">📄 react/.env — Frontend environment variables (e.g. VITE_API_BASE URL).</w:t>
      </w:r>
    </w:p>
    <w:p>
      <w:pPr>
        <w:pStyle w:val="ListParagraph"/>
        <w:numPr>
          <w:ilvl w:val="0"/>
          <w:numId w:val="2"/>
        </w:numPr>
        <w:spacing w:after="80" w:line="276" w:lineRule="auto"/>
      </w:pPr>
      <w:r>
        <w:rPr>
          <w:rFonts w:ascii="Calibri" w:cs="Calibri" w:eastAsia="Calibri" w:hAnsi="Calibri"/>
          <w:b w:val="false"/>
          <w:bCs w:val="false"/>
          <w:sz w:val="22"/>
          <w:szCs w:val="22"/>
        </w:rPr>
        <w:t xml:space="preserve">📄 react/index.html — Root HTML template loaded by Vite.</w:t>
      </w:r>
    </w:p>
    <w:p>
      <w:pPr>
        <w:pStyle w:val="ListParagraph"/>
        <w:numPr>
          <w:ilvl w:val="0"/>
          <w:numId w:val="2"/>
        </w:numPr>
        <w:spacing w:after="80" w:line="276" w:lineRule="auto"/>
      </w:pPr>
      <w:r>
        <w:rPr>
          <w:rFonts w:ascii="Calibri" w:cs="Calibri" w:eastAsia="Calibri" w:hAnsi="Calibri"/>
          <w:b w:val="false"/>
          <w:bCs w:val="false"/>
          <w:sz w:val="22"/>
          <w:szCs w:val="22"/>
        </w:rPr>
        <w:t xml:space="preserve">📄 react/vite.config.ts — Vite configuration: SVG support via vite-plugin-svgr (required because the application uses custom SVG assets imported and rendered as React components), dev server, proxies, and build options.</w:t>
      </w:r>
    </w:p>
    <w:p>
      <w:pPr>
        <w:pStyle w:val="ListParagraph"/>
        <w:numPr>
          <w:ilvl w:val="0"/>
          <w:numId w:val="2"/>
        </w:numPr>
        <w:spacing w:after="80" w:line="276" w:lineRule="auto"/>
      </w:pPr>
      <w:r>
        <w:rPr>
          <w:rFonts w:ascii="Calibri" w:cs="Calibri" w:eastAsia="Calibri" w:hAnsi="Calibri"/>
          <w:b w:val="false"/>
          <w:bCs w:val="false"/>
          <w:sz w:val="22"/>
          <w:szCs w:val="22"/>
        </w:rPr>
        <w:t xml:space="preserve">📄 react/tsconfig.*.json — TypeScript configuration files for compiler rules.</w:t>
      </w:r>
    </w:p>
    <w:p>
      <w:pPr>
        <w:pStyle w:val="ListParagraph"/>
        <w:numPr>
          <w:ilvl w:val="0"/>
          <w:numId w:val="2"/>
        </w:numPr>
        <w:spacing w:after="80" w:line="276" w:lineRule="auto"/>
      </w:pPr>
      <w:r>
        <w:rPr>
          <w:rFonts w:ascii="Calibri" w:cs="Calibri" w:eastAsia="Calibri" w:hAnsi="Calibri"/>
          <w:b w:val="false"/>
          <w:bCs w:val="false"/>
          <w:sz w:val="22"/>
          <w:szCs w:val="22"/>
        </w:rPr>
        <w:t xml:space="preserve">📄 react/.prettierrc / .eslintrc.js — Code formatting and linting rules.</w:t>
      </w:r>
    </w:p>
    <w:p>
      <w:pPr>
        <w:spacing w:after="80"/>
      </w:pPr>
    </w:p>
    <w:p>
      <w:pPr>
        <w:pStyle w:val="Heading2"/>
        <w:spacing w:after="120" w:before="320"/>
      </w:pPr>
      <w:r>
        <w:rPr>
          <w:rFonts w:ascii="Calibri" w:cs="Calibri" w:eastAsia="Calibri" w:hAnsi="Calibri"/>
          <w:b/>
          <w:bCs/>
          <w:color w:val="2D6CC0"/>
          <w:sz w:val="28"/>
          <w:szCs w:val="28"/>
        </w:rPr>
        <w:t xml:space="preserve">16.4 Router (Nginx) Configuration</w:t>
      </w:r>
    </w:p>
    <w:p>
      <w:pPr>
        <w:spacing w:after="120" w:line="276" w:lineRule="auto"/>
      </w:pPr>
      <w:r>
        <w:rPr>
          <w:rFonts w:ascii="Calibri" w:cs="Calibri" w:eastAsia="Calibri" w:hAnsi="Calibri"/>
          <w:sz w:val="22"/>
          <w:szCs w:val="22"/>
        </w:rPr>
        <w:t xml:space="preserve">The Nginx router serves the React UI and forwards backend API requests. In deployment, it removes the /api prefix before forwarding requests to the backend because the backend does not internally use the /api prefix.</w:t>
      </w:r>
    </w:p>
    <w:p>
      <w:pPr>
        <w:spacing w:after="80"/>
      </w:pPr>
    </w:p>
    <w:p>
      <w:pPr>
        <w:pBdr>
          <w:left w:val="single" w:color="2D6CC0" w:sz="12"/>
        </w:pBdr>
        <w:shd w:fill="F4F4F4" w:val="clear"/>
        <w:spacing w:after="120"/>
        <w:ind w:left="360"/>
      </w:pPr>
      <w:r>
        <w:rPr>
          <w:rFonts w:ascii="Courier New" w:cs="Courier New" w:eastAsia="Courier New" w:hAnsi="Courier New"/>
          <w:color w:val="333333"/>
          <w:sz w:val="18"/>
          <w:szCs w:val="18"/>
        </w:rPr>
        <w:t xml:space="preserve">events { worker_connections 1024; }</w:t>
      </w:r>
    </w:p>
    <w:p>
      <w:pPr>
        <w:pBdr>
          <w:left w:val="single" w:color="2D6CC0" w:sz="12"/>
        </w:pBdr>
        <w:shd w:fill="F4F4F4" w:val="clear"/>
        <w:spacing w:after="120"/>
        <w:ind w:left="360"/>
      </w:pPr>
      <w:r>
        <w:rPr>
          <w:rFonts w:ascii="Courier New" w:cs="Courier New" w:eastAsia="Courier New" w:hAnsi="Courier New"/>
          <w:color w:val="333333"/>
          <w:sz w:val="18"/>
          <w:szCs w:val="18"/>
        </w:rPr>
        <w:t xml:space="preserve">http {</w:t>
      </w:r>
    </w:p>
    <w:p>
      <w:pPr>
        <w:pBdr>
          <w:left w:val="single" w:color="2D6CC0" w:sz="12"/>
        </w:pBdr>
        <w:shd w:fill="F4F4F4" w:val="clear"/>
        <w:spacing w:after="120"/>
        <w:ind w:left="360"/>
      </w:pPr>
      <w:r>
        <w:rPr>
          <w:rFonts w:ascii="Courier New" w:cs="Courier New" w:eastAsia="Courier New" w:hAnsi="Courier New"/>
          <w:color w:val="333333"/>
          <w:sz w:val="18"/>
          <w:szCs w:val="18"/>
        </w:rPr>
        <w:t xml:space="preserve">  server {</w:t>
      </w:r>
    </w:p>
    <w:p>
      <w:pPr>
        <w:pBdr>
          <w:left w:val="single" w:color="2D6CC0" w:sz="12"/>
        </w:pBdr>
        <w:shd w:fill="F4F4F4" w:val="clear"/>
        <w:spacing w:after="120"/>
        <w:ind w:left="360"/>
      </w:pPr>
      <w:r>
        <w:rPr>
          <w:rFonts w:ascii="Courier New" w:cs="Courier New" w:eastAsia="Courier New" w:hAnsi="Courier New"/>
          <w:color w:val="333333"/>
          <w:sz w:val="18"/>
          <w:szCs w:val="18"/>
        </w:rPr>
        <w:t xml:space="preserve">    listen 8080;</w:t>
      </w:r>
    </w:p>
    <w:p>
      <w:pPr>
        <w:pBdr>
          <w:left w:val="single" w:color="2D6CC0" w:sz="12"/>
        </w:pBdr>
        <w:shd w:fill="F4F4F4" w:val="clear"/>
        <w:spacing w:after="120"/>
        <w:ind w:left="360"/>
      </w:pPr>
      <w:r>
        <w:rPr>
          <w:rFonts w:ascii="Courier New" w:cs="Courier New" w:eastAsia="Courier New" w:hAnsi="Courier New"/>
          <w:color w:val="333333"/>
          <w:sz w:val="18"/>
          <w:szCs w:val="18"/>
        </w:rPr>
        <w:t xml:space="preserve">    server_name localhost;</w:t>
      </w:r>
    </w:p>
    <w:p>
      <w:pPr>
        <w:pBdr>
          <w:left w:val="single" w:color="2D6CC0" w:sz="12"/>
        </w:pBdr>
        <w:shd w:fill="F4F4F4" w:val="clear"/>
        <w:spacing w:after="120"/>
        <w:ind w:left="360"/>
      </w:pPr>
      <w:r>
        <w:rPr>
          <w:rFonts w:ascii="Courier New" w:cs="Courier New" w:eastAsia="Courier New" w:hAnsi="Courier New"/>
          <w:color w:val="333333"/>
          <w:sz w:val="18"/>
          <w:szCs w:val="18"/>
        </w:rPr>
        <w:t xml:space="preserve">    location / { proxy_pass http://$FRONTEND_URL/; }</w:t>
      </w:r>
    </w:p>
    <w:p>
      <w:pPr>
        <w:pBdr>
          <w:left w:val="single" w:color="2D6CC0" w:sz="12"/>
        </w:pBdr>
        <w:shd w:fill="F4F4F4" w:val="clear"/>
        <w:spacing w:after="120"/>
        <w:ind w:left="360"/>
      </w:pPr>
      <w:r>
        <w:rPr>
          <w:rFonts w:ascii="Courier New" w:cs="Courier New" w:eastAsia="Courier New" w:hAnsi="Courier New"/>
          <w:color w:val="333333"/>
          <w:sz w:val="18"/>
          <w:szCs w:val="18"/>
        </w:rPr>
        <w:t xml:space="preserve">    location /api { rewrite /api/(.*) /$1 break; proxy_pass http://$BACKEND_URL/; }</w:t>
      </w:r>
    </w:p>
    <w:p>
      <w:pPr>
        <w:pBdr>
          <w:left w:val="single" w:color="2D6CC0" w:sz="12"/>
        </w:pBdr>
        <w:shd w:fill="F4F4F4" w:val="clear"/>
        <w:spacing w:after="120"/>
        <w:ind w:left="360"/>
      </w:pPr>
      <w:r>
        <w:rPr>
          <w:rFonts w:ascii="Courier New" w:cs="Courier New" w:eastAsia="Courier New" w:hAnsi="Courier New"/>
          <w:color w:val="333333"/>
          <w:sz w:val="18"/>
          <w:szCs w:val="18"/>
        </w:rPr>
        <w:t xml:space="preserve">  }</w:t>
      </w:r>
    </w:p>
    <w:p>
      <w:pPr>
        <w:pBdr>
          <w:left w:val="single" w:color="2D6CC0" w:sz="12"/>
        </w:pBdr>
        <w:shd w:fill="F4F4F4" w:val="clear"/>
        <w:spacing w:after="120"/>
        <w:ind w:left="360"/>
      </w:pPr>
      <w:r>
        <w:rPr>
          <w:rFonts w:ascii="Courier New" w:cs="Courier New" w:eastAsia="Courier New" w:hAnsi="Courier New"/>
          <w:color w:val="333333"/>
          <w:sz w:val="18"/>
          <w:szCs w:val="18"/>
        </w:rPr>
        <w:t xml:space="preserve">}</w:t>
      </w:r>
    </w:p>
    <w:p>
      <w:pPr>
        <w:spacing w:after="80"/>
      </w:pPr>
    </w:p>
    <w:p>
      <w:pPr>
        <w:pStyle w:val="Heading2"/>
        <w:spacing w:after="120" w:before="320"/>
      </w:pPr>
      <w:r>
        <w:rPr>
          <w:rFonts w:ascii="Calibri" w:cs="Calibri" w:eastAsia="Calibri" w:hAnsi="Calibri"/>
          <w:b/>
          <w:bCs/>
          <w:color w:val="2D6CC0"/>
          <w:sz w:val="28"/>
          <w:szCs w:val="28"/>
        </w:rPr>
        <w:t xml:space="preserve">16.5 API Prefix Handling</w:t>
      </w:r>
    </w:p>
    <w:p>
      <w:pPr>
        <w:spacing w:after="120" w:line="276" w:lineRule="auto"/>
      </w:pPr>
      <w:r>
        <w:rPr>
          <w:rFonts w:ascii="Calibri" w:cs="Calibri" w:eastAsia="Calibri" w:hAnsi="Calibri"/>
          <w:sz w:val="22"/>
          <w:szCs w:val="22"/>
        </w:rPr>
        <w:t xml:space="preserve">To ensure smooth development and deployment, a consistent API access pattern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Environment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Component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API Path Used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Local Development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Frontend (React)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/api/data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React and Node run separately — direct access to /api/...</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Local Development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Backend (Node.js)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/api/data</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Backend accepts /api/... routes locally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Deployed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Frontend (React)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/api/data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No change required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Deployed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Nginx Router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rewrites /api/data → /data</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Removes /api prefix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Deployed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Backend (Node.js)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/data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Must NOT include /api</w:t>
            </w:r>
          </w:p>
        </w:tc>
      </w:tr>
    </w:tbl>
    <w:p>
      <w:pPr>
        <w:pBdr>
          <w:left w:val="single" w:color="2D6CC0" w:sz="12"/>
        </w:pBdr>
        <w:shd w:fill="D6E4F0" w:val="clear"/>
        <w:spacing w:after="120"/>
        <w:ind w:left="180" w:right="180"/>
      </w:pPr>
      <w:r>
        <w:rPr>
          <w:rFonts w:ascii="Calibri" w:cs="Calibri" w:eastAsia="Calibri" w:hAnsi="Calibri"/>
          <w:b/>
          <w:bCs/>
          <w:color w:val="2D6CC0"/>
          <w:sz w:val="20"/>
          <w:szCs w:val="20"/>
        </w:rPr>
        <w:t xml:space="preserve">Important: </w:t>
      </w:r>
      <w:r>
        <w:rPr>
          <w:rFonts w:ascii="Calibri" w:cs="Calibri" w:eastAsia="Calibri" w:hAnsi="Calibri"/>
          <w:sz w:val="20"/>
          <w:szCs w:val="20"/>
        </w:rPr>
        <w:t xml:space="preserve">This difference is necessary because Nginx strips the /api prefix when deployed. Therefore, the backend must dynamically adjust its route prefix based on the environment.</w:t>
      </w:r>
    </w:p>
    <w:p>
      <w:pPr>
        <w:spacing w:after="80"/>
      </w:pPr>
    </w:p>
    <w:p>
      <w:pPr>
        <w:pStyle w:val="Heading2"/>
        <w:spacing w:after="120" w:before="320"/>
      </w:pPr>
      <w:r>
        <w:rPr>
          <w:rFonts w:ascii="Calibri" w:cs="Calibri" w:eastAsia="Calibri" w:hAnsi="Calibri"/>
          <w:b/>
          <w:bCs/>
          <w:color w:val="2D6CC0"/>
          <w:sz w:val="28"/>
          <w:szCs w:val="28"/>
        </w:rPr>
        <w:t xml:space="preserve">16.6 Snowflake Authentication Logic</w:t>
      </w:r>
    </w:p>
    <w:p>
      <w:pPr>
        <w:spacing w:after="120" w:line="276" w:lineRule="auto"/>
      </w:pPr>
      <w:r>
        <w:rPr>
          <w:rFonts w:ascii="Calibri" w:cs="Calibri" w:eastAsia="Calibri" w:hAnsi="Calibri"/>
          <w:sz w:val="22"/>
          <w:szCs w:val="22"/>
        </w:rPr>
        <w:t xml:space="preserve">The backend automatically switches between two authentication modes:</w:t>
      </w:r>
    </w:p>
    <w:p>
      <w:pPr>
        <w:pStyle w:val="ListParagraph"/>
        <w:numPr>
          <w:ilvl w:val="0"/>
          <w:numId w:val="2"/>
        </w:numPr>
        <w:spacing w:after="80" w:line="276" w:lineRule="auto"/>
      </w:pPr>
      <w:r>
        <w:rPr>
          <w:rFonts w:ascii="Calibri" w:cs="Calibri" w:eastAsia="Calibri" w:hAnsi="Calibri"/>
          <w:b w:val="false"/>
          <w:bCs w:val="false"/>
          <w:sz w:val="22"/>
          <w:szCs w:val="22"/>
        </w:rPr>
        <w:t xml:space="preserve">OAuth token — Used when running inside Snowflake SPCS (Snowpark Container Services). The user's Snowflake identity is forwarded automatically.</w:t>
      </w:r>
    </w:p>
    <w:p>
      <w:pPr>
        <w:pStyle w:val="ListParagraph"/>
        <w:numPr>
          <w:ilvl w:val="0"/>
          <w:numId w:val="2"/>
        </w:numPr>
        <w:spacing w:after="80" w:line="276" w:lineRule="auto"/>
      </w:pPr>
      <w:r>
        <w:rPr>
          <w:rFonts w:ascii="Calibri" w:cs="Calibri" w:eastAsia="Calibri" w:hAnsi="Calibri"/>
          <w:b w:val="false"/>
          <w:bCs w:val="false"/>
          <w:sz w:val="22"/>
          <w:szCs w:val="22"/>
        </w:rPr>
        <w:t xml:space="preserve">Username/password — Used in local development environments.</w:t>
      </w:r>
    </w:p>
    <w:p>
      <w:pPr>
        <w:spacing w:after="120" w:line="276" w:lineRule="auto"/>
      </w:pPr>
      <w:r>
        <w:rPr>
          <w:rFonts w:ascii="Calibri" w:cs="Calibri" w:eastAsia="Calibri" w:hAnsi="Calibri"/>
          <w:sz w:val="22"/>
          <w:szCs w:val="22"/>
        </w:rPr>
        <w:t xml:space="preserve">This dual-mode authentication ensures the application can be developed locally without OAuth infrastructure while seamlessly using identity forwarding in production.</w:t>
      </w:r>
    </w:p>
    <w:p>
      <w:pPr>
        <w:spacing w:after="80"/>
      </w:pPr>
    </w:p>
    <w:p>
      <w:pPr>
        <w:pStyle w:val="Heading2"/>
        <w:spacing w:after="120" w:before="320"/>
      </w:pPr>
      <w:r>
        <w:rPr>
          <w:rFonts w:ascii="Calibri" w:cs="Calibri" w:eastAsia="Calibri" w:hAnsi="Calibri"/>
          <w:b/>
          <w:bCs/>
          <w:color w:val="2D6CC0"/>
          <w:sz w:val="28"/>
          <w:szCs w:val="28"/>
        </w:rPr>
        <w:t xml:space="preserve">16.7 Dockerization Strategy</w:t>
      </w:r>
    </w:p>
    <w:p>
      <w:pPr>
        <w:spacing w:after="120" w:line="276" w:lineRule="auto"/>
      </w:pPr>
      <w:r>
        <w:rPr>
          <w:rFonts w:ascii="Calibri" w:cs="Calibri" w:eastAsia="Calibri" w:hAnsi="Calibri"/>
          <w:sz w:val="22"/>
          <w:szCs w:val="22"/>
        </w:rPr>
        <w:t xml:space="preserve">Three Docker images — react, node, and router — are built independently and then pushed to Snowflake using Snow CLI. The images are hosted inside Snowflake's Image Repository.</w:t>
      </w:r>
    </w:p>
    <w:p>
      <w:pPr>
        <w:pStyle w:val="ListParagraph"/>
        <w:numPr>
          <w:ilvl w:val="0"/>
          <w:numId w:val="2"/>
        </w:numPr>
        <w:spacing w:after="80" w:line="276" w:lineRule="auto"/>
      </w:pPr>
      <w:r>
        <w:rPr>
          <w:rFonts w:ascii="Calibri" w:cs="Calibri" w:eastAsia="Calibri" w:hAnsi="Calibri"/>
          <w:b w:val="false"/>
          <w:bCs w:val="false"/>
          <w:sz w:val="22"/>
          <w:szCs w:val="22"/>
        </w:rPr>
        <w:t xml:space="preserve">React image — Node 24 Alpine builder stage runs npm ci and npm run build (tsc -b + vite build). Server stage uses nginx:alpine to serve the dist/ directory with a SPA fallback rule (try_files $uri /index.html).</w:t>
      </w:r>
    </w:p>
    <w:p>
      <w:pPr>
        <w:pStyle w:val="ListParagraph"/>
        <w:numPr>
          <w:ilvl w:val="0"/>
          <w:numId w:val="2"/>
        </w:numPr>
        <w:spacing w:after="80" w:line="276" w:lineRule="auto"/>
      </w:pPr>
      <w:r>
        <w:rPr>
          <w:rFonts w:ascii="Calibri" w:cs="Calibri" w:eastAsia="Calibri" w:hAnsi="Calibri"/>
          <w:b w:val="false"/>
          <w:bCs w:val="false"/>
          <w:sz w:val="22"/>
          <w:szCs w:val="22"/>
        </w:rPr>
        <w:t xml:space="preserve">Node image — Containerises the Express backend with its dependencies.</w:t>
      </w:r>
    </w:p>
    <w:p>
      <w:pPr>
        <w:pStyle w:val="ListParagraph"/>
        <w:numPr>
          <w:ilvl w:val="0"/>
          <w:numId w:val="2"/>
        </w:numPr>
        <w:spacing w:after="80" w:line="276" w:lineRule="auto"/>
      </w:pPr>
      <w:r>
        <w:rPr>
          <w:rFonts w:ascii="Calibri" w:cs="Calibri" w:eastAsia="Calibri" w:hAnsi="Calibri"/>
          <w:b w:val="false"/>
          <w:bCs w:val="false"/>
          <w:sz w:val="22"/>
          <w:szCs w:val="22"/>
        </w:rPr>
        <w:t xml:space="preserve">Router image — Nginx configuration for reverse proxy routing.</w:t>
      </w:r>
    </w:p>
    <w:p>
      <w:pPr>
        <w:spacing w:after="120" w:line="276" w:lineRule="auto"/>
      </w:pPr>
      <w:r>
        <w:rPr>
          <w:rFonts w:ascii="Calibri" w:cs="Calibri" w:eastAsia="Calibri" w:hAnsi="Calibri"/>
          <w:sz w:val="22"/>
          <w:szCs w:val="22"/>
        </w:rPr>
        <w:t xml:space="preserve">Static asset routes (JavaScript, CSS, images, SVGs) are given a 6-month Cache-Control: public header to leverage long-term browser caching.</w:t>
      </w:r>
    </w:p>
    <w:p>
      <w:pPr>
        <w:spacing w:after="80"/>
      </w:pPr>
    </w:p>
    <w:p>
      <w:pPr>
        <w:pStyle w:val="Heading2"/>
        <w:spacing w:after="120" w:before="320"/>
      </w:pPr>
      <w:r>
        <w:rPr>
          <w:rFonts w:ascii="Calibri" w:cs="Calibri" w:eastAsia="Calibri" w:hAnsi="Calibri"/>
          <w:b/>
          <w:bCs/>
          <w:color w:val="2D6CC0"/>
          <w:sz w:val="28"/>
          <w:szCs w:val="28"/>
        </w:rPr>
        <w:t xml:space="preserve">16.8 Deployment Workflow</w:t>
      </w:r>
    </w:p>
    <w:p>
      <w:pPr>
        <w:spacing w:after="120" w:line="276" w:lineRule="auto"/>
      </w:pPr>
      <w:r>
        <w:rPr>
          <w:rFonts w:ascii="Calibri" w:cs="Calibri" w:eastAsia="Calibri" w:hAnsi="Calibri"/>
          <w:sz w:val="22"/>
          <w:szCs w:val="22"/>
        </w:rPr>
        <w:t xml:space="preserve">Deployment steps:</w:t>
      </w:r>
    </w:p>
    <w:p>
      <w:pPr>
        <w:pStyle w:val="ListParagraph"/>
        <w:numPr>
          <w:ilvl w:val="0"/>
          <w:numId w:val="3"/>
        </w:numPr>
        <w:spacing w:after="80" w:line="276" w:lineRule="auto"/>
      </w:pPr>
      <w:r>
        <w:rPr>
          <w:rFonts w:ascii="Calibri" w:cs="Calibri" w:eastAsia="Calibri" w:hAnsi="Calibri"/>
          <w:sz w:val="22"/>
          <w:szCs w:val="22"/>
        </w:rPr>
        <w:t xml:space="preserve">Upload code to S3.</w:t>
      </w:r>
    </w:p>
    <w:p>
      <w:pPr>
        <w:pStyle w:val="ListParagraph"/>
        <w:numPr>
          <w:ilvl w:val="0"/>
          <w:numId w:val="3"/>
        </w:numPr>
        <w:spacing w:after="80" w:line="276" w:lineRule="auto"/>
      </w:pPr>
      <w:r>
        <w:rPr>
          <w:rFonts w:ascii="Calibri" w:cs="Calibri" w:eastAsia="Calibri" w:hAnsi="Calibri"/>
          <w:sz w:val="22"/>
          <w:szCs w:val="22"/>
        </w:rPr>
        <w:t xml:space="preserve">Sync S3 → EC2.</w:t>
      </w:r>
    </w:p>
    <w:p>
      <w:pPr>
        <w:pStyle w:val="ListParagraph"/>
        <w:numPr>
          <w:ilvl w:val="0"/>
          <w:numId w:val="3"/>
        </w:numPr>
        <w:spacing w:after="80" w:line="276" w:lineRule="auto"/>
      </w:pPr>
      <w:r>
        <w:rPr>
          <w:rFonts w:ascii="Calibri" w:cs="Calibri" w:eastAsia="Calibri" w:hAnsi="Calibri"/>
          <w:sz w:val="22"/>
          <w:szCs w:val="22"/>
        </w:rPr>
        <w:t xml:space="preserve">Build Docker images.</w:t>
      </w:r>
    </w:p>
    <w:p>
      <w:pPr>
        <w:pStyle w:val="ListParagraph"/>
        <w:numPr>
          <w:ilvl w:val="0"/>
          <w:numId w:val="3"/>
        </w:numPr>
        <w:spacing w:after="80" w:line="276" w:lineRule="auto"/>
      </w:pPr>
      <w:r>
        <w:rPr>
          <w:rFonts w:ascii="Calibri" w:cs="Calibri" w:eastAsia="Calibri" w:hAnsi="Calibri"/>
          <w:sz w:val="22"/>
          <w:szCs w:val="22"/>
        </w:rPr>
        <w:t xml:space="preserve">Authenticate using Snow CLI.</w:t>
      </w:r>
    </w:p>
    <w:p>
      <w:pPr>
        <w:pStyle w:val="ListParagraph"/>
        <w:numPr>
          <w:ilvl w:val="0"/>
          <w:numId w:val="3"/>
        </w:numPr>
        <w:spacing w:after="80" w:line="276" w:lineRule="auto"/>
      </w:pPr>
      <w:r>
        <w:rPr>
          <w:rFonts w:ascii="Calibri" w:cs="Calibri" w:eastAsia="Calibri" w:hAnsi="Calibri"/>
          <w:sz w:val="22"/>
          <w:szCs w:val="22"/>
        </w:rPr>
        <w:t xml:space="preserve">Push images to Snowflake Image Repository.</w:t>
      </w:r>
    </w:p>
    <w:p>
      <w:pPr>
        <w:pStyle w:val="ListParagraph"/>
        <w:numPr>
          <w:ilvl w:val="0"/>
          <w:numId w:val="3"/>
        </w:numPr>
        <w:spacing w:after="80" w:line="276" w:lineRule="auto"/>
      </w:pPr>
      <w:r>
        <w:rPr>
          <w:rFonts w:ascii="Calibri" w:cs="Calibri" w:eastAsia="Calibri" w:hAnsi="Calibri"/>
          <w:sz w:val="22"/>
          <w:szCs w:val="22"/>
        </w:rPr>
        <w:t xml:space="preserve">Create a single Snowflake service with all 3 containers.</w:t>
      </w:r>
    </w:p>
    <w:p>
      <w:pPr>
        <w:pStyle w:val="ListParagraph"/>
        <w:numPr>
          <w:ilvl w:val="0"/>
          <w:numId w:val="3"/>
        </w:numPr>
        <w:spacing w:after="80" w:line="276" w:lineRule="auto"/>
      </w:pPr>
      <w:r>
        <w:rPr>
          <w:rFonts w:ascii="Calibri" w:cs="Calibri" w:eastAsia="Calibri" w:hAnsi="Calibri"/>
          <w:sz w:val="22"/>
          <w:szCs w:val="22"/>
        </w:rPr>
        <w:t xml:space="preserve">Get the public endpoint link using: show endpoints in service raise_app;</w:t>
      </w:r>
    </w:p>
    <w:p>
      <w:pPr>
        <w:spacing w:after="80"/>
      </w:pPr>
    </w:p>
    <w:p>
      <w:pPr>
        <w:pStyle w:val="Heading2"/>
        <w:spacing w:after="120" w:before="320"/>
      </w:pPr>
      <w:r>
        <w:rPr>
          <w:rFonts w:ascii="Calibri" w:cs="Calibri" w:eastAsia="Calibri" w:hAnsi="Calibri"/>
          <w:b/>
          <w:bCs/>
          <w:color w:val="2D6CC0"/>
          <w:sz w:val="28"/>
          <w:szCs w:val="28"/>
        </w:rPr>
        <w:t xml:space="preserve">16.9 Single-Service Architecture</w:t>
      </w:r>
    </w:p>
    <w:p>
      <w:pPr>
        <w:spacing w:after="120" w:line="276" w:lineRule="auto"/>
      </w:pPr>
      <w:r>
        <w:rPr>
          <w:rFonts w:ascii="Calibri" w:cs="Calibri" w:eastAsia="Calibri" w:hAnsi="Calibri"/>
          <w:sz w:val="22"/>
          <w:szCs w:val="22"/>
        </w:rPr>
        <w:t xml:space="preserve">All three components must run inside a single Snowflake service because:</w:t>
      </w:r>
    </w:p>
    <w:p>
      <w:pPr>
        <w:pStyle w:val="ListParagraph"/>
        <w:numPr>
          <w:ilvl w:val="0"/>
          <w:numId w:val="2"/>
        </w:numPr>
        <w:spacing w:after="80" w:line="276" w:lineRule="auto"/>
      </w:pPr>
      <w:r>
        <w:rPr>
          <w:rFonts w:ascii="Calibri" w:cs="Calibri" w:eastAsia="Calibri" w:hAnsi="Calibri"/>
          <w:b w:val="false"/>
          <w:bCs w:val="false"/>
          <w:sz w:val="22"/>
          <w:szCs w:val="22"/>
        </w:rPr>
        <w:t xml:space="preserve">Snowflake restricts cross-service communication.</w:t>
      </w:r>
    </w:p>
    <w:p>
      <w:pPr>
        <w:pStyle w:val="ListParagraph"/>
        <w:numPr>
          <w:ilvl w:val="0"/>
          <w:numId w:val="2"/>
        </w:numPr>
        <w:spacing w:after="80" w:line="276" w:lineRule="auto"/>
      </w:pPr>
      <w:r>
        <w:rPr>
          <w:rFonts w:ascii="Calibri" w:cs="Calibri" w:eastAsia="Calibri" w:hAnsi="Calibri"/>
          <w:b w:val="false"/>
          <w:bCs w:val="false"/>
          <w:sz w:val="22"/>
          <w:szCs w:val="22"/>
        </w:rPr>
        <w:t xml:space="preserve">Internal routing would fail across separate services.</w:t>
      </w:r>
    </w:p>
    <w:p>
      <w:pPr>
        <w:pStyle w:val="ListParagraph"/>
        <w:numPr>
          <w:ilvl w:val="0"/>
          <w:numId w:val="2"/>
        </w:numPr>
        <w:spacing w:after="80" w:line="276" w:lineRule="auto"/>
      </w:pPr>
      <w:r>
        <w:rPr>
          <w:rFonts w:ascii="Calibri" w:cs="Calibri" w:eastAsia="Calibri" w:hAnsi="Calibri"/>
          <w:b w:val="false"/>
          <w:bCs w:val="false"/>
          <w:sz w:val="22"/>
          <w:szCs w:val="22"/>
        </w:rPr>
        <w:t xml:space="preserve">OAuth identity forwarding works only within a unified service.</w:t>
      </w:r>
    </w:p>
    <w:p>
      <w:pPr>
        <w:spacing w:after="120" w:line="276" w:lineRule="auto"/>
      </w:pPr>
      <w:r>
        <w:rPr>
          <w:rFonts w:ascii="Calibri" w:cs="Calibri" w:eastAsia="Calibri" w:hAnsi="Calibri"/>
          <w:sz w:val="22"/>
          <w:szCs w:val="22"/>
        </w:rPr>
        <w:t xml:space="preserve">Single service deployment is therefore mandatory for stable communication.</w:t>
      </w:r>
    </w:p>
    <w:p>
      <w:pPr>
        <w:spacing w:after="80"/>
      </w:pPr>
    </w:p>
    <w:p>
      <w:pPr>
        <w:pStyle w:val="Heading2"/>
        <w:spacing w:after="120" w:before="320"/>
      </w:pPr>
      <w:r>
        <w:rPr>
          <w:rFonts w:ascii="Calibri" w:cs="Calibri" w:eastAsia="Calibri" w:hAnsi="Calibri"/>
          <w:b/>
          <w:bCs/>
          <w:color w:val="2D6CC0"/>
          <w:sz w:val="28"/>
          <w:szCs w:val="28"/>
        </w:rPr>
        <w:t xml:space="preserve">16.10 System Workflow After Deployment</w:t>
      </w:r>
    </w:p>
    <w:p>
      <w:pPr>
        <w:spacing w:after="120" w:line="276" w:lineRule="auto"/>
      </w:pPr>
      <w:r>
        <w:rPr>
          <w:rFonts w:ascii="Calibri" w:cs="Calibri" w:eastAsia="Calibri" w:hAnsi="Calibri"/>
          <w:sz w:val="22"/>
          <w:szCs w:val="22"/>
        </w:rPr>
        <w:t xml:space="preserve">The complete request flow after deployment:</w:t>
      </w:r>
    </w:p>
    <w:p>
      <w:pPr>
        <w:spacing w:after="120" w:line="276" w:lineRule="auto"/>
      </w:pPr>
      <w:r>
        <w:rPr>
          <w:rFonts w:ascii="Calibri" w:cs="Calibri" w:eastAsia="Calibri" w:hAnsi="Calibri"/>
          <w:sz w:val="22"/>
          <w:szCs w:val="22"/>
        </w:rPr>
        <w:t xml:space="preserve">User → Router → React → /api → Router → Backend → Snowflake → Backend → React</w:t>
      </w:r>
    </w:p>
    <w:p>
      <w:pPr>
        <w:spacing w:after="120" w:line="276" w:lineRule="auto"/>
      </w:pPr>
      <w:r>
        <w:rPr>
          <w:rFonts w:ascii="Calibri" w:cs="Calibri" w:eastAsia="Calibri" w:hAnsi="Calibri"/>
          <w:sz w:val="22"/>
          <w:szCs w:val="22"/>
        </w:rPr>
        <w:t xml:space="preserve">The backend executes SQL using the user's Snowflake identity (forwarded via OAuth inside SPCS).</w:t>
      </w:r>
    </w:p>
    <w:p>
      <w:pPr>
        <w:spacing w:after="80"/>
      </w:pPr>
    </w:p>
    <w:p>
      <w:pPr>
        <w:pStyle w:val="Heading2"/>
        <w:spacing w:after="120" w:before="320"/>
      </w:pPr>
      <w:r>
        <w:rPr>
          <w:rFonts w:ascii="Calibri" w:cs="Calibri" w:eastAsia="Calibri" w:hAnsi="Calibri"/>
          <w:b/>
          <w:bCs/>
          <w:color w:val="2D6CC0"/>
          <w:sz w:val="28"/>
          <w:szCs w:val="28"/>
        </w:rPr>
        <w:t xml:space="preserve">16.11 Code Quality &amp; Pre-commit Setup</w:t>
      </w:r>
    </w:p>
    <w:p>
      <w:pPr>
        <w:spacing w:after="120" w:line="276" w:lineRule="auto"/>
      </w:pPr>
      <w:r>
        <w:rPr>
          <w:rFonts w:ascii="Calibri" w:cs="Calibri" w:eastAsia="Calibri" w:hAnsi="Calibri"/>
          <w:sz w:val="22"/>
          <w:szCs w:val="22"/>
        </w:rPr>
        <w:t xml:space="preserve">The React frontend enforces code quality standards through automated tooling.</w:t>
      </w:r>
    </w:p>
    <w:p>
      <w:pPr>
        <w:pStyle w:val="Heading3"/>
        <w:spacing w:after="120" w:before="280"/>
      </w:pPr>
      <w:r>
        <w:rPr>
          <w:rFonts w:ascii="Calibri" w:cs="Calibri" w:eastAsia="Calibri" w:hAnsi="Calibri"/>
          <w:b/>
          <w:bCs/>
          <w:color w:val="2D6CC0"/>
          <w:sz w:val="24"/>
          <w:szCs w:val="24"/>
        </w:rPr>
        <w:t xml:space="preserve">Husky Pre-commit Hooks</w:t>
      </w:r>
    </w:p>
    <w:p>
      <w:pPr>
        <w:spacing w:after="120" w:line="276" w:lineRule="auto"/>
      </w:pPr>
      <w:r>
        <w:rPr>
          <w:rFonts w:ascii="Calibri" w:cs="Calibri" w:eastAsia="Calibri" w:hAnsi="Calibri"/>
          <w:sz w:val="22"/>
          <w:szCs w:val="22"/>
        </w:rPr>
        <w:t xml:space="preserve">Husky is configured to run npm run lint before every git commit. If the lint check fails, the commit is blocked until all errors are resolved. The pre-commit hook was introduced to prevent the accumulation of lint errors; at the time of introduction, 28 existing lint problems (13 errors, 15 warnings) were identified and fixed. Config: .husky/pre-commit.</w:t>
      </w:r>
    </w:p>
    <w:p>
      <w:pPr>
        <w:pStyle w:val="Heading3"/>
        <w:spacing w:after="120" w:before="280"/>
      </w:pPr>
      <w:r>
        <w:rPr>
          <w:rFonts w:ascii="Calibri" w:cs="Calibri" w:eastAsia="Calibri" w:hAnsi="Calibri"/>
          <w:b/>
          <w:bCs/>
          <w:color w:val="2D6CC0"/>
          <w:sz w:val="24"/>
          <w:szCs w:val="24"/>
        </w:rPr>
        <w:t xml:space="preserve">ESLint + TypeScript Rules</w:t>
      </w:r>
    </w:p>
    <w:p>
      <w:pPr>
        <w:spacing w:after="120" w:line="276" w:lineRule="auto"/>
      </w:pPr>
      <w:r>
        <w:rPr>
          <w:rFonts w:ascii="Calibri" w:cs="Calibri" w:eastAsia="Calibri" w:hAnsi="Calibri"/>
          <w:sz w:val="22"/>
          <w:szCs w:val="22"/>
        </w:rPr>
        <w:t xml:space="preserve">Strict TypeScript ESLint rules are configured in eslint.config.js including:</w:t>
      </w:r>
    </w:p>
    <w:p>
      <w:pPr>
        <w:pStyle w:val="ListParagraph"/>
        <w:numPr>
          <w:ilvl w:val="0"/>
          <w:numId w:val="2"/>
        </w:numPr>
        <w:spacing w:after="80" w:line="276" w:lineRule="auto"/>
      </w:pPr>
      <w:r>
        <w:rPr>
          <w:rFonts w:ascii="Calibri" w:cs="Calibri" w:eastAsia="Calibri" w:hAnsi="Calibri"/>
          <w:b w:val="false"/>
          <w:bCs w:val="false"/>
          <w:sz w:val="22"/>
          <w:szCs w:val="22"/>
        </w:rPr>
        <w:t xml:space="preserve">No implicit any — all variables and function parameters must have explicit type annotations.</w:t>
      </w:r>
    </w:p>
    <w:p>
      <w:pPr>
        <w:pStyle w:val="ListParagraph"/>
        <w:numPr>
          <w:ilvl w:val="0"/>
          <w:numId w:val="2"/>
        </w:numPr>
        <w:spacing w:after="80" w:line="276" w:lineRule="auto"/>
      </w:pPr>
      <w:r>
        <w:rPr>
          <w:rFonts w:ascii="Calibri" w:cs="Calibri" w:eastAsia="Calibri" w:hAnsi="Calibri"/>
          <w:b w:val="false"/>
          <w:bCs w:val="false"/>
          <w:sz w:val="22"/>
          <w:szCs w:val="22"/>
        </w:rPr>
        <w:t xml:space="preserve">Consistent type imports — type-only imports use the import type syntax.</w:t>
      </w:r>
    </w:p>
    <w:p>
      <w:pPr>
        <w:pStyle w:val="ListParagraph"/>
        <w:numPr>
          <w:ilvl w:val="0"/>
          <w:numId w:val="2"/>
        </w:numPr>
        <w:spacing w:after="80" w:line="276" w:lineRule="auto"/>
      </w:pPr>
      <w:r>
        <w:rPr>
          <w:rFonts w:ascii="Calibri" w:cs="Calibri" w:eastAsia="Calibri" w:hAnsi="Calibri"/>
          <w:b w:val="false"/>
          <w:bCs w:val="false"/>
          <w:sz w:val="22"/>
          <w:szCs w:val="22"/>
        </w:rPr>
        <w:t xml:space="preserve">Explicit return types required on all exported functions.</w:t>
      </w:r>
    </w:p>
    <w:p>
      <w:pPr>
        <w:pStyle w:val="ListParagraph"/>
        <w:numPr>
          <w:ilvl w:val="0"/>
          <w:numId w:val="2"/>
        </w:numPr>
        <w:spacing w:after="80" w:line="276" w:lineRule="auto"/>
      </w:pPr>
      <w:r>
        <w:rPr>
          <w:rFonts w:ascii="Calibri" w:cs="Calibri" w:eastAsia="Calibri" w:hAnsi="Calibri"/>
          <w:b w:val="false"/>
          <w:bCs w:val="false"/>
          <w:sz w:val="22"/>
          <w:szCs w:val="22"/>
        </w:rPr>
        <w:t xml:space="preserve">Over 200 individual lint issues were resolved to bring the codebase to a clean baseline.</w:t>
      </w:r>
    </w:p>
    <w:p>
      <w:pPr>
        <w:pStyle w:val="Heading3"/>
        <w:spacing w:after="120" w:before="280"/>
      </w:pPr>
      <w:r>
        <w:rPr>
          <w:rFonts w:ascii="Calibri" w:cs="Calibri" w:eastAsia="Calibri" w:hAnsi="Calibri"/>
          <w:b/>
          <w:bCs/>
          <w:color w:val="2D6CC0"/>
          <w:sz w:val="24"/>
          <w:szCs w:val="24"/>
        </w:rPr>
        <w:t xml:space="preserve">TypeScript Configuration</w:t>
      </w:r>
    </w:p>
    <w:p>
      <w:pPr>
        <w:spacing w:after="120" w:line="276" w:lineRule="auto"/>
      </w:pPr>
      <w:r>
        <w:rPr>
          <w:rFonts w:ascii="Calibri" w:cs="Calibri" w:eastAsia="Calibri" w:hAnsi="Calibri"/>
          <w:sz w:val="22"/>
          <w:szCs w:val="22"/>
        </w:rPr>
        <w:t xml:space="preserve">The following compiler options are set to false in tsconfig.json to balance strictness with practical usage:</w:t>
      </w:r>
    </w:p>
    <w:p>
      <w:pPr>
        <w:pStyle w:val="ListParagraph"/>
        <w:numPr>
          <w:ilvl w:val="0"/>
          <w:numId w:val="2"/>
        </w:numPr>
        <w:spacing w:after="80" w:line="276" w:lineRule="auto"/>
      </w:pPr>
      <w:r>
        <w:rPr>
          <w:rFonts w:ascii="Calibri" w:cs="Calibri" w:eastAsia="Calibri" w:hAnsi="Calibri"/>
          <w:b w:val="false"/>
          <w:bCs w:val="false"/>
          <w:sz w:val="22"/>
          <w:szCs w:val="22"/>
        </w:rPr>
        <w:t xml:space="preserve">noPropertyAccessFromIndexSignature: false — allows property access via dot notation on index-signature types.</w:t>
      </w:r>
    </w:p>
    <w:p>
      <w:pPr>
        <w:pStyle w:val="ListParagraph"/>
        <w:numPr>
          <w:ilvl w:val="0"/>
          <w:numId w:val="2"/>
        </w:numPr>
        <w:spacing w:after="80" w:line="276" w:lineRule="auto"/>
      </w:pPr>
      <w:r>
        <w:rPr>
          <w:rFonts w:ascii="Calibri" w:cs="Calibri" w:eastAsia="Calibri" w:hAnsi="Calibri"/>
          <w:b w:val="false"/>
          <w:bCs w:val="false"/>
          <w:sz w:val="22"/>
          <w:szCs w:val="22"/>
        </w:rPr>
        <w:t xml:space="preserve">exactOptionalPropertyTypes: false — allows undefined to be assigned to optional properties without requiring an explicit undefined union type.</w:t>
      </w:r>
    </w:p>
    <w:p>
      <w:pPr>
        <w:pStyle w:val="Heading3"/>
        <w:spacing w:after="120" w:before="280"/>
      </w:pPr>
      <w:r>
        <w:rPr>
          <w:rFonts w:ascii="Calibri" w:cs="Calibri" w:eastAsia="Calibri" w:hAnsi="Calibri"/>
          <w:b/>
          <w:bCs/>
          <w:color w:val="2D6CC0"/>
          <w:sz w:val="24"/>
          <w:szCs w:val="24"/>
        </w:rPr>
        <w:t xml:space="preserve">Running Lint Manually</w:t>
      </w:r>
    </w:p>
    <w:p>
      <w:pPr>
        <w:pBdr>
          <w:left w:val="single" w:color="2D6CC0" w:sz="12"/>
        </w:pBdr>
        <w:shd w:fill="F4F4F4" w:val="clear"/>
        <w:spacing w:after="120"/>
        <w:ind w:left="360"/>
      </w:pPr>
      <w:r>
        <w:rPr>
          <w:rFonts w:ascii="Courier New" w:cs="Courier New" w:eastAsia="Courier New" w:hAnsi="Courier New"/>
          <w:color w:val="333333"/>
          <w:sz w:val="18"/>
          <w:szCs w:val="18"/>
        </w:rPr>
        <w:t xml:space="preserve">npm run lint</w:t>
      </w:r>
    </w:p>
    <w:p>
      <w:pPr>
        <w:pStyle w:val="Heading3"/>
        <w:spacing w:after="120" w:before="280"/>
      </w:pPr>
      <w:r>
        <w:rPr>
          <w:rFonts w:ascii="Calibri" w:cs="Calibri" w:eastAsia="Calibri" w:hAnsi="Calibri"/>
          <w:b/>
          <w:bCs/>
          <w:color w:val="2D6CC0"/>
          <w:sz w:val="24"/>
          <w:szCs w:val="24"/>
        </w:rPr>
        <w:t xml:space="preserve">Developer Docs</w:t>
      </w:r>
    </w:p>
    <w:p>
      <w:pPr>
        <w:spacing w:after="120" w:line="276" w:lineRule="auto"/>
      </w:pPr>
      <w:r>
        <w:rPr>
          <w:rFonts w:ascii="Calibri" w:cs="Calibri" w:eastAsia="Calibri" w:hAnsi="Calibri"/>
          <w:sz w:val="22"/>
          <w:szCs w:val="22"/>
        </w:rPr>
        <w:t xml:space="preserve">Markdown documentation files are maintained under docs/ describing how to add new Node.js API routes/controllers and corresponding React API endpoint files, serving as onboarding guides for new contributors.</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17. Utility Functions</w:t>
      </w:r>
    </w:p>
    <w:p>
      <w:pPr>
        <w:pStyle w:val="Heading2"/>
        <w:spacing w:after="120" w:before="320"/>
      </w:pPr>
      <w:r>
        <w:rPr>
          <w:rFonts w:ascii="Calibri" w:cs="Calibri" w:eastAsia="Calibri" w:hAnsi="Calibri"/>
          <w:b/>
          <w:bCs/>
          <w:color w:val="2D6CC0"/>
          <w:sz w:val="28"/>
          <w:szCs w:val="28"/>
        </w:rPr>
        <w:t xml:space="preserve">17.1 textUtils.ts</w:t>
      </w:r>
    </w:p>
    <w:p>
      <w:pPr>
        <w:spacing w:after="120" w:line="276" w:lineRule="auto"/>
      </w:pPr>
      <w:r>
        <w:rPr>
          <w:rFonts w:ascii="Calibri" w:cs="Calibri" w:eastAsia="Calibri" w:hAnsi="Calibri"/>
          <w:sz w:val="22"/>
          <w:szCs w:val="22"/>
        </w:rPr>
        <w:t xml:space="preserve">Contains all text transformation utilities for processing chatbot response strings before rendering:</w:t>
      </w:r>
    </w:p>
    <w:p>
      <w:pPr>
        <w:pStyle w:val="ListParagraph"/>
        <w:numPr>
          <w:ilvl w:val="0"/>
          <w:numId w:val="2"/>
        </w:numPr>
        <w:spacing w:after="80" w:line="276" w:lineRule="auto"/>
      </w:pPr>
      <w:r>
        <w:rPr>
          <w:rFonts w:ascii="Calibri" w:cs="Calibri" w:eastAsia="Calibri" w:hAnsi="Calibri"/>
          <w:b w:val="false"/>
          <w:bCs w:val="false"/>
          <w:sz w:val="22"/>
          <w:szCs w:val="22"/>
        </w:rPr>
        <w:t xml:space="preserve">stripThinkingTags(text) — Removes &lt;think&gt;...&lt;/think&gt; reasoning blocks using three pattern variants (raw HTML tags, HTML-entity-encoded tags, and bracket-notation tags). All patterns use case-insensitive, multiline regex with non-greedy quantifiers.</w:t>
      </w:r>
    </w:p>
    <w:p>
      <w:pPr>
        <w:pStyle w:val="ListParagraph"/>
        <w:numPr>
          <w:ilvl w:val="0"/>
          <w:numId w:val="2"/>
        </w:numPr>
        <w:spacing w:after="80" w:line="276" w:lineRule="auto"/>
      </w:pPr>
      <w:r>
        <w:rPr>
          <w:rFonts w:ascii="Calibri" w:cs="Calibri" w:eastAsia="Calibri" w:hAnsi="Calibri"/>
          <w:b w:val="false"/>
          <w:bCs w:val="false"/>
          <w:sz w:val="22"/>
          <w:szCs w:val="22"/>
        </w:rPr>
        <w:t xml:space="preserve">normalizeBotText(raw) — Normalises a raw response string for Markdown rendering by extracting and saving fenced code blocks to a temporary array, collapsing sequences of 3+ consecutive newlines to 2, restoring code block placeholders, and trimming the result.</w:t>
      </w:r>
    </w:p>
    <w:p>
      <w:pPr>
        <w:pStyle w:val="ListParagraph"/>
        <w:numPr>
          <w:ilvl w:val="0"/>
          <w:numId w:val="2"/>
        </w:numPr>
        <w:spacing w:after="80" w:line="276" w:lineRule="auto"/>
      </w:pPr>
      <w:r>
        <w:rPr>
          <w:rFonts w:ascii="Calibri" w:cs="Calibri" w:eastAsia="Calibri" w:hAnsi="Calibri"/>
          <w:b w:val="false"/>
          <w:bCs w:val="false"/>
          <w:sz w:val="22"/>
          <w:szCs w:val="22"/>
        </w:rPr>
        <w:t xml:space="preserve">formatBotMessage(text) — Composes stripThinkingTags() and normalizeBotText() into a single call, applied to every bot response before it is passed to react-markdown.</w:t>
      </w:r>
    </w:p>
    <w:p>
      <w:pPr>
        <w:spacing w:after="80"/>
      </w:pPr>
    </w:p>
    <w:p>
      <w:pPr>
        <w:pStyle w:val="Heading2"/>
        <w:spacing w:after="120" w:before="320"/>
      </w:pPr>
      <w:r>
        <w:rPr>
          <w:rFonts w:ascii="Calibri" w:cs="Calibri" w:eastAsia="Calibri" w:hAnsi="Calibri"/>
          <w:b/>
          <w:bCs/>
          <w:color w:val="2D6CC0"/>
          <w:sz w:val="28"/>
          <w:szCs w:val="28"/>
        </w:rPr>
        <w:t xml:space="preserve">17.2 chartFormatters.ts</w:t>
      </w:r>
    </w:p>
    <w:p>
      <w:pPr>
        <w:spacing w:after="120" w:line="276" w:lineRule="auto"/>
      </w:pPr>
      <w:r>
        <w:rPr>
          <w:rFonts w:ascii="Calibri" w:cs="Calibri" w:eastAsia="Calibri" w:hAnsi="Calibri"/>
          <w:sz w:val="22"/>
          <w:szCs w:val="22"/>
        </w:rPr>
        <w:t xml:space="preserve">Provides number formatting utilities for chart axis labels. The formatNumber() function converts large numbers to compact notation:</w:t>
      </w:r>
    </w:p>
    <w:p>
      <w:pPr>
        <w:pStyle w:val="ListParagraph"/>
        <w:numPr>
          <w:ilvl w:val="0"/>
          <w:numId w:val="2"/>
        </w:numPr>
        <w:spacing w:after="80" w:line="276" w:lineRule="auto"/>
      </w:pPr>
      <w:r>
        <w:rPr>
          <w:rFonts w:ascii="Calibri" w:cs="Calibri" w:eastAsia="Calibri" w:hAnsi="Calibri"/>
          <w:b w:val="false"/>
          <w:bCs w:val="false"/>
          <w:sz w:val="22"/>
          <w:szCs w:val="22"/>
        </w:rPr>
        <w:t xml:space="preserve">Values &gt;= 1,000,000 → formatted as decimal with one fractional digit followed by 'M' (e.g. 1,200,000 → '1.2M').</w:t>
      </w:r>
    </w:p>
    <w:p>
      <w:pPr>
        <w:pStyle w:val="ListParagraph"/>
        <w:numPr>
          <w:ilvl w:val="0"/>
          <w:numId w:val="2"/>
        </w:numPr>
        <w:spacing w:after="80" w:line="276" w:lineRule="auto"/>
      </w:pPr>
      <w:r>
        <w:rPr>
          <w:rFonts w:ascii="Calibri" w:cs="Calibri" w:eastAsia="Calibri" w:hAnsi="Calibri"/>
          <w:b w:val="false"/>
          <w:bCs w:val="false"/>
          <w:sz w:val="22"/>
          <w:szCs w:val="22"/>
        </w:rPr>
        <w:t xml:space="preserve">Values &gt;= 1,000 → formatted similarly with 'k'.</w:t>
      </w:r>
    </w:p>
    <w:p>
      <w:pPr>
        <w:pStyle w:val="ListParagraph"/>
        <w:numPr>
          <w:ilvl w:val="0"/>
          <w:numId w:val="2"/>
        </w:numPr>
        <w:spacing w:after="80" w:line="276" w:lineRule="auto"/>
      </w:pPr>
      <w:r>
        <w:rPr>
          <w:rFonts w:ascii="Calibri" w:cs="Calibri" w:eastAsia="Calibri" w:hAnsi="Calibri"/>
          <w:b w:val="false"/>
          <w:bCs w:val="false"/>
          <w:sz w:val="22"/>
          <w:szCs w:val="22"/>
        </w:rPr>
        <w:t xml:space="preserve">Smaller values → returned as plain integer strings.</w:t>
      </w:r>
    </w:p>
    <w:p>
      <w:pPr>
        <w:spacing w:after="120" w:line="276" w:lineRule="auto"/>
      </w:pPr>
      <w:r>
        <w:rPr>
          <w:rFonts w:ascii="Calibri" w:cs="Calibri" w:eastAsia="Calibri" w:hAnsi="Calibri"/>
          <w:sz w:val="22"/>
          <w:szCs w:val="22"/>
        </w:rPr>
        <w:t xml:space="preserve">This formatter is used as the yAxisFormatter prop on the TokenTrendLineChart component.</w:t>
      </w:r>
    </w:p>
    <w:p>
      <w:pPr>
        <w:spacing w:after="80"/>
      </w:pPr>
    </w:p>
    <w:p>
      <w:pPr>
        <w:pStyle w:val="Heading2"/>
        <w:spacing w:after="120" w:before="320"/>
      </w:pPr>
      <w:r>
        <w:rPr>
          <w:rFonts w:ascii="Calibri" w:cs="Calibri" w:eastAsia="Calibri" w:hAnsi="Calibri"/>
          <w:b/>
          <w:bCs/>
          <w:color w:val="2D6CC0"/>
          <w:sz w:val="28"/>
          <w:szCs w:val="28"/>
        </w:rPr>
        <w:t xml:space="preserve">17.3 tokenUtils.ts</w:t>
      </w:r>
    </w:p>
    <w:p>
      <w:pPr>
        <w:spacing w:after="120" w:line="276" w:lineRule="auto"/>
      </w:pPr>
      <w:r>
        <w:rPr>
          <w:rFonts w:ascii="Calibri" w:cs="Calibri" w:eastAsia="Calibri" w:hAnsi="Calibri"/>
          <w:sz w:val="22"/>
          <w:szCs w:val="22"/>
        </w:rPr>
        <w:t xml:space="preserve">Provides an approximate token count utility (countTokensApprox) for estimating how many tokens a text string contains. Because the application does not ship a tokenizer library, the function approximates by splitting on whitespace and further splitting on common punctuation characters. This approach gives a reasonable approximation of subword tokenisation for most English prose and code.</w:t>
      </w:r>
    </w:p>
    <w:p>
      <w:pPr>
        <w:spacing w:after="80"/>
      </w:pPr>
    </w:p>
    <w:p>
      <w:pPr>
        <w:pStyle w:val="Heading2"/>
        <w:spacing w:after="120" w:before="320"/>
      </w:pPr>
      <w:r>
        <w:rPr>
          <w:rFonts w:ascii="Calibri" w:cs="Calibri" w:eastAsia="Calibri" w:hAnsi="Calibri"/>
          <w:b/>
          <w:bCs/>
          <w:color w:val="2D6CC0"/>
          <w:sz w:val="28"/>
          <w:szCs w:val="28"/>
        </w:rPr>
        <w:t xml:space="preserve">17.4 sessionUtils.ts</w:t>
      </w:r>
    </w:p>
    <w:p>
      <w:pPr>
        <w:spacing w:after="120" w:line="276" w:lineRule="auto"/>
      </w:pPr>
      <w:r>
        <w:rPr>
          <w:rFonts w:ascii="Calibri" w:cs="Calibri" w:eastAsia="Calibri" w:hAnsi="Calibri"/>
          <w:sz w:val="22"/>
          <w:szCs w:val="22"/>
        </w:rPr>
        <w:t xml:space="preserve">Provides the getSignedInUserId() utility for reading the authenticated user's numeric ID from localStorage. It checks three key name variants in sequence (user_id, userId, USER_ID) to handle differences between localStorage key casing conventions across different integration points. The numeric value is validated with Number.isFinite() before being returned. Returns null if no valid user ID is found or if a localStorage access error occurs.</w:t>
      </w:r>
    </w:p>
    <w:p>
      <w:pPr>
        <w:spacing w:after="80"/>
      </w:pPr>
    </w:p>
    <w:p>
      <w:r>
        <w:br w:type="page"/>
      </w:r>
    </w:p>
    <w:p>
      <w:pPr>
        <w:pStyle w:val="Heading1"/>
        <w:pBdr>
          <w:bottom w:val="single" w:color="2D6CC0" w:sz="6" w:space="1"/>
        </w:pBdr>
        <w:spacing w:after="120" w:before="400"/>
      </w:pPr>
      <w:r>
        <w:rPr>
          <w:rFonts w:ascii="Calibri" w:cs="Calibri" w:eastAsia="Calibri" w:hAnsi="Calibri"/>
          <w:b/>
          <w:bCs/>
          <w:color w:val="1F4E79"/>
          <w:sz w:val="36"/>
          <w:szCs w:val="36"/>
        </w:rPr>
        <w:t xml:space="preserve">18. Known Issues and Refactoring Backlog</w:t>
      </w:r>
    </w:p>
    <w:p>
      <w:pPr>
        <w:pStyle w:val="Heading2"/>
        <w:spacing w:after="120" w:before="320"/>
      </w:pPr>
      <w:r>
        <w:rPr>
          <w:rFonts w:ascii="Calibri" w:cs="Calibri" w:eastAsia="Calibri" w:hAnsi="Calibri"/>
          <w:b/>
          <w:bCs/>
          <w:color w:val="2D6CC0"/>
          <w:sz w:val="28"/>
          <w:szCs w:val="28"/>
        </w:rPr>
        <w:t xml:space="preserve">18.1 Files Using Direct fetch() or Bare Axios</w:t>
      </w:r>
    </w:p>
    <w:p>
      <w:pPr>
        <w:spacing w:after="120" w:line="276" w:lineRule="auto"/>
      </w:pPr>
      <w:r>
        <w:rPr>
          <w:rFonts w:ascii="Calibri" w:cs="Calibri" w:eastAsia="Calibri" w:hAnsi="Calibri"/>
          <w:sz w:val="22"/>
          <w:szCs w:val="22"/>
        </w:rPr>
        <w:t xml:space="preserve">The following files bypass apiClient and make HTTP calls directly, meaning they do not benefit from centralised error handling, automatic notification toasts, structured EnhancedApiError objects, or the response-unwrapping pattern. All should be migrated to apiClient.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19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File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Issue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Priority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src/hooks/useTemplates.ts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Uses raw fetch() for template data loading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High</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src/pages/ServiceMonitoring/ServiceMonitoring.tsx</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Uses raw fetch() for all metric data; no error boundary on failure</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High</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src/pages/CreatePipeline/CreatePipeline.tsx</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Uses raw fetch() for Snowflake metadata (DB/schema/table lists)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High</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src/pages/TalkToDocument/TalkToDocument.tsx</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Uses raw fetch() or bare Axios for document query requests</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High</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src/api/endpoints/models.api.ts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Entire module uses fetch() with a hardcoded base URL; not configurable via environment variable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High</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src/components/ui/ModelComparisonPanel/ModelComparisonPanel.tsx</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Uses raw fetch() for CSAT and KPI data; no toast on failure</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src/pages/ErrorMonitoring/ErrorMonitoring.tsx</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Uses bare Axios instance; flagged for apiClient migration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Medium</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src/pages/PromptGenerator/PromptGenerator.tsx</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Uses bare Axios for all prompt CRUD operations</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src/pages/Settings/Settings.tsx</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Email notification save uses a direct fetch() call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Low</w:t>
            </w:r>
          </w:p>
        </w:tc>
      </w:tr>
    </w:tbl>
    <w:p>
      <w:pPr>
        <w:spacing w:after="80"/>
      </w:pPr>
    </w:p>
    <w:p>
      <w:pPr>
        <w:pStyle w:val="Heading2"/>
        <w:spacing w:after="120" w:before="320"/>
      </w:pPr>
      <w:r>
        <w:rPr>
          <w:rFonts w:ascii="Calibri" w:cs="Calibri" w:eastAsia="Calibri" w:hAnsi="Calibri"/>
          <w:b/>
          <w:bCs/>
          <w:color w:val="2D6CC0"/>
          <w:sz w:val="28"/>
          <w:szCs w:val="28"/>
        </w:rPr>
        <w:t xml:space="preserve">18.2 ChatbotContext localStorage Persistence</w:t>
      </w:r>
    </w:p>
    <w:p>
      <w:pPr>
        <w:spacing w:after="120" w:line="276" w:lineRule="auto"/>
      </w:pPr>
      <w:r>
        <w:rPr>
          <w:rFonts w:ascii="Calibri" w:cs="Calibri" w:eastAsia="Calibri" w:hAnsi="Calibri"/>
          <w:sz w:val="22"/>
          <w:szCs w:val="22"/>
        </w:rPr>
        <w:t xml:space="preserve">The ChatbotContext previously included a useEffect that read the selected chatbot from localStorage on mount, restoring the user's last session state after a page refresh. This persistence logic is currently commented out pending a decision on whether session continuity is a desired product behaviour. When the feature is restored, the corresponding write effect (saving the chatbot selection to localStorage on change) will also need to be re-enabled alongside it.</w:t>
      </w:r>
    </w:p>
    <w:p>
      <w:pPr>
        <w:spacing w:after="80"/>
      </w:pPr>
    </w:p>
    <w:p>
      <w:pPr>
        <w:pStyle w:val="Heading2"/>
        <w:spacing w:after="120" w:before="320"/>
      </w:pPr>
      <w:r>
        <w:rPr>
          <w:rFonts w:ascii="Calibri" w:cs="Calibri" w:eastAsia="Calibri" w:hAnsi="Calibri"/>
          <w:b/>
          <w:bCs/>
          <w:color w:val="2D6CC0"/>
          <w:sz w:val="28"/>
          <w:szCs w:val="28"/>
        </w:rPr>
        <w:t xml:space="preserve">18.3 Mock Data Still in Use</w:t>
      </w:r>
    </w:p>
    <w:p>
      <w:pPr>
        <w:pStyle w:val="ListParagraph"/>
        <w:numPr>
          <w:ilvl w:val="0"/>
          <w:numId w:val="2"/>
        </w:numPr>
        <w:spacing w:after="80" w:line="276" w:lineRule="auto"/>
      </w:pPr>
      <w:r>
        <w:rPr>
          <w:rFonts w:ascii="Calibri" w:cs="Calibri" w:eastAsia="Calibri" w:hAnsi="Calibri"/>
          <w:b w:val="false"/>
          <w:bCs w:val="false"/>
          <w:sz w:val="22"/>
          <w:szCs w:val="22"/>
        </w:rPr>
        <w:t xml:space="preserve">Home.tsx — Some KPI metric fields fall back to locally defined mock values when the corresponding API response fields are absent or null, masking data gaps from the backend.</w:t>
      </w:r>
    </w:p>
    <w:p>
      <w:pPr>
        <w:pStyle w:val="ListParagraph"/>
        <w:numPr>
          <w:ilvl w:val="0"/>
          <w:numId w:val="2"/>
        </w:numPr>
        <w:spacing w:after="80" w:line="276" w:lineRule="auto"/>
      </w:pPr>
      <w:r>
        <w:rPr>
          <w:rFonts w:ascii="Calibri" w:cs="Calibri" w:eastAsia="Calibri" w:hAnsi="Calibri"/>
          <w:b w:val="false"/>
          <w:bCs w:val="false"/>
          <w:sz w:val="22"/>
          <w:szCs w:val="22"/>
        </w:rPr>
        <w:t xml:space="preserve">ServiceMonitoring.tsx — All operational metrics (request rates, error rates, latency percentiles, uptime) are sourced from src/data/mockMonitoringData.ts. The real-time monitoring API integration has not been implemented.</w:t>
      </w:r>
    </w:p>
    <w:p>
      <w:pPr>
        <w:pStyle w:val="ListParagraph"/>
        <w:numPr>
          <w:ilvl w:val="0"/>
          <w:numId w:val="2"/>
        </w:numPr>
        <w:spacing w:after="80" w:line="276" w:lineRule="auto"/>
      </w:pPr>
      <w:r>
        <w:rPr>
          <w:rFonts w:ascii="Calibri" w:cs="Calibri" w:eastAsia="Calibri" w:hAnsi="Calibri"/>
          <w:b w:val="false"/>
          <w:bCs w:val="false"/>
          <w:sz w:val="22"/>
          <w:szCs w:val="22"/>
        </w:rPr>
        <w:t xml:space="preserve">ErrorMonitoring.tsx — All error event data is sourced from src/data/mockErrorData.ts. The production Sentry or backend error log integration is pending.</w:t>
      </w:r>
    </w:p>
    <w:p>
      <w:pPr>
        <w:spacing w:after="8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CC0" w:sz="6" w:space="1"/>
      </w:pBdr>
      <w:tabs>
        <w:tab w:val="right" w:pos="9360"/>
      </w:tabs>
    </w:pPr>
    <w:r>
      <w:rPr>
        <w:rFonts w:ascii="Calibri" w:cs="Calibri" w:eastAsia="Calibri" w:hAnsi="Calibri"/>
        <w:color w:val="888888"/>
        <w:sz w:val="16"/>
        <w:szCs w:val="16"/>
      </w:rPr>
      <w:t xml:space="preserve">RAISE — Rapid AI Solution Engine | Snowflake + Capgemini | March 2026</w:t>
    </w:r>
    <w:r>
      <w:rPr>
        <w:rFonts w:ascii="Calibri" w:cs="Calibri" w:eastAsia="Calibri" w:hAnsi="Calibri"/>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CC0" w:sz="6" w:space="1"/>
      </w:pBdr>
      <w:tabs>
        <w:tab w:val="right" w:pos="9360"/>
      </w:tabs>
    </w:pPr>
    <w:r>
      <w:rPr>
        <w:rFonts w:ascii="Calibri" w:cs="Calibri" w:eastAsia="Calibri" w:hAnsi="Calibri"/>
        <w:i/>
        <w:iCs/>
        <w:color w:val="666666"/>
        <w:sz w:val="18"/>
        <w:szCs w:val="18"/>
      </w:rPr>
      <w:t xml:space="preserve">AI Scalability Platform — Application Flow &amp; Technical Reference</w:t>
    </w:r>
    <w:r>
      <w:rPr>
        <w:sz w:val="18"/>
        <w:szCs w:val="18"/>
      </w:rPr>
      <w:t xml:space="preserve">	</w:t>
    </w:r>
    <w:r>
      <w:rPr>
        <w:rFonts w:ascii="Calibri" w:cs="Calibri" w:eastAsia="Calibri" w:hAnsi="Calibri"/>
        <w:color w:val="888888"/>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2D6CC0"/>
      <w:sz w:val="28"/>
      <w:szCs w:val="28"/>
    </w:rPr>
  </w:style>
  <w:style w:type="paragraph" w:styleId="Heading3">
    <w:name w:val="Heading 3"/>
    <w:basedOn w:val="Normal"/>
    <w:next w:val="Normal"/>
    <w:qFormat/>
    <w:pPr>
      <w:spacing w:after="100" w:before="280"/>
      <w:outlineLvl w:val="2"/>
    </w:pPr>
    <w:rPr>
      <w:rFonts w:ascii="Calibri" w:cs="Calibri" w:eastAsia="Calibri" w:hAnsi="Calibri"/>
      <w:b/>
      <w:bCs/>
      <w:color w:val="2D6CC0"/>
      <w:sz w:val="24"/>
      <w:szCs w:val="24"/>
    </w:rPr>
  </w:style>
  <w:style w:type="paragraph" w:styleId="Heading4">
    <w:name w:val="Heading 4"/>
    <w:basedOn w:val="Normal"/>
    <w:next w:val="Normal"/>
    <w:qFormat/>
    <w:pPr>
      <w:spacing w:after="80" w:before="240"/>
      <w:outlineLvl w:val="3"/>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2026-03-12T10:55:30.370Z</dcterms:created>
  <dcterms:modified xsi:type="dcterms:W3CDTF">2026-03-12T10:55:30.371Z</dcterms:modified>
</cp:coreProperties>
</file>

<file path=docProps/custom.xml><?xml version="1.0" encoding="utf-8"?>
<Properties xmlns="http://schemas.openxmlformats.org/officeDocument/2006/custom-properties" xmlns:vt="http://schemas.openxmlformats.org/officeDocument/2006/docPropsVTypes"/>
</file>