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E262D">
      <w:pPr>
        <w:pStyle w:val="2"/>
        <w:bidi w:val="0"/>
        <w:spacing w:line="360" w:lineRule="auto"/>
        <w:jc w:val="center"/>
        <w:rPr>
          <w:rFonts w:hint="default" w:ascii="Times New Roman" w:hAnsi="Times New Roman" w:eastAsia="TimesNewRomanPS-BoldMT" w:cs="Times New Roman"/>
          <w:b w:val="0"/>
          <w:bCs w:val="0"/>
          <w:color w:val="000000"/>
          <w:kern w:val="0"/>
          <w:sz w:val="28"/>
          <w:szCs w:val="28"/>
          <w:lang w:val="en-US" w:eastAsia="zh-CN" w:bidi="ar"/>
        </w:rPr>
      </w:pPr>
      <w:r>
        <w:rPr>
          <w:rFonts w:hint="default" w:ascii="Times New Roman" w:hAnsi="Times New Roman" w:cs="Times New Roman"/>
          <w:sz w:val="28"/>
          <w:szCs w:val="28"/>
          <w:lang w:val="en-US" w:eastAsia="zh-CN"/>
        </w:rPr>
        <w:t>CHAPTER ONE: INTRODUCTION</w:t>
      </w:r>
    </w:p>
    <w:p w14:paraId="17D7F29A">
      <w:pPr>
        <w:pStyle w:val="3"/>
        <w:bidi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1.1 Overview  </w:t>
      </w:r>
    </w:p>
    <w:p w14:paraId="4D7A1F44">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The Muslim Students’ Society of Nigeria (MSSN) plays a vital role in providing religious guidance, educational resources, and community support to Muslim students across tertiary institutions in Nigeria. Despite its importance, many MSSN chapters still rely on fragmented and ad-hoc tools such as personal drives, WhatsApp groups, paper records, and informal cloud folders for managing teaching materials, official announcements, and donation drives. This project proposes the design and implementation of a secure, role-based web application that serves as a unified digital repository integrating content management, official communication, and online donation processing tailored specifically to the operational and governance needs of MSSN.</w:t>
      </w:r>
    </w:p>
    <w:p w14:paraId="699D1559">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1.2 Background and Motivation  </w:t>
      </w:r>
    </w:p>
    <w:p w14:paraId="755B4609">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The rapid shift toward digital operations in student and faith-based organizations has exposed significant gaps in how MSSN chapters preserve institutional knowledge, communicate directives, and mobilize resources. Valuable Islamic educational materials, historical documents, and internal guidelines are often scattered across individual devices or informal storage solutions, leading to loss of institutional memory and inconsistent knowledge dissemination. Similarly, fundraising efforts remain largely manual or dependent on unreliable channels, while official announcements suffer from poor traceability and reach. The absence of a centralized, secure, and role-aware platform hinders operational efficiency and limits the society’s ability to fulfill its mandate effectively in the digital age. This project is therefore motivated by the need to provide MSSN with a sustainable, accessible, and governed digital infrastructure.</w:t>
      </w:r>
    </w:p>
    <w:p w14:paraId="264AE500">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1.3 Statement of the Problem  </w:t>
      </w:r>
    </w:p>
    <w:p w14:paraId="586A5985">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MSSN chapters currently face the following critical challenges due to decentralized and informal information management practices:  </w:t>
      </w:r>
    </w:p>
    <w:p w14:paraId="255C8A49">
      <w:pPr>
        <w:numPr>
          <w:ilvl w:val="0"/>
          <w:numId w:val="11"/>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Lack of centralized storage for religious and educational materials, resulting in difficulty locating resources and risk of permanent loss.  </w:t>
      </w:r>
    </w:p>
    <w:p w14:paraId="40F57B7B">
      <w:pPr>
        <w:numPr>
          <w:ilvl w:val="0"/>
          <w:numId w:val="11"/>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Inefficient and insecure donation collection processes that limit fundraising potential and lack proper audit trails.  </w:t>
      </w:r>
    </w:p>
    <w:p w14:paraId="4165207A">
      <w:pPr>
        <w:numPr>
          <w:ilvl w:val="0"/>
          <w:numId w:val="11"/>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Fragmented communication channels for official announcements, leading to delays, miscommunication, and poor record-keeping among executives and members.  </w:t>
      </w:r>
    </w:p>
    <w:p w14:paraId="0B3A4D06">
      <w:pPr>
        <w:numPr>
          <w:ilvl w:val="0"/>
          <w:numId w:val="11"/>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Absence of a unified digital platform that integrates content management, communication, and fundraising with proper access control.  </w:t>
      </w:r>
    </w:p>
    <w:p w14:paraId="4FA675AD">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These issues collectively contribute to operational inefficiency, reduced stakeholder trust, and missed opportunities for growth and impact.</w:t>
      </w:r>
    </w:p>
    <w:p w14:paraId="5748B3E9">
      <w:pPr>
        <w:pStyle w:val="3"/>
        <w:bidi w:val="0"/>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cs="Times New Roman"/>
          <w:sz w:val="24"/>
          <w:szCs w:val="24"/>
          <w:lang w:val="en-US" w:eastAsia="zh-CN"/>
        </w:rPr>
        <w:t xml:space="preserve">1.4 Aim and Objectives  </w:t>
      </w:r>
    </w:p>
    <w:p w14:paraId="2DC4A663">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Aim: </w:t>
      </w:r>
      <w:r>
        <w:rPr>
          <w:rFonts w:hint="default" w:ascii="Times New Roman" w:hAnsi="Times New Roman" w:eastAsia="TimesNewRomanPS-BoldMT" w:cs="Times New Roman"/>
          <w:b w:val="0"/>
          <w:bCs w:val="0"/>
          <w:color w:val="000000"/>
          <w:kern w:val="0"/>
          <w:sz w:val="24"/>
          <w:szCs w:val="24"/>
          <w:lang w:val="en-US" w:eastAsia="zh-CN" w:bidi="ar"/>
        </w:rPr>
        <w:t>To design and implement a secure, role-based web application that serves as a digital repository for the Muslim Students’ Society of Nigeria (MSSN), integrating content management, official announcements, and online donation processing.</w:t>
      </w:r>
    </w:p>
    <w:p w14:paraId="6F46C4F9">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269EA9D0">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Objective: </w:t>
      </w:r>
      <w:r>
        <w:rPr>
          <w:rFonts w:hint="default" w:ascii="Times New Roman" w:hAnsi="Times New Roman" w:eastAsia="TimesNewRomanPS-BoldMT" w:cs="Times New Roman"/>
          <w:b w:val="0"/>
          <w:bCs w:val="0"/>
          <w:color w:val="000000"/>
          <w:kern w:val="0"/>
          <w:sz w:val="24"/>
          <w:szCs w:val="24"/>
          <w:lang w:val="en-US" w:eastAsia="zh-CN" w:bidi="ar"/>
        </w:rPr>
        <w:t>To develop a web-based repository that streamlines content management, enhances internal communication, and facilitates secure online donations for MSSN. The following objectives should also be considered;</w:t>
      </w:r>
    </w:p>
    <w:p w14:paraId="231D4A6E">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To implement upload, metadata tagging, full-text search, and role-based access control for at least three content types (PDF, audio, image).  </w:t>
      </w:r>
    </w:p>
    <w:p w14:paraId="683D3B9A">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To develop an announcements module with targeted delivery (all members/executives) and activity logs.  </w:t>
      </w:r>
    </w:p>
    <w:p w14:paraId="6D31761D">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To integrate a reliable payment gateway with server-side verification and automated receipt generation.  </w:t>
      </w:r>
    </w:p>
    <w:p w14:paraId="603FE830">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To enforce role-based access control (Admin, Executive, Member) with 100% compliance in permission testing.  </w:t>
      </w:r>
    </w:p>
    <w:p w14:paraId="78AC032F">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To achieve ≤ 2.0 seconds median search response time under 20 concurrent users on a 500-item repository.  </w:t>
      </w:r>
    </w:p>
    <w:p w14:paraId="28B5A0F8">
      <w:pPr>
        <w:numPr>
          <w:ilvl w:val="0"/>
          <w:numId w:val="12"/>
        </w:numPr>
        <w:tabs>
          <w:tab w:val="clear" w:pos="845"/>
        </w:tabs>
        <w:spacing w:line="360" w:lineRule="auto"/>
        <w:ind w:left="84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To attain a System Usability Scale (SUS) score of ≥ 80% from at least 15 pilot users.</w:t>
      </w:r>
    </w:p>
    <w:p w14:paraId="1CE1FF62">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58467D53">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1.5 Significance of the Project  </w:t>
      </w:r>
    </w:p>
    <w:p w14:paraId="61EAA444">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The successful implementation of this project will yield the following benefits:  </w:t>
      </w:r>
    </w:p>
    <w:p w14:paraId="3C4943C1">
      <w:pPr>
        <w:numPr>
          <w:ilvl w:val="0"/>
          <w:numId w:val="13"/>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Improved discoverability, preservation, and continuity of MSSN institutional content.  </w:t>
      </w:r>
    </w:p>
    <w:p w14:paraId="3E169F47">
      <w:pPr>
        <w:numPr>
          <w:ilvl w:val="0"/>
          <w:numId w:val="13"/>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Enhanced transparency and traceability of donations and official communications.  </w:t>
      </w:r>
    </w:p>
    <w:p w14:paraId="3135041F">
      <w:pPr>
        <w:numPr>
          <w:ilvl w:val="0"/>
          <w:numId w:val="13"/>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Easier access for members to authentic Islamic learning resources anytime, anywhere.  </w:t>
      </w:r>
    </w:p>
    <w:p w14:paraId="7F2810EA">
      <w:pPr>
        <w:numPr>
          <w:ilvl w:val="0"/>
          <w:numId w:val="13"/>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A replicable model for other faith-based organizations and NGOs seeking integrated digital solutions.  </w:t>
      </w:r>
    </w:p>
    <w:p w14:paraId="195C42B2">
      <w:pPr>
        <w:numPr>
          <w:ilvl w:val="0"/>
          <w:numId w:val="13"/>
        </w:numPr>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Practical demonstration of full-stack development with RBAC, payment gateway integration, and performance optimization.</w:t>
      </w:r>
    </w:p>
    <w:p w14:paraId="65CEF88D">
      <w:pPr>
        <w:pStyle w:val="3"/>
        <w:bidi w:val="0"/>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cs="Times New Roman"/>
          <w:sz w:val="24"/>
          <w:szCs w:val="24"/>
          <w:lang w:val="en-US" w:eastAsia="zh-CN"/>
        </w:rPr>
        <w:t xml:space="preserve">1.6 Project Risks Assessment  </w:t>
      </w:r>
    </w:p>
    <w:p w14:paraId="50CFF871">
      <w:pPr>
        <w:pStyle w:val="5"/>
        <w:bidi w:val="0"/>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Table 1.1: Project Risk Assessment</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066"/>
        <w:gridCol w:w="2595"/>
        <w:gridCol w:w="1647"/>
        <w:gridCol w:w="1566"/>
        <w:gridCol w:w="1648"/>
      </w:tblGrid>
      <w:tr w14:paraId="26740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7C874F7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Risk ID</w:t>
            </w:r>
          </w:p>
        </w:tc>
        <w:tc>
          <w:tcPr>
            <w:tcW w:w="2595" w:type="dxa"/>
            <w:tcBorders>
              <w:top w:val="single" w:color="auto" w:sz="4" w:space="0"/>
              <w:bottom w:val="single" w:color="auto" w:sz="4" w:space="0"/>
            </w:tcBorders>
          </w:tcPr>
          <w:p w14:paraId="3D98D258">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Risk Description</w:t>
            </w:r>
          </w:p>
        </w:tc>
        <w:tc>
          <w:tcPr>
            <w:tcW w:w="1647" w:type="dxa"/>
            <w:tcBorders>
              <w:top w:val="single" w:color="auto" w:sz="4" w:space="0"/>
              <w:bottom w:val="single" w:color="auto" w:sz="4" w:space="0"/>
            </w:tcBorders>
          </w:tcPr>
          <w:p w14:paraId="2C48880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Likelihood</w:t>
            </w:r>
          </w:p>
        </w:tc>
        <w:tc>
          <w:tcPr>
            <w:tcW w:w="1566" w:type="dxa"/>
            <w:tcBorders>
              <w:top w:val="single" w:color="auto" w:sz="4" w:space="0"/>
              <w:bottom w:val="single" w:color="auto" w:sz="4" w:space="0"/>
            </w:tcBorders>
          </w:tcPr>
          <w:p w14:paraId="59C6FCF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Impact</w:t>
            </w:r>
          </w:p>
        </w:tc>
        <w:tc>
          <w:tcPr>
            <w:tcW w:w="1648" w:type="dxa"/>
            <w:tcBorders>
              <w:top w:val="single" w:color="auto" w:sz="4" w:space="0"/>
              <w:bottom w:val="single" w:color="auto" w:sz="4" w:space="0"/>
            </w:tcBorders>
          </w:tcPr>
          <w:p w14:paraId="1015E5A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Mitigation Strategy</w:t>
            </w:r>
          </w:p>
        </w:tc>
      </w:tr>
      <w:tr w14:paraId="3F798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27491F0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R01</w:t>
            </w:r>
          </w:p>
        </w:tc>
        <w:tc>
          <w:tcPr>
            <w:tcW w:w="2595" w:type="dxa"/>
            <w:tcBorders>
              <w:top w:val="single" w:color="auto" w:sz="4" w:space="0"/>
              <w:bottom w:val="single" w:color="auto" w:sz="4" w:space="0"/>
            </w:tcBorders>
          </w:tcPr>
          <w:p w14:paraId="3EA00BB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Delay in payment gateway approval/integration</w:t>
            </w:r>
          </w:p>
        </w:tc>
        <w:tc>
          <w:tcPr>
            <w:tcW w:w="1647" w:type="dxa"/>
            <w:tcBorders>
              <w:top w:val="single" w:color="auto" w:sz="4" w:space="0"/>
              <w:bottom w:val="single" w:color="auto" w:sz="4" w:space="0"/>
            </w:tcBorders>
          </w:tcPr>
          <w:p w14:paraId="7CF1C8FF">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Medium</w:t>
            </w:r>
          </w:p>
        </w:tc>
        <w:tc>
          <w:tcPr>
            <w:tcW w:w="1566" w:type="dxa"/>
            <w:tcBorders>
              <w:top w:val="single" w:color="auto" w:sz="4" w:space="0"/>
              <w:bottom w:val="single" w:color="auto" w:sz="4" w:space="0"/>
            </w:tcBorders>
          </w:tcPr>
          <w:p w14:paraId="3797787D">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High</w:t>
            </w:r>
          </w:p>
        </w:tc>
        <w:tc>
          <w:tcPr>
            <w:tcW w:w="1648" w:type="dxa"/>
            <w:tcBorders>
              <w:top w:val="single" w:color="auto" w:sz="4" w:space="0"/>
              <w:bottom w:val="single" w:color="auto" w:sz="4" w:space="0"/>
            </w:tcBorders>
          </w:tcPr>
          <w:p w14:paraId="0F7961C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Early application and use of sandbox environment</w:t>
            </w:r>
          </w:p>
        </w:tc>
      </w:tr>
      <w:tr w14:paraId="460E5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3A76BA6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R02</w:t>
            </w:r>
          </w:p>
        </w:tc>
        <w:tc>
          <w:tcPr>
            <w:tcW w:w="2595" w:type="dxa"/>
            <w:tcBorders>
              <w:top w:val="single" w:color="auto" w:sz="4" w:space="0"/>
              <w:bottom w:val="single" w:color="auto" w:sz="4" w:space="0"/>
            </w:tcBorders>
          </w:tcPr>
          <w:p w14:paraId="454C278F">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Inadequate user adoption during pilot</w:t>
            </w:r>
          </w:p>
        </w:tc>
        <w:tc>
          <w:tcPr>
            <w:tcW w:w="1647" w:type="dxa"/>
            <w:tcBorders>
              <w:top w:val="single" w:color="auto" w:sz="4" w:space="0"/>
              <w:bottom w:val="single" w:color="auto" w:sz="4" w:space="0"/>
            </w:tcBorders>
          </w:tcPr>
          <w:p w14:paraId="42535BC2">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Medium</w:t>
            </w:r>
          </w:p>
        </w:tc>
        <w:tc>
          <w:tcPr>
            <w:tcW w:w="1566" w:type="dxa"/>
            <w:tcBorders>
              <w:top w:val="single" w:color="auto" w:sz="4" w:space="0"/>
              <w:bottom w:val="single" w:color="auto" w:sz="4" w:space="0"/>
            </w:tcBorders>
          </w:tcPr>
          <w:p w14:paraId="7B8FBB9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Medium</w:t>
            </w:r>
          </w:p>
        </w:tc>
        <w:tc>
          <w:tcPr>
            <w:tcW w:w="1648" w:type="dxa"/>
            <w:tcBorders>
              <w:top w:val="single" w:color="auto" w:sz="4" w:space="0"/>
              <w:bottom w:val="single" w:color="auto" w:sz="4" w:space="0"/>
            </w:tcBorders>
          </w:tcPr>
          <w:p w14:paraId="7C875249">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Conduct training sessions and gather continuous feedback</w:t>
            </w:r>
          </w:p>
        </w:tc>
      </w:tr>
      <w:tr w14:paraId="24D25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6D1D0A48">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R03</w:t>
            </w:r>
          </w:p>
        </w:tc>
        <w:tc>
          <w:tcPr>
            <w:tcW w:w="2595" w:type="dxa"/>
            <w:tcBorders>
              <w:top w:val="single" w:color="auto" w:sz="4" w:space="0"/>
              <w:bottom w:val="single" w:color="auto" w:sz="4" w:space="0"/>
            </w:tcBorders>
          </w:tcPr>
          <w:p w14:paraId="105F635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Metadata inconsistency by uploaders</w:t>
            </w:r>
          </w:p>
        </w:tc>
        <w:tc>
          <w:tcPr>
            <w:tcW w:w="1647" w:type="dxa"/>
            <w:tcBorders>
              <w:top w:val="single" w:color="auto" w:sz="4" w:space="0"/>
              <w:bottom w:val="single" w:color="auto" w:sz="4" w:space="0"/>
            </w:tcBorders>
          </w:tcPr>
          <w:p w14:paraId="2CFC6532">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High</w:t>
            </w:r>
          </w:p>
        </w:tc>
        <w:tc>
          <w:tcPr>
            <w:tcW w:w="1566" w:type="dxa"/>
            <w:tcBorders>
              <w:top w:val="single" w:color="auto" w:sz="4" w:space="0"/>
              <w:bottom w:val="single" w:color="auto" w:sz="4" w:space="0"/>
            </w:tcBorders>
          </w:tcPr>
          <w:p w14:paraId="69A5BD4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Medium</w:t>
            </w:r>
          </w:p>
        </w:tc>
        <w:tc>
          <w:tcPr>
            <w:tcW w:w="1648" w:type="dxa"/>
            <w:tcBorders>
              <w:top w:val="single" w:color="auto" w:sz="4" w:space="0"/>
              <w:bottom w:val="single" w:color="auto" w:sz="4" w:space="0"/>
            </w:tcBorders>
          </w:tcPr>
          <w:p w14:paraId="28F930A7">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Implement mandatory fields and tagging guidelines</w:t>
            </w:r>
          </w:p>
        </w:tc>
      </w:tr>
      <w:tr w14:paraId="2FFEC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1378913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R04</w:t>
            </w:r>
          </w:p>
        </w:tc>
        <w:tc>
          <w:tcPr>
            <w:tcW w:w="2595" w:type="dxa"/>
            <w:tcBorders>
              <w:top w:val="single" w:color="auto" w:sz="4" w:space="0"/>
              <w:bottom w:val="single" w:color="auto" w:sz="4" w:space="0"/>
            </w:tcBorders>
          </w:tcPr>
          <w:p w14:paraId="067B79E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Server overload during peak usage</w:t>
            </w:r>
          </w:p>
        </w:tc>
        <w:tc>
          <w:tcPr>
            <w:tcW w:w="1647" w:type="dxa"/>
            <w:tcBorders>
              <w:top w:val="single" w:color="auto" w:sz="4" w:space="0"/>
              <w:bottom w:val="single" w:color="auto" w:sz="4" w:space="0"/>
            </w:tcBorders>
          </w:tcPr>
          <w:p w14:paraId="20E02E1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1566" w:type="dxa"/>
            <w:tcBorders>
              <w:top w:val="single" w:color="auto" w:sz="4" w:space="0"/>
              <w:bottom w:val="single" w:color="auto" w:sz="4" w:space="0"/>
            </w:tcBorders>
          </w:tcPr>
          <w:p w14:paraId="398DEDEA">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High</w:t>
            </w:r>
          </w:p>
        </w:tc>
        <w:tc>
          <w:tcPr>
            <w:tcW w:w="1648" w:type="dxa"/>
            <w:tcBorders>
              <w:top w:val="single" w:color="auto" w:sz="4" w:space="0"/>
              <w:bottom w:val="single" w:color="auto" w:sz="4" w:space="0"/>
            </w:tcBorders>
          </w:tcPr>
          <w:p w14:paraId="76C1734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 caching, optimize queries, and test under load</w:t>
            </w:r>
          </w:p>
        </w:tc>
      </w:tr>
      <w:tr w14:paraId="00F2D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4B3DFCC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R05</w:t>
            </w:r>
          </w:p>
        </w:tc>
        <w:tc>
          <w:tcPr>
            <w:tcW w:w="2595" w:type="dxa"/>
            <w:tcBorders>
              <w:top w:val="single" w:color="auto" w:sz="4" w:space="0"/>
              <w:bottom w:val="single" w:color="auto" w:sz="4" w:space="0"/>
            </w:tcBorders>
          </w:tcPr>
          <w:p w14:paraId="378BEBF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Security vulnerabilities (e.g., SQL injection)</w:t>
            </w:r>
          </w:p>
        </w:tc>
        <w:tc>
          <w:tcPr>
            <w:tcW w:w="1647" w:type="dxa"/>
            <w:tcBorders>
              <w:top w:val="single" w:color="auto" w:sz="4" w:space="0"/>
              <w:bottom w:val="single" w:color="auto" w:sz="4" w:space="0"/>
            </w:tcBorders>
          </w:tcPr>
          <w:p w14:paraId="6ADA84C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1566" w:type="dxa"/>
            <w:tcBorders>
              <w:top w:val="single" w:color="auto" w:sz="4" w:space="0"/>
              <w:bottom w:val="single" w:color="auto" w:sz="4" w:space="0"/>
            </w:tcBorders>
          </w:tcPr>
          <w:p w14:paraId="56BBF5A6">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Critical</w:t>
            </w:r>
          </w:p>
        </w:tc>
        <w:tc>
          <w:tcPr>
            <w:tcW w:w="1648" w:type="dxa"/>
            <w:tcBorders>
              <w:top w:val="single" w:color="auto" w:sz="4" w:space="0"/>
              <w:bottom w:val="single" w:color="auto" w:sz="4" w:space="0"/>
            </w:tcBorders>
          </w:tcPr>
          <w:p w14:paraId="21047AE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Apply input validation, prepared statements, and hashing</w:t>
            </w:r>
          </w:p>
        </w:tc>
      </w:tr>
      <w:tr w14:paraId="7B4A8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066" w:type="dxa"/>
            <w:tcBorders>
              <w:top w:val="single" w:color="auto" w:sz="4" w:space="0"/>
              <w:bottom w:val="single" w:color="auto" w:sz="4" w:space="0"/>
            </w:tcBorders>
          </w:tcPr>
          <w:p w14:paraId="19351EC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R06</w:t>
            </w:r>
          </w:p>
        </w:tc>
        <w:tc>
          <w:tcPr>
            <w:tcW w:w="2595" w:type="dxa"/>
            <w:tcBorders>
              <w:top w:val="single" w:color="auto" w:sz="4" w:space="0"/>
              <w:bottom w:val="single" w:color="auto" w:sz="4" w:space="0"/>
            </w:tcBorders>
          </w:tcPr>
          <w:p w14:paraId="2247E60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Scope creep</w:t>
            </w:r>
          </w:p>
        </w:tc>
        <w:tc>
          <w:tcPr>
            <w:tcW w:w="1647" w:type="dxa"/>
            <w:tcBorders>
              <w:top w:val="single" w:color="auto" w:sz="4" w:space="0"/>
              <w:bottom w:val="single" w:color="auto" w:sz="4" w:space="0"/>
            </w:tcBorders>
          </w:tcPr>
          <w:p w14:paraId="15EF54D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566" w:type="dxa"/>
            <w:tcBorders>
              <w:top w:val="single" w:color="auto" w:sz="4" w:space="0"/>
              <w:bottom w:val="single" w:color="auto" w:sz="4" w:space="0"/>
            </w:tcBorders>
          </w:tcPr>
          <w:p w14:paraId="6E71607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Medium</w:t>
            </w:r>
          </w:p>
        </w:tc>
        <w:tc>
          <w:tcPr>
            <w:tcW w:w="1648" w:type="dxa"/>
            <w:tcBorders>
              <w:top w:val="single" w:color="auto" w:sz="4" w:space="0"/>
              <w:bottom w:val="single" w:color="auto" w:sz="4" w:space="0"/>
            </w:tcBorders>
          </w:tcPr>
          <w:p w14:paraId="24483A7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Strict adherence to defined scope and change control</w:t>
            </w:r>
          </w:p>
        </w:tc>
      </w:tr>
    </w:tbl>
    <w:p w14:paraId="5A6863F3">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1.7 SWOT Analysis  </w:t>
      </w:r>
      <w:bookmarkStart w:id="0" w:name="_GoBack"/>
      <w:bookmarkEnd w:id="0"/>
    </w:p>
    <w:p w14:paraId="47B521F7">
      <w:pPr>
        <w:pStyle w:val="5"/>
        <w:bidi w:val="0"/>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Table 1.2: Internal Factors (Strengths and Weaknesses)</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261"/>
        <w:gridCol w:w="4261"/>
      </w:tblGrid>
      <w:tr w14:paraId="0CD4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8522" w:type="dxa"/>
            <w:gridSpan w:val="2"/>
            <w:tcBorders>
              <w:top w:val="single" w:color="auto" w:sz="4" w:space="0"/>
              <w:bottom w:val="single" w:color="auto" w:sz="4" w:space="0"/>
            </w:tcBorders>
          </w:tcPr>
          <w:p w14:paraId="7A088F6A">
            <w:pPr>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Internal Factors</w:t>
            </w:r>
          </w:p>
        </w:tc>
      </w:tr>
      <w:tr w14:paraId="23075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261" w:type="dxa"/>
            <w:tcBorders>
              <w:top w:val="single" w:color="auto" w:sz="4" w:space="0"/>
              <w:bottom w:val="single" w:color="auto" w:sz="4" w:space="0"/>
            </w:tcBorders>
          </w:tcPr>
          <w:p w14:paraId="7C4A557D">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Strengths</w:t>
            </w:r>
          </w:p>
        </w:tc>
        <w:tc>
          <w:tcPr>
            <w:tcW w:w="4261" w:type="dxa"/>
            <w:tcBorders>
              <w:top w:val="single" w:color="auto" w:sz="4" w:space="0"/>
              <w:bottom w:val="single" w:color="auto" w:sz="4" w:space="0"/>
            </w:tcBorders>
          </w:tcPr>
          <w:p w14:paraId="696FE83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Weaknesses</w:t>
            </w:r>
          </w:p>
        </w:tc>
      </w:tr>
      <w:tr w14:paraId="76AB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261" w:type="dxa"/>
            <w:tcBorders>
              <w:top w:val="single" w:color="auto" w:sz="4" w:space="0"/>
              <w:bottom w:val="single" w:color="auto" w:sz="4" w:space="0"/>
            </w:tcBorders>
          </w:tcPr>
          <w:p w14:paraId="3C23C5C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Tailored specifically to MSSN workflow and roles</w:t>
            </w:r>
          </w:p>
        </w:tc>
        <w:tc>
          <w:tcPr>
            <w:tcW w:w="4261" w:type="dxa"/>
            <w:tcBorders>
              <w:top w:val="single" w:color="auto" w:sz="4" w:space="0"/>
              <w:bottom w:val="single" w:color="auto" w:sz="4" w:space="0"/>
            </w:tcBorders>
          </w:tcPr>
          <w:p w14:paraId="6577851B">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Single-chapter pilot limits generalizability</w:t>
            </w:r>
          </w:p>
        </w:tc>
      </w:tr>
      <w:tr w14:paraId="7B927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261" w:type="dxa"/>
            <w:tcBorders>
              <w:top w:val="single" w:color="auto" w:sz="4" w:space="0"/>
              <w:bottom w:val="single" w:color="auto" w:sz="4" w:space="0"/>
            </w:tcBorders>
          </w:tcPr>
          <w:p w14:paraId="74B60F71">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Secure RBAC and payment integration</w:t>
            </w:r>
          </w:p>
        </w:tc>
        <w:tc>
          <w:tcPr>
            <w:tcW w:w="4261" w:type="dxa"/>
            <w:tcBorders>
              <w:top w:val="single" w:color="auto" w:sz="4" w:space="0"/>
              <w:bottom w:val="single" w:color="auto" w:sz="4" w:space="0"/>
            </w:tcBorders>
          </w:tcPr>
          <w:p w14:paraId="2F906C0B">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Dependence on uploader discipline for metadata</w:t>
            </w:r>
          </w:p>
        </w:tc>
      </w:tr>
      <w:tr w14:paraId="1150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261" w:type="dxa"/>
            <w:tcBorders>
              <w:top w:val="single" w:color="auto" w:sz="4" w:space="0"/>
              <w:bottom w:val="single" w:color="auto" w:sz="4" w:space="0"/>
            </w:tcBorders>
          </w:tcPr>
          <w:p w14:paraId="0EA6280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Open-source-friendly stack (cost-effective)</w:t>
            </w:r>
          </w:p>
        </w:tc>
        <w:tc>
          <w:tcPr>
            <w:tcW w:w="4261" w:type="dxa"/>
            <w:tcBorders>
              <w:top w:val="single" w:color="auto" w:sz="4" w:space="0"/>
              <w:bottom w:val="single" w:color="auto" w:sz="4" w:space="0"/>
            </w:tcBorders>
          </w:tcPr>
          <w:p w14:paraId="7B7DD3D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No native mobile app in current scope</w:t>
            </w:r>
          </w:p>
        </w:tc>
      </w:tr>
      <w:tr w14:paraId="7C552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261" w:type="dxa"/>
            <w:tcBorders>
              <w:top w:val="single" w:color="auto" w:sz="4" w:space="0"/>
              <w:bottom w:val="single" w:color="auto" w:sz="4" w:space="0"/>
            </w:tcBorders>
          </w:tcPr>
          <w:p w14:paraId="48E00679">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Clear audit trails and receipt generation</w:t>
            </w:r>
          </w:p>
        </w:tc>
        <w:tc>
          <w:tcPr>
            <w:tcW w:w="4261" w:type="dxa"/>
            <w:tcBorders>
              <w:top w:val="single" w:color="auto" w:sz="4" w:space="0"/>
              <w:bottom w:val="single" w:color="auto" w:sz="4" w:space="0"/>
            </w:tcBorders>
          </w:tcPr>
          <w:p w14:paraId="08BC2E9E">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Limited to one payment gateway provider</w:t>
            </w:r>
          </w:p>
        </w:tc>
      </w:tr>
    </w:tbl>
    <w:p w14:paraId="1541C455">
      <w:pPr>
        <w:pStyle w:val="5"/>
        <w:bidi w:val="0"/>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Table 1.3: External Factors (Opportunities and Threats)</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C523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gridSpan w:val="2"/>
            <w:tcBorders>
              <w:top w:val="single" w:color="auto" w:sz="4" w:space="0"/>
              <w:bottom w:val="single" w:color="auto" w:sz="4" w:space="0"/>
            </w:tcBorders>
          </w:tcPr>
          <w:p w14:paraId="5D063E51">
            <w:pPr>
              <w:spacing w:line="360" w:lineRule="auto"/>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Internal Factors</w:t>
            </w:r>
          </w:p>
        </w:tc>
      </w:tr>
      <w:tr w14:paraId="4CB1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auto" w:sz="4" w:space="0"/>
              <w:bottom w:val="single" w:color="auto" w:sz="4" w:space="0"/>
            </w:tcBorders>
          </w:tcPr>
          <w:p w14:paraId="72D4550C">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Opportunities</w:t>
            </w:r>
          </w:p>
        </w:tc>
        <w:tc>
          <w:tcPr>
            <w:tcW w:w="4261" w:type="dxa"/>
            <w:tcBorders>
              <w:top w:val="single" w:color="auto" w:sz="4" w:space="0"/>
              <w:bottom w:val="single" w:color="auto" w:sz="4" w:space="0"/>
            </w:tcBorders>
          </w:tcPr>
          <w:p w14:paraId="55370CC2">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b/>
                <w:bCs/>
                <w:kern w:val="0"/>
                <w:sz w:val="24"/>
                <w:szCs w:val="24"/>
                <w:lang w:val="en-US" w:eastAsia="zh-CN" w:bidi="ar"/>
              </w:rPr>
              <w:t>Threats</w:t>
            </w:r>
          </w:p>
        </w:tc>
      </w:tr>
      <w:tr w14:paraId="6814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auto" w:sz="4" w:space="0"/>
              <w:bottom w:val="single" w:color="auto" w:sz="4" w:space="0"/>
            </w:tcBorders>
          </w:tcPr>
          <w:p w14:paraId="23392205">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Replication by other MSSN chapters and similar organizations</w:t>
            </w:r>
          </w:p>
        </w:tc>
        <w:tc>
          <w:tcPr>
            <w:tcW w:w="4261" w:type="dxa"/>
            <w:tcBorders>
              <w:top w:val="single" w:color="auto" w:sz="4" w:space="0"/>
              <w:bottom w:val="single" w:color="auto" w:sz="4" w:space="0"/>
            </w:tcBorders>
          </w:tcPr>
          <w:p w14:paraId="2A897864">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Rapid changes in payment gateway policies/regulations</w:t>
            </w:r>
          </w:p>
        </w:tc>
      </w:tr>
      <w:tr w14:paraId="77BF0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auto" w:sz="4" w:space="0"/>
              <w:bottom w:val="single" w:color="auto" w:sz="4" w:space="0"/>
            </w:tcBorders>
          </w:tcPr>
          <w:p w14:paraId="18737EE6">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Potential for future mobile app extension</w:t>
            </w:r>
          </w:p>
        </w:tc>
        <w:tc>
          <w:tcPr>
            <w:tcW w:w="4261" w:type="dxa"/>
            <w:tcBorders>
              <w:top w:val="single" w:color="auto" w:sz="4" w:space="0"/>
              <w:bottom w:val="single" w:color="auto" w:sz="4" w:space="0"/>
            </w:tcBorders>
          </w:tcPr>
          <w:p w14:paraId="006E228E">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Internet connectivity challenges in some campuses</w:t>
            </w:r>
          </w:p>
        </w:tc>
      </w:tr>
      <w:tr w14:paraId="1EB27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auto" w:sz="4" w:space="0"/>
              <w:bottom w:val="single" w:color="auto" w:sz="4" w:space="0"/>
            </w:tcBorders>
          </w:tcPr>
          <w:p w14:paraId="1E6A7AC8">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Growing acceptance of online donations among students</w:t>
            </w:r>
          </w:p>
        </w:tc>
        <w:tc>
          <w:tcPr>
            <w:tcW w:w="4261" w:type="dxa"/>
            <w:tcBorders>
              <w:top w:val="single" w:color="auto" w:sz="4" w:space="0"/>
              <w:bottom w:val="single" w:color="auto" w:sz="4" w:space="0"/>
            </w:tcBorders>
          </w:tcPr>
          <w:p w14:paraId="6A14D430">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Possible resistance to digital transition by some members</w:t>
            </w:r>
          </w:p>
        </w:tc>
      </w:tr>
      <w:tr w14:paraId="3460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auto" w:sz="4" w:space="0"/>
              <w:bottom w:val="single" w:color="auto" w:sz="4" w:space="0"/>
            </w:tcBorders>
          </w:tcPr>
          <w:p w14:paraId="3942DA88">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Partnership with Islamic content creators</w:t>
            </w:r>
          </w:p>
        </w:tc>
        <w:tc>
          <w:tcPr>
            <w:tcW w:w="4261" w:type="dxa"/>
            <w:tcBorders>
              <w:top w:val="single" w:color="auto" w:sz="4" w:space="0"/>
              <w:bottom w:val="single" w:color="auto" w:sz="4" w:space="0"/>
            </w:tcBorders>
          </w:tcPr>
          <w:p w14:paraId="7AD2A00D">
            <w:pPr>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SimSun" w:cs="Times New Roman"/>
                <w:kern w:val="0"/>
                <w:sz w:val="24"/>
                <w:szCs w:val="24"/>
                <w:lang w:val="en-US" w:eastAsia="zh-CN" w:bidi="ar"/>
              </w:rPr>
              <w:t>Cybersecurity threats targeting religious organizations</w:t>
            </w:r>
          </w:p>
        </w:tc>
      </w:tr>
    </w:tbl>
    <w:p w14:paraId="556A4BB3">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0C372AE7">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1.8 Scope and Project Organization  </w:t>
      </w:r>
    </w:p>
    <w:p w14:paraId="4053E323">
      <w:pPr>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In Scope: </w:t>
      </w:r>
    </w:p>
    <w:p w14:paraId="75A73852">
      <w:pPr>
        <w:numPr>
          <w:ilvl w:val="0"/>
          <w:numId w:val="14"/>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Web application with modules for content repository, announcements, donations, user management, RBAC, and basic analytics.  </w:t>
      </w:r>
    </w:p>
    <w:p w14:paraId="6B910A45">
      <w:pPr>
        <w:numPr>
          <w:ilvl w:val="0"/>
          <w:numId w:val="14"/>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Technology stack: PHP/Laravel (or chosen framework), MySQL, Bootstrap/CSS, and a Nigerian-compatible payment gateway (e.g., Paystack/Flutterwave).  </w:t>
      </w:r>
    </w:p>
    <w:p w14:paraId="0EB14969">
      <w:pPr>
        <w:numPr>
          <w:ilvl w:val="0"/>
          <w:numId w:val="14"/>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Support for Admin, Executive, and Member roles.  </w:t>
      </w:r>
    </w:p>
    <w:p w14:paraId="5854A5C4">
      <w:pPr>
        <w:numPr>
          <w:ilvl w:val="0"/>
          <w:numId w:val="14"/>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Basic security measures: authentication, hashed passwords, input validation, audit logs.  </w:t>
      </w:r>
    </w:p>
    <w:p w14:paraId="6C1D0FD8">
      <w:pPr>
        <w:numPr>
          <w:ilvl w:val="0"/>
          <w:numId w:val="14"/>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Performance and usability evaluation.</w:t>
      </w:r>
    </w:p>
    <w:p w14:paraId="5C68C871">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7AF1E06A">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Out of Scope:</w:t>
      </w:r>
      <w:r>
        <w:rPr>
          <w:rFonts w:hint="default" w:ascii="Times New Roman" w:hAnsi="Times New Roman" w:eastAsia="TimesNewRomanPS-BoldMT" w:cs="Times New Roman"/>
          <w:b w:val="0"/>
          <w:bCs w:val="0"/>
          <w:color w:val="000000"/>
          <w:kern w:val="0"/>
          <w:sz w:val="24"/>
          <w:szCs w:val="24"/>
          <w:lang w:val="en-US" w:eastAsia="zh-CN" w:bidi="ar"/>
        </w:rPr>
        <w:t xml:space="preserve">  </w:t>
      </w:r>
    </w:p>
    <w:p w14:paraId="0284F08B">
      <w:pPr>
        <w:numPr>
          <w:ilvl w:val="0"/>
          <w:numId w:val="15"/>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Native mobile applications.  </w:t>
      </w:r>
    </w:p>
    <w:p w14:paraId="30086EF5">
      <w:pPr>
        <w:numPr>
          <w:ilvl w:val="0"/>
          <w:numId w:val="15"/>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Integration with external student databases or biometric systems.  </w:t>
      </w:r>
    </w:p>
    <w:p w14:paraId="5FF460BD">
      <w:pPr>
        <w:numPr>
          <w:ilvl w:val="0"/>
          <w:numId w:val="15"/>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Multiple payment gateway orchestration.  </w:t>
      </w:r>
    </w:p>
    <w:p w14:paraId="5B95A152">
      <w:pPr>
        <w:numPr>
          <w:ilvl w:val="0"/>
          <w:numId w:val="15"/>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Advanced search features (NLP, AI-based recommendation).  </w:t>
      </w:r>
    </w:p>
    <w:p w14:paraId="5A15267D">
      <w:pPr>
        <w:numPr>
          <w:ilvl w:val="0"/>
          <w:numId w:val="15"/>
        </w:numPr>
        <w:tabs>
          <w:tab w:val="clear" w:pos="425"/>
        </w:tabs>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Formal penetration testing beyond basic security practices.</w:t>
      </w:r>
    </w:p>
    <w:p w14:paraId="24D2A032">
      <w:pPr>
        <w:numPr>
          <w:numId w:val="0"/>
        </w:num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7E8F9D79">
      <w:pPr>
        <w:pStyle w:val="85"/>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Project Organization:</w:t>
      </w:r>
    </w:p>
    <w:p w14:paraId="72308153">
      <w:pPr>
        <w:bidi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cs="Times New Roman"/>
          <w:sz w:val="24"/>
          <w:szCs w:val="24"/>
        </w:rPr>
        <w:t>The report is organized into five main chapters, starting with the introduction and background of the study, followed by the review of related literature, system analysis and design, implementation and testing, and concluding with discussions, conclusions, and recommendations. References and appendices are also included for supporting materials and source documentation.</w:t>
      </w:r>
    </w:p>
    <w:p w14:paraId="4A6FE3BB">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1E4F816B">
      <w:pPr>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C9B0A"/>
    <w:multiLevelType w:val="singleLevel"/>
    <w:tmpl w:val="96DC9B0A"/>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419EB4A"/>
    <w:multiLevelType w:val="singleLevel"/>
    <w:tmpl w:val="0419EB4A"/>
    <w:lvl w:ilvl="0" w:tentative="0">
      <w:start w:val="1"/>
      <w:numFmt w:val="decimal"/>
      <w:lvlText w:val="%1."/>
      <w:lvlJc w:val="left"/>
      <w:pPr>
        <w:tabs>
          <w:tab w:val="left" w:pos="845"/>
        </w:tabs>
        <w:ind w:left="845" w:leftChars="0" w:hanging="425" w:firstLineChars="0"/>
      </w:pPr>
      <w:rPr>
        <w:rFonts w:hint="default"/>
      </w:rPr>
    </w:lvl>
  </w:abstractNum>
  <w:abstractNum w:abstractNumId="12">
    <w:nsid w:val="2B83F213"/>
    <w:multiLevelType w:val="singleLevel"/>
    <w:tmpl w:val="2B83F213"/>
    <w:lvl w:ilvl="0" w:tentative="0">
      <w:start w:val="1"/>
      <w:numFmt w:val="decimal"/>
      <w:lvlText w:val="%1."/>
      <w:lvlJc w:val="left"/>
      <w:pPr>
        <w:tabs>
          <w:tab w:val="left" w:pos="425"/>
        </w:tabs>
        <w:ind w:left="425" w:leftChars="0" w:hanging="425" w:firstLineChars="0"/>
      </w:pPr>
      <w:rPr>
        <w:rFonts w:hint="default"/>
      </w:rPr>
    </w:lvl>
  </w:abstractNum>
  <w:abstractNum w:abstractNumId="13">
    <w:nsid w:val="4F59B715"/>
    <w:multiLevelType w:val="singleLevel"/>
    <w:tmpl w:val="4F59B715"/>
    <w:lvl w:ilvl="0" w:tentative="0">
      <w:start w:val="1"/>
      <w:numFmt w:val="decimal"/>
      <w:lvlText w:val="%1."/>
      <w:lvlJc w:val="left"/>
      <w:pPr>
        <w:tabs>
          <w:tab w:val="left" w:pos="425"/>
        </w:tabs>
        <w:ind w:left="425" w:leftChars="0" w:hanging="425" w:firstLineChars="0"/>
      </w:pPr>
      <w:rPr>
        <w:rFonts w:hint="default"/>
      </w:rPr>
    </w:lvl>
  </w:abstractNum>
  <w:abstractNum w:abstractNumId="14">
    <w:nsid w:val="5F0EE9ED"/>
    <w:multiLevelType w:val="singleLevel"/>
    <w:tmpl w:val="5F0EE9ED"/>
    <w:lvl w:ilvl="0" w:tentative="0">
      <w:start w:val="1"/>
      <w:numFmt w:val="decimal"/>
      <w:lvlText w:val="%1."/>
      <w:lvlJc w:val="left"/>
      <w:pPr>
        <w:tabs>
          <w:tab w:val="left" w:pos="425"/>
        </w:tabs>
        <w:ind w:left="425" w:leftChars="0" w:hanging="425"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1"/>
  </w:num>
  <w:num w:numId="13">
    <w:abstractNumId w:val="14"/>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71F8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41DC5"/>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B4548A"/>
    <w:rsid w:val="055F4E32"/>
    <w:rsid w:val="07D7316B"/>
    <w:rsid w:val="08CC05C6"/>
    <w:rsid w:val="0A6A017F"/>
    <w:rsid w:val="0C006C23"/>
    <w:rsid w:val="0D1507A5"/>
    <w:rsid w:val="0D407F3C"/>
    <w:rsid w:val="0F3C6244"/>
    <w:rsid w:val="10A50CDB"/>
    <w:rsid w:val="141F1312"/>
    <w:rsid w:val="144C06BE"/>
    <w:rsid w:val="14F1597F"/>
    <w:rsid w:val="176D70D9"/>
    <w:rsid w:val="179606CE"/>
    <w:rsid w:val="18FD340F"/>
    <w:rsid w:val="19F45B80"/>
    <w:rsid w:val="1C045086"/>
    <w:rsid w:val="1C0616B5"/>
    <w:rsid w:val="205471C3"/>
    <w:rsid w:val="21335A60"/>
    <w:rsid w:val="231B23CF"/>
    <w:rsid w:val="244F54A0"/>
    <w:rsid w:val="27C94D2C"/>
    <w:rsid w:val="2C293467"/>
    <w:rsid w:val="322D12EF"/>
    <w:rsid w:val="35577297"/>
    <w:rsid w:val="364A31A3"/>
    <w:rsid w:val="3ACF4185"/>
    <w:rsid w:val="3B4E14F1"/>
    <w:rsid w:val="3F9A2A03"/>
    <w:rsid w:val="40627353"/>
    <w:rsid w:val="456C5F34"/>
    <w:rsid w:val="45800D0C"/>
    <w:rsid w:val="48991DF8"/>
    <w:rsid w:val="4BA644EB"/>
    <w:rsid w:val="5780751F"/>
    <w:rsid w:val="5831262C"/>
    <w:rsid w:val="59E07400"/>
    <w:rsid w:val="5D7E31F0"/>
    <w:rsid w:val="5EC86B2F"/>
    <w:rsid w:val="606E57EA"/>
    <w:rsid w:val="6426312C"/>
    <w:rsid w:val="6530704D"/>
    <w:rsid w:val="65D56E97"/>
    <w:rsid w:val="67A535E2"/>
    <w:rsid w:val="68713B6C"/>
    <w:rsid w:val="69911ACA"/>
    <w:rsid w:val="6D891EDD"/>
    <w:rsid w:val="6E5B1175"/>
    <w:rsid w:val="6F982BD0"/>
    <w:rsid w:val="70E6108E"/>
    <w:rsid w:val="735500D0"/>
    <w:rsid w:val="764A49BA"/>
    <w:rsid w:val="764F0F26"/>
    <w:rsid w:val="771A4A01"/>
    <w:rsid w:val="79471F87"/>
    <w:rsid w:val="7E8A1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outlineLvl w:val="0"/>
    </w:pPr>
    <w:rPr>
      <w:rFonts w:hint="default" w:eastAsia="SimSun" w:cs="SimSun" w:asciiTheme="majorAscii" w:hAnsiTheme="majorAscii"/>
      <w:b/>
      <w:bCs/>
      <w:kern w:val="44"/>
      <w:sz w:val="28"/>
      <w:szCs w:val="48"/>
      <w:lang w:val="en-US" w:eastAsia="zh-CN" w:bidi="ar"/>
    </w:rPr>
  </w:style>
  <w:style w:type="paragraph" w:styleId="3">
    <w:name w:val="heading 2"/>
    <w:basedOn w:val="1"/>
    <w:next w:val="1"/>
    <w:link w:val="250"/>
    <w:unhideWhenUsed/>
    <w:qFormat/>
    <w:uiPriority w:val="0"/>
    <w:pPr>
      <w:spacing w:before="0" w:beforeAutospacing="1" w:after="0" w:afterAutospacing="1"/>
      <w:jc w:val="left"/>
      <w:outlineLvl w:val="1"/>
    </w:pPr>
    <w:rPr>
      <w:rFonts w:eastAsia="SimSun" w:cs="SimSun" w:asciiTheme="majorAscii" w:hAnsiTheme="majorAscii"/>
      <w:b/>
      <w:bCs/>
      <w:sz w:val="24"/>
      <w:szCs w:val="36"/>
      <w:lang w:bidi="ar"/>
    </w:rPr>
  </w:style>
  <w:style w:type="paragraph" w:styleId="4">
    <w:name w:val="heading 3"/>
    <w:next w:val="1"/>
    <w:semiHidden/>
    <w:unhideWhenUsed/>
    <w:qFormat/>
    <w:uiPriority w:val="0"/>
    <w:pPr>
      <w:spacing w:before="0" w:beforeAutospacing="1" w:after="0" w:afterAutospacing="1"/>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rPr>
      <w:rFonts w:eastAsia="SimSun" w:asciiTheme="majorAscii" w:hAnsiTheme="majorAscii"/>
    </w:rPr>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6"/>
    <w:next w:val="6"/>
    <w:uiPriority w:val="0"/>
    <w:pPr>
      <w:spacing w:after="120"/>
    </w:pPr>
    <w:rPr>
      <w:rFonts w:asciiTheme="minorAscii" w:hAnsiTheme="minorAscii"/>
      <w:lang w:val="en-GB" w:eastAsia="ja-JP"/>
    </w:r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 w:type="character" w:customStyle="1" w:styleId="250">
    <w:name w:val="Heading 2 Char"/>
    <w:link w:val="3"/>
    <w:uiPriority w:val="0"/>
    <w:rPr>
      <w:rFonts w:eastAsia="SimSun" w:cs="SimSun" w:asciiTheme="majorAscii" w:hAnsiTheme="majorAscii"/>
      <w:b/>
      <w:bCs/>
      <w:sz w:val="24"/>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931</Words>
  <Characters>6246</Characters>
  <Lines>0</Lines>
  <Paragraphs>0</Paragraphs>
  <TotalTime>0</TotalTime>
  <ScaleCrop>false</ScaleCrop>
  <LinksUpToDate>false</LinksUpToDate>
  <CharactersWithSpaces>7137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2025-11-26T08:41:00Z</dcterms:created>
  <dc:creator>Abdullahi Mansur</dc:creator>
  <cp:lastModifiedBy>Abdullahi Mansur</cp:lastModifiedBy>
  <dcterms:modified xsi:type="dcterms:W3CDTF">2025-11-26T09:19:48Z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D2E90FCE7C6148E3B8A249724BB22227_11</vt:lpwstr>
  </property>
</Properties>
</file>