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4E0AC" w14:textId="77777777" w:rsidR="00654B91" w:rsidRPr="00301A4B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 w:rsidRPr="00301A4B">
        <w:rPr>
          <w:b/>
          <w:color w:val="000000"/>
        </w:rPr>
        <w:t>3+3. LOGICAL FRAMEWORK MATRIX – LFM</w:t>
      </w:r>
    </w:p>
    <w:p w14:paraId="730BD59D" w14:textId="77777777" w:rsidR="00654B91" w:rsidRPr="00301A4B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:rsidRPr="00301A4B" w14:paraId="743120D4" w14:textId="77777777" w:rsidTr="00654B91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Širi cilj:</w:t>
            </w:r>
          </w:p>
          <w:p w14:paraId="2E3F7887" w14:textId="0875C265" w:rsidR="00301A4B" w:rsidRPr="00301A4B" w:rsidRDefault="00654B91" w:rsidP="00301A4B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499DD9D0" w14:textId="10EC3530" w:rsidR="00654B91" w:rsidRPr="00301A4B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301A4B">
              <w:rPr>
                <w:bCs/>
                <w:color w:val="000000"/>
                <w:sz w:val="20"/>
              </w:rPr>
              <w:t xml:space="preserve">Projekat ima za cilj unapređenje prakse studenata u vidu </w:t>
            </w:r>
            <w:r>
              <w:rPr>
                <w:bCs/>
                <w:color w:val="000000"/>
                <w:sz w:val="20"/>
              </w:rPr>
              <w:t>kreiranja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prakse, pružanje znanja putem mentorstva i pružanje podrške studentima  kroz unapređenje veze između obrazovnih institucija i industrije. Kroz ove aktivnosti, projekat teži da poboljša kvalitet i relevantnost stručne prakse studenata. Time se osigurava da studenti steknu praktično iskustvo i veštine koje su im potrebne za uspešnu karijeru u svojim oblastima.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napretka:</w:t>
            </w:r>
          </w:p>
          <w:p w14:paraId="3F3EBBA0" w14:textId="15A284B0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64B0C5F6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6CA74A3A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Pr="00301A4B" w:rsidRDefault="00F10280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301A4B" w:rsidRDefault="00F10280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7E9961FA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5D50B5D2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Pr="00301A4B" w:rsidRDefault="00654B9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:rsidRPr="00301A4B" w14:paraId="5B1DD363" w14:textId="77777777" w:rsidTr="00654B91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301A4B" w:rsidRDefault="00654B91" w:rsidP="00654B9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301A4B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0F8B01A9" w14:textId="77777777" w:rsidR="00EC1FED" w:rsidRPr="00EC1FED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bCs/>
                <w:color w:val="000000"/>
                <w:sz w:val="20"/>
              </w:rPr>
              <w:t>Kreiranje (obezbedjivanje)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</w:t>
            </w:r>
          </w:p>
          <w:p w14:paraId="0D5EC8E6" w14:textId="77777777" w:rsidR="00301A4B" w:rsidRDefault="00301A4B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301A4B">
              <w:rPr>
                <w:sz w:val="18"/>
                <w:szCs w:val="18"/>
              </w:rPr>
              <w:t xml:space="preserve"> </w:t>
            </w:r>
            <w:r w:rsidR="00EC1FED">
              <w:rPr>
                <w:sz w:val="18"/>
                <w:szCs w:val="18"/>
              </w:rPr>
              <w:t>Pružanje znanja kroz mentorstvo, posebno onog koje je najčešće primenjeno u praksi</w:t>
            </w:r>
          </w:p>
          <w:p w14:paraId="714ECDE3" w14:textId="19451185" w:rsidR="00EC1FED" w:rsidRPr="00301A4B" w:rsidRDefault="00EC1FED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Pružanje podrške studentima </w:t>
            </w:r>
            <w:r w:rsidRPr="00301A4B">
              <w:rPr>
                <w:bCs/>
                <w:color w:val="000000"/>
                <w:sz w:val="20"/>
              </w:rPr>
              <w:t>kroz unapređenje veze između obrazovnih institucija i industrije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Pr="00301A4B" w:rsidRDefault="00654B9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7EA89607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 xml:space="preserve">Koji su kvantitativni i kvalitativni indikatori koji pokazuju da li su I u kojoj meri </w:t>
            </w:r>
            <w:r w:rsidR="00F10280" w:rsidRPr="00301A4B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7A52003F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301A4B">
              <w:rPr>
                <w:i/>
                <w:color w:val="000000"/>
                <w:sz w:val="16"/>
              </w:rPr>
              <w:t>?</w:t>
            </w:r>
          </w:p>
          <w:p w14:paraId="788DDBF8" w14:textId="7F7EDF21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402347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402347">
              <w:rPr>
                <w:b/>
                <w:bCs/>
                <w:iCs/>
                <w:color w:val="000000"/>
                <w:sz w:val="18"/>
                <w:szCs w:val="18"/>
              </w:rPr>
              <w:t>Pretpostavke i rizici:</w:t>
            </w:r>
          </w:p>
          <w:p w14:paraId="694556F5" w14:textId="7F4A1160" w:rsidR="00654B91" w:rsidRPr="00402347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402347">
              <w:rPr>
                <w:i/>
                <w:color w:val="000000"/>
                <w:sz w:val="18"/>
                <w:szCs w:val="18"/>
              </w:rPr>
              <w:t>Koji su faktori i uslovi koji nisu pod direktnom kontrolom projekta, a koji su neophodni za postizanje ovih ciljeva? Koje rizike treba uzeti u obzir?</w:t>
            </w:r>
          </w:p>
          <w:p w14:paraId="0C16EB8F" w14:textId="77777777" w:rsidR="00402347" w:rsidRPr="00402347" w:rsidRDefault="00402347" w:rsidP="00402347">
            <w:pPr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Faktori i uslovi koji nisu pod direktnom kontrolom projekta, a koji su neophodni za postizanje specifičnih ciljeva projekta mogu uključivati:</w:t>
            </w:r>
          </w:p>
          <w:p w14:paraId="665777E2" w14:textId="77777777" w:rsidR="00402347" w:rsidRPr="00402347" w:rsidRDefault="00402347" w:rsidP="00402347">
            <w:pPr>
              <w:numPr>
                <w:ilvl w:val="0"/>
                <w:numId w:val="11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Saradnja i angažovanje kompanija:</w:t>
            </w:r>
            <w:r w:rsidRPr="00402347">
              <w:rPr>
                <w:sz w:val="18"/>
                <w:szCs w:val="18"/>
              </w:rPr>
              <w:t xml:space="preserve"> Projekat može zavisiti od spremnosti kompanija da učestvuju u programima praksi i mentorstva, što može biti van direktnog uticaja projektnog tima.</w:t>
            </w:r>
          </w:p>
          <w:p w14:paraId="449EF603" w14:textId="77777777" w:rsidR="00402347" w:rsidRPr="00402347" w:rsidRDefault="00402347" w:rsidP="00402347">
            <w:pPr>
              <w:numPr>
                <w:ilvl w:val="0"/>
                <w:numId w:val="11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Podrška obrazovnih institucija:</w:t>
            </w:r>
            <w:r w:rsidRPr="00402347">
              <w:rPr>
                <w:sz w:val="18"/>
                <w:szCs w:val="18"/>
              </w:rPr>
              <w:t xml:space="preserve"> Efikasno povezivanje sa obrazovnim institucijama zahteva saradnju i podršku njihovih administracija, profesora i drugih relevantnih aktera.</w:t>
            </w:r>
          </w:p>
          <w:p w14:paraId="2150B3EC" w14:textId="77777777" w:rsidR="00402347" w:rsidRPr="00402347" w:rsidRDefault="00402347" w:rsidP="00402347">
            <w:pPr>
              <w:numPr>
                <w:ilvl w:val="0"/>
                <w:numId w:val="11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Ekonomska situacija:</w:t>
            </w:r>
            <w:r w:rsidRPr="00402347">
              <w:rPr>
                <w:sz w:val="18"/>
                <w:szCs w:val="18"/>
              </w:rPr>
              <w:t xml:space="preserve"> Finansijska stabilnost i dostupnost resursa u društvu mogu uticati na mogućnosti obezbeđivanja resursa potrebnih za praksu i mentorstvo.</w:t>
            </w:r>
          </w:p>
          <w:p w14:paraId="30132E9D" w14:textId="77777777" w:rsidR="00402347" w:rsidRPr="00402347" w:rsidRDefault="00402347" w:rsidP="00402347">
            <w:pPr>
              <w:numPr>
                <w:ilvl w:val="0"/>
                <w:numId w:val="11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Regulativa:</w:t>
            </w:r>
            <w:r w:rsidRPr="00402347">
              <w:rPr>
                <w:sz w:val="18"/>
                <w:szCs w:val="18"/>
              </w:rPr>
              <w:t xml:space="preserve"> Promene u zakonima i propisima koji se odnose na praksu studenata ili saradnju između </w:t>
            </w:r>
            <w:r w:rsidRPr="00402347">
              <w:rPr>
                <w:sz w:val="18"/>
                <w:szCs w:val="18"/>
              </w:rPr>
              <w:lastRenderedPageBreak/>
              <w:t>obrazovnih institucija i industrije mogu uticati na realizaciju projekta.</w:t>
            </w:r>
          </w:p>
          <w:p w14:paraId="6AF01A9E" w14:textId="77777777" w:rsidR="00402347" w:rsidRPr="00402347" w:rsidRDefault="00402347" w:rsidP="00402347">
            <w:pPr>
              <w:rPr>
                <w:sz w:val="18"/>
                <w:szCs w:val="18"/>
              </w:rPr>
            </w:pPr>
            <w:r w:rsidRPr="00402347">
              <w:rPr>
                <w:sz w:val="18"/>
                <w:szCs w:val="18"/>
              </w:rPr>
              <w:t>Što se tiče rizika, neki od potencijalnih rizika koji treba uzeti u obzir mogu uključivati:</w:t>
            </w:r>
          </w:p>
          <w:p w14:paraId="183A1A95" w14:textId="77777777" w:rsidR="00402347" w:rsidRPr="00402347" w:rsidRDefault="00402347" w:rsidP="00402347">
            <w:pPr>
              <w:numPr>
                <w:ilvl w:val="0"/>
                <w:numId w:val="12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Nedostatak angažovanja kompanija:</w:t>
            </w:r>
            <w:r w:rsidRPr="00402347">
              <w:rPr>
                <w:sz w:val="18"/>
                <w:szCs w:val="18"/>
              </w:rPr>
              <w:t xml:space="preserve"> Kompanije možda neće biti spremne da učestvuju u programima praksi ili mentorstva, što može ograničiti mogućnosti za stvaranje resursa i pružanje podrške studentima.</w:t>
            </w:r>
          </w:p>
          <w:p w14:paraId="081A9149" w14:textId="77777777" w:rsidR="00402347" w:rsidRPr="00402347" w:rsidRDefault="00402347" w:rsidP="00402347">
            <w:pPr>
              <w:numPr>
                <w:ilvl w:val="0"/>
                <w:numId w:val="12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Nepredviđene promene u okolini:</w:t>
            </w:r>
            <w:r w:rsidRPr="00402347">
              <w:rPr>
                <w:sz w:val="18"/>
                <w:szCs w:val="18"/>
              </w:rPr>
              <w:t xml:space="preserve"> Neočekivani događaji kao što su ekonomske krize, prirodne katastrofe ili političke promene mogu uticati na stabilnost i održivost projekta.</w:t>
            </w:r>
          </w:p>
          <w:p w14:paraId="7E44581C" w14:textId="77777777" w:rsidR="00402347" w:rsidRPr="00402347" w:rsidRDefault="00402347" w:rsidP="00402347">
            <w:pPr>
              <w:numPr>
                <w:ilvl w:val="0"/>
                <w:numId w:val="12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Nedostatak podrške obrazovnih institucija:</w:t>
            </w:r>
            <w:r w:rsidRPr="00402347">
              <w:rPr>
                <w:sz w:val="18"/>
                <w:szCs w:val="18"/>
              </w:rPr>
              <w:t xml:space="preserve"> Ako obrazovne institucije ne pruže potrebnu podršku ili ne budu aktivno uključene u projekat, to može otežati ostvarivanje ciljeva projekta.</w:t>
            </w:r>
          </w:p>
          <w:p w14:paraId="1EF52C06" w14:textId="77777777" w:rsidR="00402347" w:rsidRPr="00402347" w:rsidRDefault="00402347" w:rsidP="00402347">
            <w:pPr>
              <w:numPr>
                <w:ilvl w:val="0"/>
                <w:numId w:val="12"/>
              </w:numPr>
              <w:spacing w:after="160" w:line="259" w:lineRule="auto"/>
              <w:rPr>
                <w:sz w:val="18"/>
                <w:szCs w:val="18"/>
              </w:rPr>
            </w:pPr>
            <w:r w:rsidRPr="00402347">
              <w:rPr>
                <w:b/>
                <w:bCs/>
                <w:sz w:val="18"/>
                <w:szCs w:val="18"/>
              </w:rPr>
              <w:t>Nepredviđeni tehnički ili logistički problemi:</w:t>
            </w:r>
            <w:r w:rsidRPr="00402347">
              <w:rPr>
                <w:sz w:val="18"/>
                <w:szCs w:val="18"/>
              </w:rPr>
              <w:t xml:space="preserve"> Tehnički ili logistički problemi, kao što su nedostatak odgovarajuće tehnološke infrastrukture ili nedostatak prostora za praksu, mogu ometati sprovođenje planiranih aktivnosti.</w:t>
            </w:r>
          </w:p>
          <w:p w14:paraId="73C94988" w14:textId="77777777" w:rsidR="00402347" w:rsidRPr="00402347" w:rsidRDefault="00402347" w:rsidP="00F10280">
            <w:pPr>
              <w:widowControl w:val="0"/>
              <w:tabs>
                <w:tab w:val="left" w:pos="228"/>
              </w:tabs>
              <w:rPr>
                <w:iCs/>
                <w:sz w:val="18"/>
                <w:szCs w:val="18"/>
              </w:rPr>
            </w:pPr>
          </w:p>
          <w:p w14:paraId="2425D9B6" w14:textId="77777777" w:rsidR="00654B91" w:rsidRPr="00402347" w:rsidRDefault="00654B91">
            <w:pPr>
              <w:pStyle w:val="BulletBox"/>
              <w:numPr>
                <w:ilvl w:val="0"/>
                <w:numId w:val="0"/>
              </w:numPr>
              <w:ind w:left="1004"/>
              <w:rPr>
                <w:sz w:val="18"/>
                <w:szCs w:val="18"/>
              </w:rPr>
            </w:pPr>
          </w:p>
        </w:tc>
      </w:tr>
      <w:tr w:rsidR="00654B91" w:rsidRPr="00301A4B" w14:paraId="653FACCE" w14:textId="77777777" w:rsidTr="00654B91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lastRenderedPageBreak/>
              <w:t>Rezultati (opipljivi) i rezultati (neopipljivi):</w:t>
            </w:r>
          </w:p>
          <w:p w14:paraId="245B51E6" w14:textId="10F42CAB" w:rsidR="00654B91" w:rsidRPr="00301A4B" w:rsidRDefault="00654B91" w:rsidP="00654B91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301A4B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40DE3716" w14:textId="06955B87" w:rsidR="00EC1FED" w:rsidRP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</w:rPr>
              <w:t xml:space="preserve"> </w:t>
            </w:r>
            <w:r w:rsidRPr="00EC1FED">
              <w:rPr>
                <w:b/>
                <w:color w:val="000000"/>
                <w:sz w:val="20"/>
                <w:szCs w:val="20"/>
              </w:rPr>
              <w:t>Kreiranje resursa za obavljanje prakse:</w:t>
            </w:r>
          </w:p>
          <w:p w14:paraId="2FF830CE" w14:textId="64E6CE3A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Izrada i implementacija priručnika ili vodiča za praksu</w:t>
            </w:r>
          </w:p>
          <w:p w14:paraId="7A0B2B6E" w14:textId="64EA6625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Obezbeđivanje fizičkih resursa poput prostorija, opreme ili softvera potrebnih za praksu</w:t>
            </w:r>
          </w:p>
          <w:p w14:paraId="12CE1848" w14:textId="66125D2F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 xml:space="preserve">Razvoj online platforme ili alata </w:t>
            </w:r>
            <w:r w:rsidRPr="00EC1FED">
              <w:rPr>
                <w:bCs/>
                <w:color w:val="000000"/>
                <w:sz w:val="20"/>
                <w:szCs w:val="20"/>
              </w:rPr>
              <w:lastRenderedPageBreak/>
              <w:t>za praćenje i upravljanje praksom</w:t>
            </w:r>
          </w:p>
          <w:p w14:paraId="005AA1E0" w14:textId="56148827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Jačanje veza između obrazovnih institucija i industrije putem saradnje na stvaranju resursa za praksu</w:t>
            </w:r>
          </w:p>
          <w:p w14:paraId="67E37A26" w14:textId="461A4145" w:rsid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  <w:sz w:val="20"/>
                <w:szCs w:val="20"/>
              </w:rPr>
              <w:t>Pružanje znanja kroz mentorstvo:</w:t>
            </w:r>
          </w:p>
          <w:p w14:paraId="4E815886" w14:textId="0F52BDC2" w:rsidR="00EC1FE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Razvoj poverenja između studenata i mentora</w:t>
            </w:r>
          </w:p>
          <w:p w14:paraId="636AF257" w14:textId="6276DA93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Unapređenje veština komunikacije, liderstva i profesionalnog ponašanja kod studenata</w:t>
            </w:r>
          </w:p>
          <w:p w14:paraId="5B8A1F3E" w14:textId="00446644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samopouzdanja studenata u primeni teorijskog znanja u praksi</w:t>
            </w:r>
          </w:p>
          <w:p w14:paraId="0FE1FBB9" w14:textId="2E22905E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Broj uspešno završenih mentoriranih projekata ili programa prakse</w:t>
            </w:r>
          </w:p>
          <w:p w14:paraId="1784DECB" w14:textId="48C6B99D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Ocena zadovoljstva studenata i mentora sa mentorstvom i naučenim veštinama</w:t>
            </w:r>
          </w:p>
          <w:p w14:paraId="3D673963" w14:textId="1E541717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Evaluacija uspešnosti studenata na osnovu stečenog znanja tokom mentorstva</w:t>
            </w:r>
          </w:p>
          <w:p w14:paraId="209DE1F2" w14:textId="41BA32E1" w:rsidR="00395BDD" w:rsidRDefault="00395BDD" w:rsidP="00395B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395BDD">
              <w:rPr>
                <w:b/>
                <w:color w:val="000000"/>
                <w:sz w:val="20"/>
                <w:szCs w:val="20"/>
              </w:rPr>
              <w:t>Pružanje podrške studentima kroz unapređenje veze između obrazovnih institucija i industrije</w:t>
            </w:r>
          </w:p>
          <w:p w14:paraId="07D0D5F5" w14:textId="00F93178" w:rsid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broja i kvaliteta praksi dostupnih studentima</w:t>
            </w:r>
          </w:p>
          <w:p w14:paraId="503ECE70" w14:textId="77777777" w:rsidR="00395BDD" w:rsidRPr="00395BDD" w:rsidRDefault="00395BDD" w:rsidP="00395BDD">
            <w:pPr>
              <w:pStyle w:val="ListParagraph"/>
              <w:numPr>
                <w:ilvl w:val="1"/>
                <w:numId w:val="4"/>
              </w:numPr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Jačanje povezanosti između akademske i poslovne zajednice radi boljeg razumevanja potreba i očekivanja obe strane.</w:t>
            </w:r>
          </w:p>
          <w:p w14:paraId="233108D6" w14:textId="41723A4F" w:rsidR="00395BDD" w:rsidRP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Poboljšanje mogućnosti za zapošljavanje studenata nakon završetka obrazovanja kroz veće uključivanje u industriju tokom studija</w:t>
            </w:r>
          </w:p>
          <w:p w14:paraId="2D4DED41" w14:textId="77777777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  <w:p w14:paraId="2185118C" w14:textId="4636244A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Indikatori napretka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03BFBEFB" w14:textId="62DA31E6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7FD19364" w14:textId="33A28783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3A679F03" w14:textId="217E5C68" w:rsidR="00654B91" w:rsidRPr="00301A4B" w:rsidRDefault="00F10280" w:rsidP="00F10280">
            <w:pPr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  <w:bookmarkStart w:id="0" w:name="_GoBack"/>
            <w:bookmarkEnd w:id="0"/>
          </w:p>
          <w:p w14:paraId="7BB20305" w14:textId="77777777" w:rsidR="00C708DC" w:rsidRPr="00C708DC" w:rsidRDefault="00C708DC" w:rsidP="00C708DC">
            <w:pPr>
              <w:rPr>
                <w:sz w:val="18"/>
                <w:szCs w:val="18"/>
              </w:rPr>
            </w:pPr>
            <w:r w:rsidRPr="00C708DC">
              <w:rPr>
                <w:sz w:val="18"/>
                <w:szCs w:val="18"/>
              </w:rPr>
              <w:t>Nekoliko ključnih spoljnih faktora i uslova:</w:t>
            </w:r>
          </w:p>
          <w:p w14:paraId="772ADAFD" w14:textId="77777777" w:rsidR="00C708DC" w:rsidRPr="00C708DC" w:rsidRDefault="00C708DC" w:rsidP="00C708DC">
            <w:pPr>
              <w:numPr>
                <w:ilvl w:val="0"/>
                <w:numId w:val="15"/>
              </w:numPr>
              <w:spacing w:after="160" w:line="259" w:lineRule="auto"/>
              <w:rPr>
                <w:sz w:val="18"/>
                <w:szCs w:val="18"/>
              </w:rPr>
            </w:pPr>
            <w:r w:rsidRPr="00C708DC">
              <w:rPr>
                <w:b/>
                <w:bCs/>
                <w:sz w:val="18"/>
                <w:szCs w:val="18"/>
              </w:rPr>
              <w:t>Saradnja sa kompanijama:</w:t>
            </w:r>
            <w:r w:rsidRPr="00C708DC">
              <w:rPr>
                <w:sz w:val="18"/>
                <w:szCs w:val="18"/>
              </w:rPr>
              <w:t xml:space="preserve"> Potrebno je uspostaviti saradnju sa različitim kompanijama kako bi se obezbedili fizički resursi (poput prostora i opreme) potrebni za praksu, kao i podrška za razvoj programa praksi i mentorstva.</w:t>
            </w:r>
          </w:p>
          <w:p w14:paraId="422005A2" w14:textId="77777777" w:rsidR="00C708DC" w:rsidRPr="00C708DC" w:rsidRDefault="00C708DC" w:rsidP="00C708DC">
            <w:pPr>
              <w:numPr>
                <w:ilvl w:val="0"/>
                <w:numId w:val="15"/>
              </w:numPr>
              <w:spacing w:after="160" w:line="259" w:lineRule="auto"/>
              <w:rPr>
                <w:sz w:val="18"/>
                <w:szCs w:val="18"/>
              </w:rPr>
            </w:pPr>
            <w:r w:rsidRPr="00C708DC">
              <w:rPr>
                <w:b/>
                <w:bCs/>
                <w:sz w:val="18"/>
                <w:szCs w:val="18"/>
              </w:rPr>
              <w:lastRenderedPageBreak/>
              <w:t>Podrška obrazovnih institucija:</w:t>
            </w:r>
            <w:r w:rsidRPr="00C708DC">
              <w:rPr>
                <w:sz w:val="18"/>
                <w:szCs w:val="18"/>
              </w:rPr>
              <w:t xml:space="preserve"> Obrazovne institucije treba da podrže inicijative za unapređenje veza sa industrijom, pružajući podršku u organizaciji praksi, mentorstva i drugih programa podrške studentima.</w:t>
            </w:r>
          </w:p>
          <w:p w14:paraId="6184FD14" w14:textId="77777777" w:rsidR="00C708DC" w:rsidRPr="00C708DC" w:rsidRDefault="00C708DC" w:rsidP="00C708DC">
            <w:pPr>
              <w:numPr>
                <w:ilvl w:val="0"/>
                <w:numId w:val="15"/>
              </w:numPr>
              <w:spacing w:after="160" w:line="259" w:lineRule="auto"/>
              <w:rPr>
                <w:sz w:val="18"/>
                <w:szCs w:val="18"/>
              </w:rPr>
            </w:pPr>
            <w:r w:rsidRPr="00C708DC">
              <w:rPr>
                <w:b/>
                <w:bCs/>
                <w:sz w:val="18"/>
                <w:szCs w:val="18"/>
              </w:rPr>
              <w:t>Dostupnost finansijskih resursa:</w:t>
            </w:r>
            <w:r w:rsidRPr="00C708DC">
              <w:rPr>
                <w:sz w:val="18"/>
                <w:szCs w:val="18"/>
              </w:rPr>
              <w:t xml:space="preserve"> Projekat zahteva odgovarajući budžet za sprovođenje aktivnosti kao što su razvoj materijala za praksu, organizacija obuka i radionica, kao i održavanje online platformi ili alata.</w:t>
            </w:r>
          </w:p>
          <w:p w14:paraId="45EDD151" w14:textId="77777777" w:rsidR="00C708DC" w:rsidRPr="00C708DC" w:rsidRDefault="00C708DC" w:rsidP="00C708DC">
            <w:pPr>
              <w:numPr>
                <w:ilvl w:val="0"/>
                <w:numId w:val="15"/>
              </w:numPr>
              <w:spacing w:after="160" w:line="259" w:lineRule="auto"/>
              <w:rPr>
                <w:sz w:val="18"/>
                <w:szCs w:val="18"/>
              </w:rPr>
            </w:pPr>
            <w:r w:rsidRPr="00C708DC">
              <w:rPr>
                <w:b/>
                <w:bCs/>
                <w:sz w:val="18"/>
                <w:szCs w:val="18"/>
              </w:rPr>
              <w:t>Stabilna ekonomska situacija:</w:t>
            </w:r>
            <w:r w:rsidRPr="00C708DC">
              <w:rPr>
                <w:sz w:val="18"/>
                <w:szCs w:val="18"/>
              </w:rPr>
              <w:t xml:space="preserve"> Stabilna ekonomska situacija može olakšati angažovanje kompanija, podršku obrazovnih institucija i obezbeđivanje finansijskih resursa potrebnih za projekat.</w:t>
            </w:r>
          </w:p>
          <w:p w14:paraId="4F83DD3A" w14:textId="77777777" w:rsidR="00C708DC" w:rsidRPr="00C708DC" w:rsidRDefault="00C708DC" w:rsidP="00C708DC">
            <w:pPr>
              <w:numPr>
                <w:ilvl w:val="0"/>
                <w:numId w:val="15"/>
              </w:numPr>
              <w:spacing w:after="160" w:line="259" w:lineRule="auto"/>
              <w:rPr>
                <w:sz w:val="18"/>
                <w:szCs w:val="18"/>
              </w:rPr>
            </w:pPr>
            <w:r w:rsidRPr="00C708DC">
              <w:rPr>
                <w:b/>
                <w:bCs/>
                <w:sz w:val="18"/>
                <w:szCs w:val="18"/>
              </w:rPr>
              <w:t>Regulatorni okvir:</w:t>
            </w:r>
            <w:r w:rsidRPr="00C708DC">
              <w:rPr>
                <w:sz w:val="18"/>
                <w:szCs w:val="18"/>
              </w:rPr>
              <w:t xml:space="preserve"> Očekuje se da regulatorni okvir podrži saradnju između obrazovnih institucija i industrije, pružajući jasne smernice i podršku za organizaciju praksi i mentorstva.</w:t>
            </w:r>
          </w:p>
          <w:p w14:paraId="10CADAE2" w14:textId="77777777" w:rsidR="00C708DC" w:rsidRPr="00C708DC" w:rsidRDefault="00C708DC" w:rsidP="00C708DC">
            <w:pPr>
              <w:rPr>
                <w:sz w:val="18"/>
                <w:szCs w:val="18"/>
              </w:rPr>
            </w:pPr>
            <w:r w:rsidRPr="00C708DC">
              <w:rPr>
                <w:sz w:val="18"/>
                <w:szCs w:val="18"/>
              </w:rPr>
              <w:t>Rizici koji treba uzeti u obzir uključuju:</w:t>
            </w:r>
          </w:p>
          <w:p w14:paraId="513BB74A" w14:textId="77777777" w:rsidR="00C708DC" w:rsidRPr="00C708DC" w:rsidRDefault="00C708DC" w:rsidP="00C708DC">
            <w:pPr>
              <w:numPr>
                <w:ilvl w:val="0"/>
                <w:numId w:val="16"/>
              </w:numPr>
              <w:spacing w:after="160" w:line="259" w:lineRule="auto"/>
              <w:rPr>
                <w:sz w:val="18"/>
                <w:szCs w:val="18"/>
              </w:rPr>
            </w:pPr>
            <w:r w:rsidRPr="00C708DC">
              <w:rPr>
                <w:b/>
                <w:bCs/>
                <w:sz w:val="18"/>
                <w:szCs w:val="18"/>
              </w:rPr>
              <w:t>Nedostatak angažovanja:</w:t>
            </w:r>
            <w:r w:rsidRPr="00C708DC">
              <w:rPr>
                <w:sz w:val="18"/>
                <w:szCs w:val="18"/>
              </w:rPr>
              <w:t xml:space="preserve"> Mogu postojati poteškoće u angažovanju kompanija ili obrazovnih institucija zbog nedostatka interesovanja, vremena ili resursa.</w:t>
            </w:r>
          </w:p>
          <w:p w14:paraId="7AF36BA5" w14:textId="77777777" w:rsidR="00C708DC" w:rsidRPr="00C708DC" w:rsidRDefault="00C708DC" w:rsidP="00C708DC">
            <w:pPr>
              <w:numPr>
                <w:ilvl w:val="0"/>
                <w:numId w:val="16"/>
              </w:numPr>
              <w:spacing w:after="160" w:line="259" w:lineRule="auto"/>
              <w:rPr>
                <w:sz w:val="18"/>
                <w:szCs w:val="18"/>
              </w:rPr>
            </w:pPr>
            <w:r w:rsidRPr="00C708DC">
              <w:rPr>
                <w:b/>
                <w:bCs/>
                <w:sz w:val="18"/>
                <w:szCs w:val="18"/>
              </w:rPr>
              <w:t>Finansijski rizici:</w:t>
            </w:r>
            <w:r w:rsidRPr="00C708DC">
              <w:rPr>
                <w:sz w:val="18"/>
                <w:szCs w:val="18"/>
              </w:rPr>
              <w:t xml:space="preserve"> Nesigurna ekonomska situacija može ograničiti dostupnost finansijskih resursa potrebnih za projekat, što može uticati na sprovođenje planiranih aktivnosti.</w:t>
            </w:r>
          </w:p>
          <w:p w14:paraId="67758A02" w14:textId="77777777" w:rsidR="00C708DC" w:rsidRPr="00C708DC" w:rsidRDefault="00C708DC" w:rsidP="00C708DC">
            <w:pPr>
              <w:numPr>
                <w:ilvl w:val="0"/>
                <w:numId w:val="16"/>
              </w:numPr>
              <w:spacing w:after="160" w:line="259" w:lineRule="auto"/>
              <w:rPr>
                <w:sz w:val="18"/>
                <w:szCs w:val="18"/>
              </w:rPr>
            </w:pPr>
            <w:r w:rsidRPr="00C708DC">
              <w:rPr>
                <w:b/>
                <w:bCs/>
                <w:sz w:val="18"/>
                <w:szCs w:val="18"/>
              </w:rPr>
              <w:t>Promene u regulatornom okviru:</w:t>
            </w:r>
            <w:r w:rsidRPr="00C708DC">
              <w:rPr>
                <w:sz w:val="18"/>
                <w:szCs w:val="18"/>
              </w:rPr>
              <w:t xml:space="preserve"> Promene u zakonima i propisima koji regulišu praksu studenata ili saradnju između obrazovnih institucija i industrije mogu uticati na planiranje i sprovođenje projekta.</w:t>
            </w:r>
          </w:p>
          <w:p w14:paraId="233C4C50" w14:textId="77777777" w:rsidR="00C708DC" w:rsidRPr="00C708DC" w:rsidRDefault="00C708DC" w:rsidP="00C708DC">
            <w:pPr>
              <w:numPr>
                <w:ilvl w:val="0"/>
                <w:numId w:val="16"/>
              </w:numPr>
              <w:spacing w:after="160" w:line="259" w:lineRule="auto"/>
              <w:rPr>
                <w:sz w:val="18"/>
                <w:szCs w:val="18"/>
              </w:rPr>
            </w:pPr>
            <w:r w:rsidRPr="00C708DC">
              <w:rPr>
                <w:b/>
                <w:bCs/>
                <w:sz w:val="18"/>
                <w:szCs w:val="18"/>
              </w:rPr>
              <w:lastRenderedPageBreak/>
              <w:t>Nepredviđeni događaji:</w:t>
            </w:r>
            <w:r w:rsidRPr="00C708DC">
              <w:rPr>
                <w:sz w:val="18"/>
                <w:szCs w:val="18"/>
              </w:rPr>
              <w:t xml:space="preserve"> Neočekivani događaji poput prirodnih katastrofa ili političkih promena mogu ometati sprovođenje projekta i dovesti do kašnjenja ili promena u planovima.</w:t>
            </w:r>
          </w:p>
          <w:p w14:paraId="344C1147" w14:textId="77777777" w:rsidR="00654B91" w:rsidRPr="00301A4B" w:rsidRDefault="00654B91" w:rsidP="00C708DC">
            <w:pPr>
              <w:widowControl w:val="0"/>
              <w:tabs>
                <w:tab w:val="left" w:pos="228"/>
              </w:tabs>
              <w:ind w:left="86"/>
            </w:pPr>
          </w:p>
        </w:tc>
      </w:tr>
      <w:tr w:rsidR="00654B91" w:rsidRPr="00301A4B" w14:paraId="42C32C08" w14:textId="77777777" w:rsidTr="00654B91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lastRenderedPageBreak/>
              <w:t>Aktivnosti:</w:t>
            </w:r>
          </w:p>
          <w:p w14:paraId="4CA31EE6" w14:textId="379300C0" w:rsidR="00654B91" w:rsidRPr="00301A4B" w:rsidRDefault="00654B91" w:rsidP="00654B91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5C8EFF28" w14:textId="77777777" w:rsidR="00654B91" w:rsidRPr="00DF498B" w:rsidRDefault="003B29C3" w:rsidP="00DF498B">
            <w:pPr>
              <w:pStyle w:val="BulletBox"/>
              <w:rPr>
                <w:b/>
                <w:bCs/>
                <w:sz w:val="18"/>
                <w:szCs w:val="18"/>
              </w:rPr>
            </w:pPr>
            <w:r w:rsidRPr="00DF498B">
              <w:rPr>
                <w:b/>
                <w:bCs/>
                <w:sz w:val="18"/>
                <w:szCs w:val="18"/>
              </w:rPr>
              <w:t>Radni paket 1: Priprema resursa za obavljanje prakse</w:t>
            </w:r>
          </w:p>
          <w:p w14:paraId="7C8787CD" w14:textId="77777777" w:rsidR="00402347" w:rsidRDefault="00402347" w:rsidP="0040234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1E2253F4" w14:textId="77777777" w:rsidR="00402347" w:rsidRPr="00DF498B" w:rsidRDefault="00402347" w:rsidP="00DF498B">
            <w:pPr>
              <w:pStyle w:val="BulletBox"/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Identifikacija potreba za resursima za praksu (istraživanje)</w:t>
            </w:r>
          </w:p>
          <w:p w14:paraId="25FB850B" w14:textId="77777777" w:rsidR="00402347" w:rsidRPr="00DF498B" w:rsidRDefault="00402347" w:rsidP="00DF498B">
            <w:pPr>
              <w:pStyle w:val="BulletBox"/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Priprema plana za kreiranje resursa (planiranje)</w:t>
            </w:r>
          </w:p>
          <w:p w14:paraId="3D2BC2D3" w14:textId="77777777" w:rsidR="00402347" w:rsidRPr="00DF498B" w:rsidRDefault="00402347" w:rsidP="00DF498B">
            <w:pPr>
              <w:pStyle w:val="BulletBox"/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Izrada i implementacija priručnika ili vodiča za praksu (implementacija)</w:t>
            </w:r>
          </w:p>
          <w:p w14:paraId="52DDEB99" w14:textId="77777777" w:rsidR="00402347" w:rsidRPr="00DF498B" w:rsidRDefault="00402347" w:rsidP="00DF498B">
            <w:pPr>
              <w:pStyle w:val="BulletBox"/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Obezbeđivanje fizičkih resursa (nabavka opreme, prostorija) (implementacija)</w:t>
            </w:r>
          </w:p>
          <w:p w14:paraId="26A42958" w14:textId="77777777" w:rsidR="00402347" w:rsidRPr="00DF498B" w:rsidRDefault="00402347" w:rsidP="00DF498B">
            <w:pPr>
              <w:pStyle w:val="BulletBox"/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Razvoj online platforme ili alata za praćenje i upravljanje praksom (implementacija)</w:t>
            </w:r>
          </w:p>
          <w:p w14:paraId="1C9B9FF5" w14:textId="18A5BD2A" w:rsidR="00402347" w:rsidRPr="00DF498B" w:rsidRDefault="00402347" w:rsidP="00DF498B">
            <w:pPr>
              <w:pStyle w:val="BulletBox"/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Uspostavljanje saradnje sa kompanijama i univerzitetima za stvaranje resursa (saradnja)</w:t>
            </w:r>
          </w:p>
          <w:p w14:paraId="35EBA419" w14:textId="77777777" w:rsidR="00402347" w:rsidRDefault="00402347" w:rsidP="0040234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0D645575" w14:textId="77777777" w:rsidR="003B29C3" w:rsidRPr="00DF498B" w:rsidRDefault="003B29C3" w:rsidP="00DF498B">
            <w:pPr>
              <w:pStyle w:val="BulletBox"/>
              <w:rPr>
                <w:b/>
                <w:bCs/>
                <w:sz w:val="18"/>
                <w:szCs w:val="18"/>
              </w:rPr>
            </w:pPr>
            <w:r w:rsidRPr="00DF498B">
              <w:rPr>
                <w:b/>
                <w:bCs/>
                <w:sz w:val="18"/>
                <w:szCs w:val="18"/>
              </w:rPr>
              <w:t>Radni paket 2: Implementacija mentorskih programa</w:t>
            </w:r>
          </w:p>
          <w:p w14:paraId="5B8A0869" w14:textId="77777777" w:rsidR="00DF498B" w:rsidRPr="00DF498B" w:rsidRDefault="00DF498B" w:rsidP="00DF498B">
            <w:pPr>
              <w:pStyle w:val="BulletBox"/>
              <w:numPr>
                <w:ilvl w:val="0"/>
                <w:numId w:val="14"/>
              </w:numPr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Razvoj plana mentorskih programa (planiranje)</w:t>
            </w:r>
          </w:p>
          <w:p w14:paraId="597183C0" w14:textId="77777777" w:rsidR="00DF498B" w:rsidRPr="00DF498B" w:rsidRDefault="00DF498B" w:rsidP="00DF498B">
            <w:pPr>
              <w:pStyle w:val="BulletBox"/>
              <w:numPr>
                <w:ilvl w:val="0"/>
                <w:numId w:val="14"/>
              </w:numPr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Selekcija i obuka mentora (priprema)</w:t>
            </w:r>
          </w:p>
          <w:p w14:paraId="72D85442" w14:textId="77777777" w:rsidR="00DF498B" w:rsidRPr="00DF498B" w:rsidRDefault="00DF498B" w:rsidP="00DF498B">
            <w:pPr>
              <w:pStyle w:val="BulletBox"/>
              <w:numPr>
                <w:ilvl w:val="0"/>
                <w:numId w:val="14"/>
              </w:numPr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Razvoj sistema za praćenje napretka studenata i mentora (implementacija)</w:t>
            </w:r>
          </w:p>
          <w:p w14:paraId="70255D50" w14:textId="77777777" w:rsidR="00DF498B" w:rsidRPr="00DF498B" w:rsidRDefault="00DF498B" w:rsidP="00DF498B">
            <w:pPr>
              <w:pStyle w:val="BulletBox"/>
              <w:numPr>
                <w:ilvl w:val="0"/>
                <w:numId w:val="14"/>
              </w:numPr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 xml:space="preserve">Sprovođenje mentorskih programa </w:t>
            </w:r>
            <w:r w:rsidRPr="00DF498B">
              <w:rPr>
                <w:sz w:val="18"/>
                <w:szCs w:val="18"/>
              </w:rPr>
              <w:lastRenderedPageBreak/>
              <w:t>(implementacija)</w:t>
            </w:r>
          </w:p>
          <w:p w14:paraId="6479B148" w14:textId="77777777" w:rsidR="00DF498B" w:rsidRPr="00DF498B" w:rsidRDefault="00DF498B" w:rsidP="00DF498B">
            <w:pPr>
              <w:pStyle w:val="BulletBox"/>
              <w:numPr>
                <w:ilvl w:val="0"/>
                <w:numId w:val="14"/>
              </w:numPr>
              <w:spacing w:line="259" w:lineRule="auto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Evaluacija uspešnosti studenata i mentora (evaluacija)</w:t>
            </w:r>
          </w:p>
          <w:p w14:paraId="7251D606" w14:textId="77777777" w:rsidR="00402347" w:rsidRPr="00DF498B" w:rsidRDefault="00402347" w:rsidP="00DF498B">
            <w:pPr>
              <w:rPr>
                <w:b/>
                <w:bCs/>
                <w:sz w:val="18"/>
                <w:szCs w:val="18"/>
              </w:rPr>
            </w:pPr>
          </w:p>
          <w:p w14:paraId="1AA2CAFC" w14:textId="77777777" w:rsidR="00402347" w:rsidRDefault="00402347" w:rsidP="0040234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7187061F" w14:textId="77777777" w:rsidR="003B29C3" w:rsidRPr="00DF498B" w:rsidRDefault="003B29C3" w:rsidP="00DF498B">
            <w:pPr>
              <w:pStyle w:val="BulletBox"/>
              <w:rPr>
                <w:b/>
                <w:bCs/>
                <w:sz w:val="18"/>
                <w:szCs w:val="18"/>
              </w:rPr>
            </w:pPr>
            <w:r w:rsidRPr="00DF498B">
              <w:rPr>
                <w:b/>
                <w:bCs/>
                <w:sz w:val="18"/>
                <w:szCs w:val="18"/>
              </w:rPr>
              <w:t>Radni paket 3: Jačanje veza između obrazovnih institucija i industrije</w:t>
            </w:r>
          </w:p>
          <w:p w14:paraId="01A2C16A" w14:textId="77777777" w:rsidR="00402347" w:rsidRDefault="00402347" w:rsidP="0040234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5B9E8EC5" w14:textId="6AD86D0F" w:rsidR="00A742B7" w:rsidRPr="00DF498B" w:rsidRDefault="00A742B7" w:rsidP="00DF498B">
            <w:pPr>
              <w:pStyle w:val="BulletBox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Analiza trenutnih veza između obrazovnih institucija i industrije (istraživanje)</w:t>
            </w:r>
          </w:p>
          <w:p w14:paraId="6CD81519" w14:textId="6AAF140C" w:rsidR="00A742B7" w:rsidRPr="00DF498B" w:rsidRDefault="00A742B7" w:rsidP="00DF498B">
            <w:pPr>
              <w:pStyle w:val="BulletBox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Identifikacija mogućnosti za unapređenje veza (planiranje)</w:t>
            </w:r>
          </w:p>
          <w:p w14:paraId="38AE51C0" w14:textId="75800ED6" w:rsidR="00A742B7" w:rsidRPr="00DF498B" w:rsidRDefault="00A742B7" w:rsidP="00DF498B">
            <w:pPr>
              <w:pStyle w:val="BulletBox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Organizacija sastanaka i radionica između akademskih i poslovnih predstavnika (implementacija)</w:t>
            </w:r>
          </w:p>
          <w:p w14:paraId="1282FB5C" w14:textId="1264F31A" w:rsidR="00A742B7" w:rsidRPr="00DF498B" w:rsidRDefault="00A742B7" w:rsidP="00DF498B">
            <w:pPr>
              <w:pStyle w:val="BulletBox"/>
              <w:rPr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Razvoj programa saradnje za pružanje podrške studentima (implementacija)</w:t>
            </w:r>
          </w:p>
          <w:p w14:paraId="28E536A5" w14:textId="36CF7195" w:rsidR="00A742B7" w:rsidRPr="00DF498B" w:rsidRDefault="00A742B7" w:rsidP="00DF498B">
            <w:pPr>
              <w:pStyle w:val="BulletBox"/>
              <w:rPr>
                <w:b/>
                <w:bCs/>
                <w:sz w:val="18"/>
                <w:szCs w:val="18"/>
              </w:rPr>
            </w:pPr>
            <w:r w:rsidRPr="00DF498B">
              <w:rPr>
                <w:sz w:val="18"/>
                <w:szCs w:val="18"/>
              </w:rPr>
              <w:t>Evaluacija efikasnosti programa saradnje (evaluacija)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</w:t>
            </w:r>
            <w:r w:rsidR="00F10280" w:rsidRPr="00301A4B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7F91BF39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osoblja:</w:t>
            </w:r>
          </w:p>
          <w:p w14:paraId="1561F0DF" w14:textId="187A8F7F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•Putni troškovi:</w:t>
            </w:r>
          </w:p>
          <w:p w14:paraId="69626051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boravka:</w:t>
            </w:r>
          </w:p>
          <w:p w14:paraId="7E16044D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Oprema:</w:t>
            </w:r>
          </w:p>
          <w:p w14:paraId="2DAFE7FF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Podugovaranje:</w:t>
            </w:r>
          </w:p>
          <w:p w14:paraId="27529EEA" w14:textId="5063FC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sz w:val="20"/>
              </w:rPr>
            </w:pPr>
            <w:r w:rsidRPr="00301A4B">
              <w:rPr>
                <w:i/>
                <w:iCs/>
                <w:sz w:val="18"/>
                <w:szCs w:val="18"/>
              </w:rPr>
              <w:t>• Sufinansiranje: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Pr="00301A4B" w:rsidRDefault="00654B9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301A4B" w:rsidRDefault="00F10280" w:rsidP="00F1028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6CD916BB" w14:textId="77777777" w:rsidR="00D94AC5" w:rsidRPr="004A376E" w:rsidRDefault="00D94AC5" w:rsidP="00D94AC5">
            <w:pPr>
              <w:rPr>
                <w:sz w:val="18"/>
                <w:szCs w:val="18"/>
              </w:rPr>
            </w:pPr>
            <w:r w:rsidRPr="004A376E">
              <w:rPr>
                <w:b/>
                <w:bCs/>
                <w:sz w:val="18"/>
                <w:szCs w:val="18"/>
              </w:rPr>
              <w:t>Preduslovi:</w:t>
            </w:r>
          </w:p>
          <w:p w14:paraId="5F49F05A" w14:textId="77777777" w:rsidR="00D94AC5" w:rsidRPr="004A376E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Odobrenje resursa: Potrebno je da postoje odobreni budžet i resursi za sprovođenje projekta, uključujući finansijske, ljudske i materijalne resurse.</w:t>
            </w:r>
          </w:p>
          <w:p w14:paraId="3296A69B" w14:textId="77777777" w:rsidR="00D94AC5" w:rsidRPr="004A376E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Angažovanje ključnih aktera: Ključni akteri, kao što su obrazovne institucije, kompanije, mentori i studenti, trebaju biti angažovani i spremni da učestvuju u projektu.</w:t>
            </w:r>
          </w:p>
          <w:p w14:paraId="58825017" w14:textId="77777777" w:rsidR="00D94AC5" w:rsidRPr="004A376E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Pristup relevantnim informacijama: Timu projekta treba obezbediti pristup relevantnim informacijama o potrebama studenata, industrijskim partnerima, dostupnim resursima itd.</w:t>
            </w:r>
          </w:p>
          <w:p w14:paraId="1A475CA6" w14:textId="77777777" w:rsidR="00D94AC5" w:rsidRPr="004A376E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Definisanje ciljeva i očekivanja: Jasno definisani ciljevi i očekivanja projekta trebaju biti usvojeni i razumevani od strane svih relevantnih strana.</w:t>
            </w:r>
          </w:p>
          <w:p w14:paraId="3EB9FB0F" w14:textId="77777777" w:rsidR="00D94AC5" w:rsidRPr="004A376E" w:rsidRDefault="00D94AC5" w:rsidP="00D94AC5">
            <w:pPr>
              <w:rPr>
                <w:sz w:val="18"/>
                <w:szCs w:val="18"/>
              </w:rPr>
            </w:pPr>
            <w:r w:rsidRPr="004A376E">
              <w:rPr>
                <w:b/>
                <w:bCs/>
                <w:sz w:val="18"/>
                <w:szCs w:val="18"/>
              </w:rPr>
              <w:t>Uslovi van direktne kontrole projekta:</w:t>
            </w:r>
          </w:p>
          <w:p w14:paraId="7FE15579" w14:textId="77777777" w:rsidR="00D94AC5" w:rsidRPr="004A376E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 xml:space="preserve">Ekonomska situacija: Stabilna ekonomska situacija može olakšati obezbeđivanje finansijskih resursa za projekat, dok ekonomska nestabilnost </w:t>
            </w:r>
            <w:r w:rsidRPr="004A376E">
              <w:rPr>
                <w:sz w:val="18"/>
                <w:szCs w:val="18"/>
              </w:rPr>
              <w:lastRenderedPageBreak/>
              <w:t>može ograničiti dostupnost finansiranja.</w:t>
            </w:r>
          </w:p>
          <w:p w14:paraId="0298F9CC" w14:textId="77777777" w:rsidR="00D94AC5" w:rsidRPr="004A376E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Zakonski propisi: Promene u zakonima i propisima koji regulišu oblast obrazovanja i industrije mogu uticati na sprovođenje projekta, poput propisa o praksi studenata ili radnih uslova.</w:t>
            </w:r>
          </w:p>
          <w:p w14:paraId="41B3BDE2" w14:textId="77777777" w:rsidR="00D94AC5" w:rsidRPr="004A376E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Društvena podrška: Podrška šire društvene zajednice, obrazovnih institucija, industrije i drugih relevantnih aktera može olakšati implementaciju projekta.</w:t>
            </w:r>
          </w:p>
          <w:p w14:paraId="2788587A" w14:textId="77777777" w:rsidR="00D94AC5" w:rsidRPr="004A376E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8"/>
                <w:szCs w:val="18"/>
              </w:rPr>
            </w:pPr>
            <w:r w:rsidRPr="004A376E">
              <w:rPr>
                <w:sz w:val="18"/>
                <w:szCs w:val="18"/>
              </w:rPr>
              <w:t>Tehnološka infrastruktura: Pristup neophodnoj tehnološkoj infrastrukturi, poput interneta i softverskih alata, može biti ključan za uspešnu realizaciju projektnih aktivnosti.</w:t>
            </w:r>
          </w:p>
          <w:p w14:paraId="6FE86DA4" w14:textId="6A0CBFEC" w:rsidR="00F10280" w:rsidRPr="00301A4B" w:rsidRDefault="00F10280" w:rsidP="007C7581">
            <w:pPr>
              <w:pStyle w:val="ListParagraph"/>
              <w:widowControl w:val="0"/>
              <w:tabs>
                <w:tab w:val="left" w:pos="228"/>
              </w:tabs>
              <w:ind w:left="446"/>
              <w:rPr>
                <w:i/>
                <w:sz w:val="18"/>
                <w:szCs w:val="18"/>
              </w:rPr>
            </w:pPr>
          </w:p>
        </w:tc>
      </w:tr>
    </w:tbl>
    <w:p w14:paraId="7A1808BF" w14:textId="77777777" w:rsidR="00DC05E3" w:rsidRDefault="00DC05E3"/>
    <w:sectPr w:rsidR="00DC05E3" w:rsidSect="00E00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8E3"/>
    <w:multiLevelType w:val="hybridMultilevel"/>
    <w:tmpl w:val="7436CC4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EE814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90325"/>
    <w:multiLevelType w:val="hybridMultilevel"/>
    <w:tmpl w:val="2EF0208A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4" w15:restartNumberingAfterBreak="0">
    <w:nsid w:val="18B474A7"/>
    <w:multiLevelType w:val="hybridMultilevel"/>
    <w:tmpl w:val="175A5FDA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2A245826"/>
    <w:multiLevelType w:val="multilevel"/>
    <w:tmpl w:val="FB36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26A50"/>
    <w:multiLevelType w:val="multilevel"/>
    <w:tmpl w:val="A20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D3031"/>
    <w:multiLevelType w:val="multilevel"/>
    <w:tmpl w:val="164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464EEE"/>
    <w:multiLevelType w:val="multilevel"/>
    <w:tmpl w:val="FBD6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713341"/>
    <w:multiLevelType w:val="multilevel"/>
    <w:tmpl w:val="1D68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31E38"/>
    <w:multiLevelType w:val="multilevel"/>
    <w:tmpl w:val="E9F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F4C57"/>
    <w:multiLevelType w:val="multilevel"/>
    <w:tmpl w:val="E29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5E4B3381"/>
    <w:multiLevelType w:val="hybridMultilevel"/>
    <w:tmpl w:val="394C784C"/>
    <w:lvl w:ilvl="0" w:tplc="8EE0C0BE">
      <w:start w:val="1"/>
      <w:numFmt w:val="decimal"/>
      <w:lvlText w:val="%1."/>
      <w:lvlJc w:val="left"/>
      <w:pPr>
        <w:ind w:left="806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 w15:restartNumberingAfterBreak="0">
    <w:nsid w:val="79E925EA"/>
    <w:multiLevelType w:val="multilevel"/>
    <w:tmpl w:val="72C2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12"/>
  </w:num>
  <w:num w:numId="6">
    <w:abstractNumId w:val="6"/>
  </w:num>
  <w:num w:numId="7">
    <w:abstractNumId w:val="5"/>
  </w:num>
  <w:num w:numId="8">
    <w:abstractNumId w:val="0"/>
  </w:num>
  <w:num w:numId="9">
    <w:abstractNumId w:val="13"/>
  </w:num>
  <w:num w:numId="10">
    <w:abstractNumId w:val="8"/>
  </w:num>
  <w:num w:numId="11">
    <w:abstractNumId w:val="14"/>
  </w:num>
  <w:num w:numId="12">
    <w:abstractNumId w:val="10"/>
  </w:num>
  <w:num w:numId="13">
    <w:abstractNumId w:val="7"/>
  </w:num>
  <w:num w:numId="14">
    <w:abstractNumId w:val="4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91"/>
    <w:rsid w:val="001C464B"/>
    <w:rsid w:val="00301A4B"/>
    <w:rsid w:val="00395BDD"/>
    <w:rsid w:val="003B29C3"/>
    <w:rsid w:val="00402347"/>
    <w:rsid w:val="004A376E"/>
    <w:rsid w:val="004E73A5"/>
    <w:rsid w:val="00612107"/>
    <w:rsid w:val="00636604"/>
    <w:rsid w:val="00654B91"/>
    <w:rsid w:val="006F79CD"/>
    <w:rsid w:val="007C7581"/>
    <w:rsid w:val="00887C42"/>
    <w:rsid w:val="008D5B5A"/>
    <w:rsid w:val="008F4196"/>
    <w:rsid w:val="008F64DB"/>
    <w:rsid w:val="009F4A92"/>
    <w:rsid w:val="00A742B7"/>
    <w:rsid w:val="00C61823"/>
    <w:rsid w:val="00C708DC"/>
    <w:rsid w:val="00D94AC5"/>
    <w:rsid w:val="00DC05E3"/>
    <w:rsid w:val="00DF498B"/>
    <w:rsid w:val="00E00DA9"/>
    <w:rsid w:val="00EC1FED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Pulic</cp:lastModifiedBy>
  <cp:revision>10</cp:revision>
  <dcterms:created xsi:type="dcterms:W3CDTF">2024-05-14T08:02:00Z</dcterms:created>
  <dcterms:modified xsi:type="dcterms:W3CDTF">2024-05-15T09:50:00Z</dcterms:modified>
</cp:coreProperties>
</file>