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3553" w14:textId="3C0A71D1" w:rsidR="00444FBE" w:rsidRDefault="00444FBE" w:rsidP="00444FBE">
      <w:pPr>
        <w:jc w:val="center"/>
        <w:rPr>
          <w:b/>
          <w:bCs/>
          <w:sz w:val="32"/>
          <w:szCs w:val="32"/>
        </w:rPr>
      </w:pPr>
      <w:proofErr w:type="spellStart"/>
      <w:r w:rsidRPr="00444FBE">
        <w:rPr>
          <w:b/>
          <w:bCs/>
          <w:sz w:val="32"/>
          <w:szCs w:val="32"/>
        </w:rPr>
        <w:t>FedShield</w:t>
      </w:r>
      <w:proofErr w:type="spellEnd"/>
      <w:r w:rsidRPr="00444FBE">
        <w:rPr>
          <w:b/>
          <w:bCs/>
          <w:sz w:val="32"/>
          <w:szCs w:val="32"/>
        </w:rPr>
        <w:t>-ID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6495"/>
      </w:tblGrid>
      <w:tr w:rsidR="00444FBE" w:rsidRPr="00444FBE" w14:paraId="278D7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39C50" w14:textId="77777777" w:rsidR="00444FBE" w:rsidRPr="00444FBE" w:rsidRDefault="00444FBE" w:rsidP="00444FBE">
            <w:pPr>
              <w:rPr>
                <w:b/>
                <w:bCs/>
                <w:sz w:val="28"/>
                <w:szCs w:val="28"/>
              </w:rPr>
            </w:pPr>
            <w:r w:rsidRPr="00444FBE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4F0738B" w14:textId="77777777" w:rsidR="00444FBE" w:rsidRPr="00444FBE" w:rsidRDefault="00444FBE" w:rsidP="00444FBE">
            <w:pPr>
              <w:rPr>
                <w:b/>
                <w:bCs/>
                <w:sz w:val="28"/>
                <w:szCs w:val="28"/>
              </w:rPr>
            </w:pPr>
            <w:r w:rsidRPr="00444FBE">
              <w:rPr>
                <w:b/>
                <w:bCs/>
                <w:sz w:val="28"/>
                <w:szCs w:val="28"/>
              </w:rPr>
              <w:t>Meaning / Simple Explanation</w:t>
            </w:r>
          </w:p>
        </w:tc>
      </w:tr>
      <w:tr w:rsidR="00444FBE" w:rsidRPr="00444FBE" w14:paraId="5B71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8BF4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Federated Learning (FL)</w:t>
            </w:r>
          </w:p>
        </w:tc>
        <w:tc>
          <w:tcPr>
            <w:tcW w:w="0" w:type="auto"/>
            <w:vAlign w:val="center"/>
            <w:hideMark/>
          </w:tcPr>
          <w:p w14:paraId="37DE04FB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machine learning approach where models are trained locally at each bank without sharing customer data. Only model updates are shared.</w:t>
            </w:r>
          </w:p>
        </w:tc>
      </w:tr>
      <w:tr w:rsidR="00444FBE" w:rsidRPr="00444FBE" w14:paraId="017DC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3B10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proofErr w:type="spellStart"/>
            <w:r w:rsidRPr="00444FBE">
              <w:rPr>
                <w:sz w:val="28"/>
                <w:szCs w:val="28"/>
              </w:rPr>
              <w:t>FedAvg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FB134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Federated Learning algorithm that combines local model updates from multiple banks into a single global model.</w:t>
            </w:r>
          </w:p>
        </w:tc>
      </w:tr>
      <w:tr w:rsidR="00444FBE" w:rsidRPr="00444FBE" w14:paraId="6C53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0947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Differential Privacy (DP)</w:t>
            </w:r>
          </w:p>
        </w:tc>
        <w:tc>
          <w:tcPr>
            <w:tcW w:w="0" w:type="auto"/>
            <w:vAlign w:val="center"/>
            <w:hideMark/>
          </w:tcPr>
          <w:p w14:paraId="42A5C3C2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privacy technique that adds mathematical noise to model updates, preventing sensitive customer information from being reconstructed.</w:t>
            </w:r>
          </w:p>
        </w:tc>
      </w:tr>
      <w:tr w:rsidR="00444FBE" w:rsidRPr="00444FBE" w14:paraId="6C42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F8A4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Privacy Budget (ε - Epsilon)</w:t>
            </w:r>
          </w:p>
        </w:tc>
        <w:tc>
          <w:tcPr>
            <w:tcW w:w="0" w:type="auto"/>
            <w:vAlign w:val="center"/>
            <w:hideMark/>
          </w:tcPr>
          <w:p w14:paraId="408C9527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parameter in Differential Privacy that controls the balance between privacy and model accuracy. Lower ε provides stronger privacy.</w:t>
            </w:r>
          </w:p>
        </w:tc>
      </w:tr>
      <w:tr w:rsidR="00444FBE" w:rsidRPr="00444FBE" w14:paraId="378E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29E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Identity Trust Score</w:t>
            </w:r>
          </w:p>
        </w:tc>
        <w:tc>
          <w:tcPr>
            <w:tcW w:w="0" w:type="auto"/>
            <w:vAlign w:val="center"/>
            <w:hideMark/>
          </w:tcPr>
          <w:p w14:paraId="10F23959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An AI-generated score (0–100) representing how trustworthy a user's identity and session are.</w:t>
            </w:r>
          </w:p>
        </w:tc>
      </w:tr>
      <w:tr w:rsidR="00444FBE" w:rsidRPr="00444FBE" w14:paraId="749F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594E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proofErr w:type="spellStart"/>
            <w:r w:rsidRPr="00444FBE">
              <w:rPr>
                <w:sz w:val="28"/>
                <w:szCs w:val="28"/>
              </w:rPr>
              <w:t>Behavioral</w:t>
            </w:r>
            <w:proofErr w:type="spellEnd"/>
            <w:r w:rsidRPr="00444FBE">
              <w:rPr>
                <w:sz w:val="28"/>
                <w:szCs w:val="28"/>
              </w:rPr>
              <w:t xml:space="preserve"> Biometrics</w:t>
            </w:r>
          </w:p>
        </w:tc>
        <w:tc>
          <w:tcPr>
            <w:tcW w:w="0" w:type="auto"/>
            <w:vAlign w:val="center"/>
            <w:hideMark/>
          </w:tcPr>
          <w:p w14:paraId="34DBF05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 xml:space="preserve">Authentication based on user </w:t>
            </w:r>
            <w:proofErr w:type="spellStart"/>
            <w:r w:rsidRPr="00444FBE">
              <w:rPr>
                <w:sz w:val="28"/>
                <w:szCs w:val="28"/>
              </w:rPr>
              <w:t>behavior</w:t>
            </w:r>
            <w:proofErr w:type="spellEnd"/>
            <w:r w:rsidRPr="00444FBE">
              <w:rPr>
                <w:sz w:val="28"/>
                <w:szCs w:val="28"/>
              </w:rPr>
              <w:t>, such as typing speed, mouse movements, and interaction patterns.</w:t>
            </w:r>
          </w:p>
        </w:tc>
      </w:tr>
      <w:tr w:rsidR="00444FBE" w:rsidRPr="00444FBE" w14:paraId="60A7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B92B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Adaptive Authentication</w:t>
            </w:r>
          </w:p>
        </w:tc>
        <w:tc>
          <w:tcPr>
            <w:tcW w:w="0" w:type="auto"/>
            <w:vAlign w:val="center"/>
            <w:hideMark/>
          </w:tcPr>
          <w:p w14:paraId="262E7E10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security approach that changes authentication requirements based on the user's calculated risk level (Allow, OTP, Face Verification, or Block).</w:t>
            </w:r>
          </w:p>
        </w:tc>
      </w:tr>
      <w:tr w:rsidR="00444FBE" w:rsidRPr="00444FBE" w14:paraId="079F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4B0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6929E76A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graph-based representation that reveals hidden relationships between accounts, devices, transactions, and suspicious activities.</w:t>
            </w:r>
          </w:p>
        </w:tc>
      </w:tr>
      <w:tr w:rsidR="00444FBE" w:rsidRPr="00444FBE" w14:paraId="52E0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443F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SHAP (</w:t>
            </w:r>
            <w:proofErr w:type="spellStart"/>
            <w:r w:rsidRPr="00444FBE">
              <w:rPr>
                <w:sz w:val="28"/>
                <w:szCs w:val="28"/>
              </w:rPr>
              <w:t>SHapley</w:t>
            </w:r>
            <w:proofErr w:type="spellEnd"/>
            <w:r w:rsidRPr="00444FBE">
              <w:rPr>
                <w:sz w:val="28"/>
                <w:szCs w:val="28"/>
              </w:rPr>
              <w:t xml:space="preserve"> Additive Explanations)</w:t>
            </w:r>
          </w:p>
        </w:tc>
        <w:tc>
          <w:tcPr>
            <w:tcW w:w="0" w:type="auto"/>
            <w:vAlign w:val="center"/>
            <w:hideMark/>
          </w:tcPr>
          <w:p w14:paraId="14E5E720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An Explainable AI technique that shows which factors influenced an AI model's prediction.</w:t>
            </w:r>
          </w:p>
        </w:tc>
      </w:tr>
      <w:tr w:rsidR="00444FBE" w:rsidRPr="00444FBE" w14:paraId="35ED1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935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lastRenderedPageBreak/>
              <w:t>Explainable AI (XAI)</w:t>
            </w:r>
          </w:p>
        </w:tc>
        <w:tc>
          <w:tcPr>
            <w:tcW w:w="0" w:type="auto"/>
            <w:vAlign w:val="center"/>
            <w:hideMark/>
          </w:tcPr>
          <w:p w14:paraId="0A13D55D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AI methods that make model decisions understandable and transparent for humans.</w:t>
            </w:r>
          </w:p>
        </w:tc>
      </w:tr>
      <w:tr w:rsidR="00444FBE" w:rsidRPr="00444FBE" w14:paraId="551FB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0BAB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15997C2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An ensemble machine learning algorithm that combines multiple decision trees to improve prediction accuracy.</w:t>
            </w:r>
          </w:p>
        </w:tc>
      </w:tr>
      <w:tr w:rsidR="00444FBE" w:rsidRPr="00444FBE" w14:paraId="3804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251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SGD (Stochastic Gradient Descent)</w:t>
            </w:r>
          </w:p>
        </w:tc>
        <w:tc>
          <w:tcPr>
            <w:tcW w:w="0" w:type="auto"/>
            <w:vAlign w:val="center"/>
            <w:hideMark/>
          </w:tcPr>
          <w:p w14:paraId="39B38BBE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An optimization algorithm used to efficiently train machine learning models.</w:t>
            </w:r>
          </w:p>
        </w:tc>
      </w:tr>
      <w:tr w:rsidR="00444FBE" w:rsidRPr="00444FBE" w14:paraId="65C5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034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proofErr w:type="spellStart"/>
            <w:r w:rsidRPr="00444FBE">
              <w:rPr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637C1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high-performance Python framework for building secure and scalable REST APIs.</w:t>
            </w:r>
          </w:p>
        </w:tc>
      </w:tr>
      <w:tr w:rsidR="00444FBE" w:rsidRPr="00444FBE" w14:paraId="23A7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560A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2993BC30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standard HTTP-based communication method that allows different applications to exchange data.</w:t>
            </w:r>
          </w:p>
        </w:tc>
      </w:tr>
      <w:tr w:rsidR="00444FBE" w:rsidRPr="00444FBE" w14:paraId="2740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7E4D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proofErr w:type="spellStart"/>
            <w:r w:rsidRPr="00444FBE">
              <w:rPr>
                <w:sz w:val="28"/>
                <w:szCs w:val="28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23C52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high-performance communication framework that uses Protocol Buffers and HTTP/2, making it faster than REST for service-to-service communication.</w:t>
            </w:r>
          </w:p>
        </w:tc>
      </w:tr>
      <w:tr w:rsidR="00444FBE" w:rsidRPr="00444FBE" w14:paraId="184A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1C2D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9E3EEBF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containerization platform that packages applications and their dependencies for consistent deployment across environments.</w:t>
            </w:r>
          </w:p>
        </w:tc>
      </w:tr>
      <w:tr w:rsidR="00444FBE" w:rsidRPr="00444FBE" w14:paraId="7D60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D855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3C0DED9A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An architecture where an application is divided into small, independent services that can be developed and scaled separately.</w:t>
            </w:r>
          </w:p>
        </w:tc>
      </w:tr>
      <w:tr w:rsidR="00444FBE" w:rsidRPr="00444FBE" w14:paraId="5109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1FA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Telemetry</w:t>
            </w:r>
          </w:p>
        </w:tc>
        <w:tc>
          <w:tcPr>
            <w:tcW w:w="0" w:type="auto"/>
            <w:vAlign w:val="center"/>
            <w:hideMark/>
          </w:tcPr>
          <w:p w14:paraId="0DD8CBA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 xml:space="preserve">Real-time operational and </w:t>
            </w:r>
            <w:proofErr w:type="spellStart"/>
            <w:r w:rsidRPr="00444FBE">
              <w:rPr>
                <w:sz w:val="28"/>
                <w:szCs w:val="28"/>
              </w:rPr>
              <w:t>behavioral</w:t>
            </w:r>
            <w:proofErr w:type="spellEnd"/>
            <w:r w:rsidRPr="00444FBE">
              <w:rPr>
                <w:sz w:val="28"/>
                <w:szCs w:val="28"/>
              </w:rPr>
              <w:t xml:space="preserve"> data collected from users, devices, or systems for monitoring and analysis.</w:t>
            </w:r>
          </w:p>
        </w:tc>
      </w:tr>
      <w:tr w:rsidR="00444FBE" w:rsidRPr="00444FBE" w14:paraId="5F327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9A97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Post-Quantum Cryptography (PQC)</w:t>
            </w:r>
          </w:p>
        </w:tc>
        <w:tc>
          <w:tcPr>
            <w:tcW w:w="0" w:type="auto"/>
            <w:vAlign w:val="center"/>
            <w:hideMark/>
          </w:tcPr>
          <w:p w14:paraId="3C38842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Cryptographic algorithms designed to remain secure even against future quantum computers.</w:t>
            </w:r>
          </w:p>
        </w:tc>
      </w:tr>
      <w:tr w:rsidR="00444FBE" w:rsidRPr="00444FBE" w14:paraId="3807F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C669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CRYSTALS-Kyber</w:t>
            </w:r>
          </w:p>
        </w:tc>
        <w:tc>
          <w:tcPr>
            <w:tcW w:w="0" w:type="auto"/>
            <w:vAlign w:val="center"/>
            <w:hideMark/>
          </w:tcPr>
          <w:p w14:paraId="0F367A8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NIST-standardized Post-Quantum Key Encapsulation Mechanism (KEM) used for secure key exchange.</w:t>
            </w:r>
          </w:p>
        </w:tc>
      </w:tr>
      <w:tr w:rsidR="00444FBE" w:rsidRPr="00444FBE" w14:paraId="5546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1B83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lastRenderedPageBreak/>
              <w:t>Key Encapsulation Mechanism (KEM)</w:t>
            </w:r>
          </w:p>
        </w:tc>
        <w:tc>
          <w:tcPr>
            <w:tcW w:w="0" w:type="auto"/>
            <w:vAlign w:val="center"/>
            <w:hideMark/>
          </w:tcPr>
          <w:p w14:paraId="327F35F9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cryptographic technique used to securely exchange encryption keys between two parties.</w:t>
            </w:r>
          </w:p>
        </w:tc>
      </w:tr>
      <w:tr w:rsidR="00444FBE" w:rsidRPr="00444FBE" w14:paraId="546C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4718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41181865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Hosting and running an application on cloud platforms such as AWS, Azure, or Google Cloud.</w:t>
            </w:r>
          </w:p>
        </w:tc>
      </w:tr>
      <w:tr w:rsidR="00444FBE" w:rsidRPr="00444FBE" w14:paraId="0FA1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4B61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Core Banking System (CBS)</w:t>
            </w:r>
          </w:p>
        </w:tc>
        <w:tc>
          <w:tcPr>
            <w:tcW w:w="0" w:type="auto"/>
            <w:vAlign w:val="center"/>
            <w:hideMark/>
          </w:tcPr>
          <w:p w14:paraId="18BFC2D3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The central banking software that manages customer accounts, transactions, loans, and other banking operations.</w:t>
            </w:r>
          </w:p>
        </w:tc>
      </w:tr>
      <w:tr w:rsidR="00444FBE" w:rsidRPr="00444FBE" w14:paraId="6C0D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54C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Real-Time Risk Monitoring</w:t>
            </w:r>
          </w:p>
        </w:tc>
        <w:tc>
          <w:tcPr>
            <w:tcW w:w="0" w:type="auto"/>
            <w:vAlign w:val="center"/>
            <w:hideMark/>
          </w:tcPr>
          <w:p w14:paraId="304BEE9A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Continuous monitoring of logins and transactions to identify suspicious activities instantly.</w:t>
            </w:r>
          </w:p>
        </w:tc>
      </w:tr>
      <w:tr w:rsidR="00444FBE" w:rsidRPr="00444FBE" w14:paraId="6471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E7A2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090A1FC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The process of verifying a user's identity using documents such as PAN, Aadhaar, email, or phone verification.</w:t>
            </w:r>
          </w:p>
        </w:tc>
      </w:tr>
      <w:tr w:rsidR="00444FBE" w:rsidRPr="00444FBE" w14:paraId="633D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428B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Synthetic Identity Fraud</w:t>
            </w:r>
          </w:p>
        </w:tc>
        <w:tc>
          <w:tcPr>
            <w:tcW w:w="0" w:type="auto"/>
            <w:vAlign w:val="center"/>
            <w:hideMark/>
          </w:tcPr>
          <w:p w14:paraId="3F48B46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Fraud where attackers create fake identities by combining real and fabricated personal information.</w:t>
            </w:r>
          </w:p>
        </w:tc>
      </w:tr>
      <w:tr w:rsidR="00444FBE" w:rsidRPr="00444FBE" w14:paraId="7747C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ECB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Account Takeover (ATO)</w:t>
            </w:r>
          </w:p>
        </w:tc>
        <w:tc>
          <w:tcPr>
            <w:tcW w:w="0" w:type="auto"/>
            <w:vAlign w:val="center"/>
            <w:hideMark/>
          </w:tcPr>
          <w:p w14:paraId="2FFC25ED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Unauthorized access to a legitimate user's account through stolen credentials or social engineering.</w:t>
            </w:r>
          </w:p>
        </w:tc>
      </w:tr>
      <w:tr w:rsidR="00444FBE" w:rsidRPr="00444FBE" w14:paraId="1CB72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0890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Credential Stuffing</w:t>
            </w:r>
          </w:p>
        </w:tc>
        <w:tc>
          <w:tcPr>
            <w:tcW w:w="0" w:type="auto"/>
            <w:vAlign w:val="center"/>
            <w:hideMark/>
          </w:tcPr>
          <w:p w14:paraId="476C3196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An automated attack where leaked usernames and passwords are tested across multiple websites.</w:t>
            </w:r>
          </w:p>
        </w:tc>
      </w:tr>
      <w:tr w:rsidR="00444FBE" w:rsidRPr="00444FBE" w14:paraId="6435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21DA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SIM Swap Attack</w:t>
            </w:r>
          </w:p>
        </w:tc>
        <w:tc>
          <w:tcPr>
            <w:tcW w:w="0" w:type="auto"/>
            <w:vAlign w:val="center"/>
            <w:hideMark/>
          </w:tcPr>
          <w:p w14:paraId="6B457F69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 fraud technique where an attacker transfers a victim's phone number to a new SIM card to intercept OTPs.</w:t>
            </w:r>
          </w:p>
        </w:tc>
      </w:tr>
      <w:tr w:rsidR="00444FBE" w:rsidRPr="00444FBE" w14:paraId="4F4E0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D0D7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RBI Compliance</w:t>
            </w:r>
          </w:p>
        </w:tc>
        <w:tc>
          <w:tcPr>
            <w:tcW w:w="0" w:type="auto"/>
            <w:vAlign w:val="center"/>
            <w:hideMark/>
          </w:tcPr>
          <w:p w14:paraId="621EB68C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Adhering to cybersecurity and operational guidelines issued by the Reserve Bank of India.</w:t>
            </w:r>
          </w:p>
        </w:tc>
      </w:tr>
      <w:tr w:rsidR="00444FBE" w:rsidRPr="00444FBE" w14:paraId="1B1ED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DD8F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DPDP Act</w:t>
            </w:r>
          </w:p>
        </w:tc>
        <w:tc>
          <w:tcPr>
            <w:tcW w:w="0" w:type="auto"/>
            <w:vAlign w:val="center"/>
            <w:hideMark/>
          </w:tcPr>
          <w:p w14:paraId="694870DE" w14:textId="77777777" w:rsidR="00444FBE" w:rsidRPr="00444FBE" w:rsidRDefault="00444FBE" w:rsidP="00444FBE">
            <w:pPr>
              <w:rPr>
                <w:sz w:val="28"/>
                <w:szCs w:val="28"/>
              </w:rPr>
            </w:pPr>
            <w:r w:rsidRPr="00444FBE">
              <w:rPr>
                <w:sz w:val="28"/>
                <w:szCs w:val="28"/>
              </w:rPr>
              <w:t>India's Digital Personal Data Protection Act, which governs the collection, processing, and protection of personal data.</w:t>
            </w:r>
          </w:p>
        </w:tc>
      </w:tr>
    </w:tbl>
    <w:p w14:paraId="3176C608" w14:textId="77777777" w:rsidR="00444FBE" w:rsidRPr="00444FBE" w:rsidRDefault="00444FBE" w:rsidP="00444FBE">
      <w:pPr>
        <w:rPr>
          <w:b/>
          <w:bCs/>
          <w:sz w:val="32"/>
          <w:szCs w:val="32"/>
        </w:rPr>
      </w:pPr>
    </w:p>
    <w:sectPr w:rsidR="00444FBE" w:rsidRPr="0044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BE"/>
    <w:rsid w:val="00444FBE"/>
    <w:rsid w:val="0063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B798"/>
  <w15:chartTrackingRefBased/>
  <w15:docId w15:val="{3BACB46C-952A-4121-810C-FF491FF2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Hamid</dc:creator>
  <cp:keywords/>
  <dc:description/>
  <cp:lastModifiedBy>Amaan Hamid</cp:lastModifiedBy>
  <cp:revision>1</cp:revision>
  <dcterms:created xsi:type="dcterms:W3CDTF">2026-07-21T01:53:00Z</dcterms:created>
  <dcterms:modified xsi:type="dcterms:W3CDTF">2026-07-21T01:56:00Z</dcterms:modified>
</cp:coreProperties>
</file>