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Highlights</w:t>
      </w:r>
    </w:p>
    <w:p>
      <w:r>
        <w:t xml:space="preserve"/>
      </w:r>
    </w:p>
    <w:p>
      <w:r>
        <w:t xml:space="preserve">- 221 dengue outbreaks fitted under all 144 combinations of six analysis choices</w:t>
      </w:r>
    </w:p>
    <w:p>
      <w:r>
        <w:t xml:space="preserve">- The verdict on climate forcing changes with the analyst in 92% of outbreaks</w:t>
      </w:r>
    </w:p>
    <w:p>
      <w:r>
        <w:t xml:space="preserve">- 61% of the variation is an outbreak-by-analysis interaction no convention removes</w:t>
      </w:r>
    </w:p>
    <w:p>
      <w:r>
        <w:t xml:space="preserve">- Nominal 95% intervals cover the truth 71-78% of the time on simulated data</w:t>
      </w:r>
    </w:p>
    <w:p>
      <w:r>
        <w:t xml:space="preserve">- Combining eight analyses by Rubin's rules restores nominal coverage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