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jc w:val="center"/>
      </w:pPr>
      <w:r>
        <w:rPr>
          <w:rFonts w:ascii="Times New Roman" w:hAnsi="Times New Roman"/>
          <w:b/>
          <w:sz w:val="52"/>
        </w:rPr>
        <w:t>Software Requirements Specification</w:t>
      </w:r>
    </w:p>
    <w:p>
      <w:pPr>
        <w:jc w:val="center"/>
      </w:pPr>
      <w:r>
        <w:rPr>
          <w:sz w:val="24"/>
        </w:rPr>
        <w:t>for</w:t>
      </w:r>
    </w:p>
    <w:p>
      <w:pPr>
        <w:spacing w:after="480"/>
        <w:jc w:val="center"/>
      </w:pPr>
      <w:r>
        <w:rPr>
          <w:b/>
          <w:sz w:val="44"/>
        </w:rPr>
        <w:t>RFP Intelligence System</w:t>
        <w:br/>
        <w:t>(v2.0)</w:t>
      </w:r>
    </w:p>
    <w:p/>
    <w:p/>
    <w:p/>
    <w:p>
      <w:pPr>
        <w:jc w:val="center"/>
      </w:pPr>
      <w:r>
        <w:rPr>
          <w:b/>
          <w:sz w:val="24"/>
        </w:rPr>
        <w:t>Version 1.0 approved</w:t>
      </w:r>
    </w:p>
    <w:p/>
    <w:p/>
    <w:p>
      <w:pPr>
        <w:spacing w:line="312" w:lineRule="auto"/>
        <w:jc w:val="center"/>
      </w:pPr>
      <w:r>
        <w:rPr>
          <w:sz w:val="24"/>
        </w:rPr>
        <w:t>Prepared by RFP Automation Team</w:t>
        <w:br/>
      </w:r>
      <w:r>
        <w:rPr>
          <w:sz w:val="24"/>
        </w:rPr>
        <w:t>SPS Identity &amp; Cybersecurity Solutions</w:t>
        <w:br/>
      </w:r>
      <w:r>
        <w:rPr>
          <w:sz w:val="24"/>
        </w:rPr>
        <w:t>July 7, 2026</w:t>
        <w:br/>
      </w:r>
    </w:p>
    <w:p/>
    <w:p/>
    <w:p/>
    <w:p/>
    <w:p>
      <w:pPr>
        <w:jc w:val="center"/>
      </w:pPr>
      <w:r>
        <w:rPr>
          <w:i/>
          <w:sz w:val="18"/>
        </w:rPr>
        <w:t>Copyright © 1999 by Karl E. Wiegers. Permission is granted to use, modify, and distribute this document.</w:t>
      </w:r>
    </w:p>
    <w:p>
      <w:r>
        <w:br w:type="page"/>
      </w:r>
    </w:p>
    <w:p>
      <w:r>
        <w:rPr>
          <w:b/>
          <w:sz w:val="32"/>
        </w:rPr>
        <w:t>Table of Contents</w:t>
      </w:r>
    </w:p>
    <w:p>
      <w:pPr>
        <w:spacing w:after="40"/>
      </w:pPr>
      <w:r>
        <w:t>1. Introduction</w:t>
      </w:r>
      <w:r>
        <w:rPr>
          <w:color w:val="666666"/>
        </w:rPr>
        <w:t xml:space="preserve"> ........................................................................... 1</w:t>
      </w:r>
    </w:p>
    <w:p>
      <w:pPr>
        <w:spacing w:after="40"/>
      </w:pPr>
      <w:r>
        <w:t xml:space="preserve">   1.1 Purpose</w:t>
      </w:r>
      <w:r>
        <w:rPr>
          <w:color w:val="666666"/>
        </w:rPr>
        <w:t xml:space="preserve"> ............................................................................ 1</w:t>
      </w:r>
    </w:p>
    <w:p>
      <w:pPr>
        <w:spacing w:after="40"/>
      </w:pPr>
      <w:r>
        <w:t xml:space="preserve">   1.2 Document Conventions</w:t>
      </w:r>
      <w:r>
        <w:rPr>
          <w:color w:val="666666"/>
        </w:rPr>
        <w:t xml:space="preserve"> ............................................................... 1</w:t>
      </w:r>
    </w:p>
    <w:p>
      <w:pPr>
        <w:spacing w:after="40"/>
      </w:pPr>
      <w:r>
        <w:t xml:space="preserve">   1.3 Intended Audience and Reading Suggestions</w:t>
      </w:r>
      <w:r>
        <w:rPr>
          <w:color w:val="666666"/>
        </w:rPr>
        <w:t xml:space="preserve"> .......................................... 1</w:t>
      </w:r>
    </w:p>
    <w:p>
      <w:pPr>
        <w:spacing w:after="40"/>
      </w:pPr>
      <w:r>
        <w:t xml:space="preserve">   1.4 Product Scope</w:t>
      </w:r>
      <w:r>
        <w:rPr>
          <w:color w:val="666666"/>
        </w:rPr>
        <w:t xml:space="preserve"> ...................................................................... 1</w:t>
      </w:r>
    </w:p>
    <w:p>
      <w:pPr>
        <w:spacing w:after="40"/>
      </w:pPr>
      <w:r>
        <w:t xml:space="preserve">   1.5 References</w:t>
      </w:r>
      <w:r>
        <w:rPr>
          <w:color w:val="666666"/>
        </w:rPr>
        <w:t xml:space="preserve"> ......................................................................... 2</w:t>
      </w:r>
    </w:p>
    <w:p>
      <w:pPr>
        <w:spacing w:after="40"/>
      </w:pPr>
      <w:r>
        <w:t>2. Overall Description</w:t>
      </w:r>
      <w:r>
        <w:rPr>
          <w:color w:val="666666"/>
        </w:rPr>
        <w:t xml:space="preserve"> .................................................................... 2</w:t>
      </w:r>
    </w:p>
    <w:p>
      <w:pPr>
        <w:spacing w:after="40"/>
      </w:pPr>
      <w:r>
        <w:t xml:space="preserve">   2.1 Product Perspective</w:t>
      </w:r>
      <w:r>
        <w:rPr>
          <w:color w:val="666666"/>
        </w:rPr>
        <w:t xml:space="preserve"> ................................................................ 2</w:t>
      </w:r>
    </w:p>
    <w:p>
      <w:pPr>
        <w:spacing w:after="40"/>
      </w:pPr>
      <w:r>
        <w:t xml:space="preserve">   2.2 Product Functions</w:t>
      </w:r>
      <w:r>
        <w:rPr>
          <w:color w:val="666666"/>
        </w:rPr>
        <w:t xml:space="preserve"> .................................................................. 2</w:t>
      </w:r>
    </w:p>
    <w:p>
      <w:pPr>
        <w:spacing w:after="40"/>
      </w:pPr>
      <w:r>
        <w:t xml:space="preserve">   2.3 User Classes and Characteristics</w:t>
      </w:r>
      <w:r>
        <w:rPr>
          <w:color w:val="666666"/>
        </w:rPr>
        <w:t xml:space="preserve"> ................................................... 3</w:t>
      </w:r>
    </w:p>
    <w:p>
      <w:pPr>
        <w:spacing w:after="40"/>
      </w:pPr>
      <w:r>
        <w:t xml:space="preserve">   2.4 Operating Environment</w:t>
      </w:r>
      <w:r>
        <w:rPr>
          <w:color w:val="666666"/>
        </w:rPr>
        <w:t xml:space="preserve"> .............................................................. 3</w:t>
      </w:r>
    </w:p>
    <w:p>
      <w:pPr>
        <w:spacing w:after="40"/>
      </w:pPr>
      <w:r>
        <w:t xml:space="preserve">   2.5 Design and Implementation Constraints</w:t>
      </w:r>
      <w:r>
        <w:rPr>
          <w:color w:val="666666"/>
        </w:rPr>
        <w:t xml:space="preserve"> .............................................. 3</w:t>
      </w:r>
    </w:p>
    <w:p>
      <w:pPr>
        <w:spacing w:after="40"/>
      </w:pPr>
      <w:r>
        <w:t xml:space="preserve">   2.6 User Documentation</w:t>
      </w:r>
      <w:r>
        <w:rPr>
          <w:color w:val="666666"/>
        </w:rPr>
        <w:t xml:space="preserve"> ................................................................. 3</w:t>
      </w:r>
    </w:p>
    <w:p>
      <w:pPr>
        <w:spacing w:after="40"/>
      </w:pPr>
      <w:r>
        <w:t xml:space="preserve">   2.7 Assumptions and Dependencies</w:t>
      </w:r>
      <w:r>
        <w:rPr>
          <w:color w:val="666666"/>
        </w:rPr>
        <w:t xml:space="preserve"> ....................................................... 3</w:t>
      </w:r>
    </w:p>
    <w:p>
      <w:pPr>
        <w:spacing w:after="40"/>
      </w:pPr>
      <w:r>
        <w:t>3. External Interface Requirements</w:t>
      </w:r>
      <w:r>
        <w:rPr>
          <w:color w:val="666666"/>
        </w:rPr>
        <w:t xml:space="preserve"> ........................................................ 4</w:t>
      </w:r>
    </w:p>
    <w:p>
      <w:pPr>
        <w:spacing w:after="40"/>
      </w:pPr>
      <w:r>
        <w:t xml:space="preserve">   3.1 User Interfaces</w:t>
      </w:r>
      <w:r>
        <w:rPr>
          <w:color w:val="666666"/>
        </w:rPr>
        <w:t xml:space="preserve"> .................................................................... 4</w:t>
      </w:r>
    </w:p>
    <w:p>
      <w:pPr>
        <w:spacing w:after="40"/>
      </w:pPr>
      <w:r>
        <w:t xml:space="preserve">   3.2 Hardware Interfaces</w:t>
      </w:r>
      <w:r>
        <w:rPr>
          <w:color w:val="666666"/>
        </w:rPr>
        <w:t xml:space="preserve"> ................................................................ 4</w:t>
      </w:r>
    </w:p>
    <w:p>
      <w:pPr>
        <w:spacing w:after="40"/>
      </w:pPr>
      <w:r>
        <w:t xml:space="preserve">   3.3 Software Interfaces</w:t>
      </w:r>
      <w:r>
        <w:rPr>
          <w:color w:val="666666"/>
        </w:rPr>
        <w:t xml:space="preserve"> ................................................................ 4</w:t>
      </w:r>
    </w:p>
    <w:p>
      <w:pPr>
        <w:spacing w:after="40"/>
      </w:pPr>
      <w:r>
        <w:t xml:space="preserve">   3.4 Communications Interfaces</w:t>
      </w:r>
      <w:r>
        <w:rPr>
          <w:color w:val="666666"/>
        </w:rPr>
        <w:t xml:space="preserve"> .......................................................... 4</w:t>
      </w:r>
    </w:p>
    <w:p>
      <w:pPr>
        <w:spacing w:after="40"/>
      </w:pPr>
      <w:r>
        <w:t>4. System Features</w:t>
      </w:r>
      <w:r>
        <w:rPr>
          <w:color w:val="666666"/>
        </w:rPr>
        <w:t xml:space="preserve"> ........................................................................ 4</w:t>
      </w:r>
    </w:p>
    <w:p>
      <w:pPr>
        <w:spacing w:after="40"/>
      </w:pPr>
      <w:r>
        <w:t xml:space="preserve">   4.1 Automated RFP Extraction &amp; Financial Compliance Analyzer</w:t>
      </w:r>
      <w:r>
        <w:rPr>
          <w:color w:val="666666"/>
        </w:rPr>
        <w:t xml:space="preserve"> ........................... 4</w:t>
      </w:r>
    </w:p>
    <w:p>
      <w:pPr>
        <w:spacing w:after="40"/>
      </w:pPr>
      <w:r>
        <w:t xml:space="preserve">   4.2 Legal, Compliance, &amp; Risk Matrix Generator</w:t>
      </w:r>
      <w:r>
        <w:rPr>
          <w:color w:val="666666"/>
        </w:rPr>
        <w:t xml:space="preserve"> ......................................... 5</w:t>
      </w:r>
    </w:p>
    <w:p>
      <w:pPr>
        <w:spacing w:after="40"/>
      </w:pPr>
      <w:r>
        <w:t xml:space="preserve">   4.3 Operations &amp; Form Compliance Tracking System</w:t>
      </w:r>
      <w:r>
        <w:rPr>
          <w:color w:val="666666"/>
        </w:rPr>
        <w:t xml:space="preserve"> ....................................... 5</w:t>
      </w:r>
    </w:p>
    <w:p>
      <w:pPr>
        <w:spacing w:after="40"/>
      </w:pPr>
      <w:r>
        <w:t xml:space="preserve">   4.4 Technical Service Alignment &amp; Capability Matcher</w:t>
      </w:r>
      <w:r>
        <w:rPr>
          <w:color w:val="666666"/>
        </w:rPr>
        <w:t xml:space="preserve"> ................................... 6</w:t>
      </w:r>
    </w:p>
    <w:p>
      <w:pPr>
        <w:spacing w:after="40"/>
      </w:pPr>
      <w:r>
        <w:t>5. Other Nonfunctional Requirements</w:t>
      </w:r>
      <w:r>
        <w:rPr>
          <w:color w:val="666666"/>
        </w:rPr>
        <w:t xml:space="preserve"> ....................................................... 6</w:t>
      </w:r>
    </w:p>
    <w:p>
      <w:pPr>
        <w:spacing w:after="40"/>
      </w:pPr>
      <w:r>
        <w:t xml:space="preserve">   5.1 Performance Requirements</w:t>
      </w:r>
      <w:r>
        <w:rPr>
          <w:color w:val="666666"/>
        </w:rPr>
        <w:t xml:space="preserve"> ........................................................... 6</w:t>
      </w:r>
    </w:p>
    <w:p>
      <w:pPr>
        <w:spacing w:after="40"/>
      </w:pPr>
      <w:r>
        <w:t xml:space="preserve">   5.2 Safety Requirements</w:t>
      </w:r>
      <w:r>
        <w:rPr>
          <w:color w:val="666666"/>
        </w:rPr>
        <w:t xml:space="preserve"> ................................................................ 6</w:t>
      </w:r>
    </w:p>
    <w:p>
      <w:pPr>
        <w:spacing w:after="40"/>
      </w:pPr>
      <w:r>
        <w:t xml:space="preserve">   5.3 Security Requirements</w:t>
      </w:r>
      <w:r>
        <w:rPr>
          <w:color w:val="666666"/>
        </w:rPr>
        <w:t xml:space="preserve"> .............................................................. 6</w:t>
      </w:r>
    </w:p>
    <w:p>
      <w:pPr>
        <w:spacing w:after="40"/>
      </w:pPr>
      <w:r>
        <w:t xml:space="preserve">   5.4 Software Quality Attributes</w:t>
      </w:r>
      <w:r>
        <w:rPr>
          <w:color w:val="666666"/>
        </w:rPr>
        <w:t xml:space="preserve"> ........................................................ 7</w:t>
      </w:r>
    </w:p>
    <w:p>
      <w:pPr>
        <w:spacing w:after="40"/>
      </w:pPr>
      <w:r>
        <w:t xml:space="preserve">   5.5 Business Rules</w:t>
      </w:r>
      <w:r>
        <w:rPr>
          <w:color w:val="666666"/>
        </w:rPr>
        <w:t xml:space="preserve"> ..................................................................... 7</w:t>
      </w:r>
    </w:p>
    <w:p>
      <w:pPr>
        <w:spacing w:after="40"/>
      </w:pPr>
      <w:r>
        <w:t>6. Other Requirements</w:t>
      </w:r>
      <w:r>
        <w:rPr>
          <w:color w:val="666666"/>
        </w:rPr>
        <w:t xml:space="preserve"> ..................................................................... 7</w:t>
      </w:r>
    </w:p>
    <w:p>
      <w:pPr>
        <w:spacing w:after="40"/>
      </w:pPr>
      <w:r>
        <w:t>Appendix A: Glossary</w:t>
      </w:r>
      <w:r>
        <w:rPr>
          <w:color w:val="666666"/>
        </w:rPr>
        <w:t xml:space="preserve"> ...................................................................... 7</w:t>
      </w:r>
    </w:p>
    <w:p>
      <w:pPr>
        <w:spacing w:after="40"/>
      </w:pPr>
      <w:r>
        <w:t>Appendix B: Analysis Models</w:t>
      </w:r>
      <w:r>
        <w:rPr>
          <w:color w:val="666666"/>
        </w:rPr>
        <w:t xml:space="preserve"> ............................................................... 8</w:t>
      </w:r>
    </w:p>
    <w:p>
      <w:pPr>
        <w:spacing w:after="40"/>
      </w:pPr>
      <w:r>
        <w:t>Appendix C: To Be Determined List</w:t>
      </w:r>
      <w:r>
        <w:rPr>
          <w:color w:val="666666"/>
        </w:rPr>
        <w:t xml:space="preserve"> ......................................................... 8</w:t>
      </w:r>
    </w:p>
    <w:p/>
    <w:p>
      <w:r>
        <w:rPr>
          <w:b/>
          <w:sz w:val="28"/>
        </w:rPr>
        <w:t>Revision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FEFEF"/>
          </w:tcPr>
          <w:p>
            <w:r>
              <w:rPr>
                <w:b/>
              </w:rPr>
              <w:t>Name</w:t>
            </w:r>
          </w:p>
        </w:tc>
        <w:tc>
          <w:tcPr>
            <w:tcW w:type="dxa" w:w="2340"/>
            <w:shd w:val="clear" w:color="auto" w:fill="EFEFEF"/>
          </w:tcPr>
          <w:p>
            <w:r>
              <w:rPr>
                <w:b/>
              </w:rPr>
              <w:t>Date</w:t>
            </w:r>
          </w:p>
        </w:tc>
        <w:tc>
          <w:tcPr>
            <w:tcW w:type="dxa" w:w="2340"/>
            <w:shd w:val="clear" w:color="auto" w:fill="EFEFEF"/>
          </w:tcPr>
          <w:p>
            <w:r>
              <w:rPr>
                <w:b/>
              </w:rPr>
              <w:t>Reason For Changes</w:t>
            </w:r>
          </w:p>
        </w:tc>
        <w:tc>
          <w:tcPr>
            <w:tcW w:type="dxa" w:w="2340"/>
            <w:shd w:val="clear" w:color="auto" w:fill="EFEFEF"/>
          </w:tcPr>
          <w:p>
            <w:r>
              <w:rPr>
                <w:b/>
              </w:rPr>
              <w:t>Version</w:t>
            </w:r>
          </w:p>
        </w:tc>
      </w:tr>
      <w:tr>
        <w:tc>
          <w:tcPr>
            <w:tcW w:type="dxa" w:w="2340"/>
          </w:tcPr>
          <w:p>
            <w:r>
              <w:t>RFP Automation Team</w:t>
            </w:r>
          </w:p>
        </w:tc>
        <w:tc>
          <w:tcPr>
            <w:tcW w:type="dxa" w:w="2340"/>
          </w:tcPr>
          <w:p>
            <w:r>
              <w:t>July 7, 2026</w:t>
            </w:r>
          </w:p>
        </w:tc>
        <w:tc>
          <w:tcPr>
            <w:tcW w:type="dxa" w:w="2340"/>
          </w:tcPr>
          <w:p>
            <w:r>
              <w:t>Initial production draft incorporating financial, legal, and operational automated check constraints.</w:t>
            </w:r>
          </w:p>
        </w:tc>
        <w:tc>
          <w:tcPr>
            <w:tcW w:type="dxa" w:w="2340"/>
          </w:tcPr>
          <w:p>
            <w:r>
              <w:t>1.0</w:t>
            </w:r>
          </w:p>
        </w:tc>
      </w:tr>
    </w:tbl>
    <w:p>
      <w:r>
        <w:br w:type="page"/>
      </w:r>
    </w:p>
    <w:p>
      <w:pPr>
        <w:keepNext/>
        <w:spacing w:before="240" w:after="120"/>
      </w:pPr>
      <w:r>
        <w:rPr>
          <w:b/>
          <w:sz w:val="28"/>
        </w:rPr>
        <w:t>1. Introduction</w:t>
      </w:r>
    </w:p>
    <w:p>
      <w:pPr>
        <w:keepNext/>
        <w:spacing w:before="240" w:after="80"/>
      </w:pPr>
      <w:r>
        <w:rPr>
          <w:b/>
          <w:sz w:val="24"/>
        </w:rPr>
        <w:t>1.1 Purpose</w:t>
      </w:r>
    </w:p>
    <w:p>
      <w:pPr>
        <w:spacing w:after="120" w:line="276" w:lineRule="auto"/>
      </w:pPr>
      <w:r>
        <w:t>This Software Requirements Specification (SRS) identifies and specifies the all-inclusive functional and non-functional requirements for the RFP Intelligence System (v2.0). This system is custom-engineered to cross-examine complex institutional Requests for Proposals (RFPs) against a company's internal capabilities, financial, operations, and legal risk parameters. This document encapsulates version 1.0 of the application, detailing core backend engine routes and client UI alignment strategies.</w:t>
      </w:r>
    </w:p>
    <w:p>
      <w:pPr>
        <w:keepNext/>
        <w:spacing w:before="240" w:after="80"/>
      </w:pPr>
      <w:r>
        <w:rPr>
          <w:b/>
          <w:sz w:val="24"/>
        </w:rPr>
        <w:t>1.2 Document Conventions</w:t>
      </w:r>
    </w:p>
    <w:p>
      <w:pPr>
        <w:spacing w:after="120" w:line="276" w:lineRule="auto"/>
      </w:pPr>
      <w:r>
        <w:t>This document adheres strictly to the classic IEEE 830-1998 specification format. High-level requirements inherit priority traits down to technical granular sub-features. Critical compliance tracking metrics use clear inline status designations: [GO] denotes absolute confirmation, [NO-GO] dictates a fundamental baseline mismatch, and [NEEDS REVIEW] demands immediate administrative or legal escalation.</w:t>
      </w:r>
    </w:p>
    <w:p>
      <w:pPr>
        <w:keepNext/>
        <w:spacing w:before="240" w:after="80"/>
      </w:pPr>
      <w:r>
        <w:rPr>
          <w:b/>
          <w:sz w:val="24"/>
        </w:rPr>
        <w:t>1.3 Intended Audience and Reading Suggestions</w:t>
      </w:r>
    </w:p>
    <w:p>
      <w:pPr>
        <w:spacing w:after="120" w:line="276" w:lineRule="auto"/>
      </w:pPr>
      <w:r>
        <w:t>This documentation is prepared for development engineers, product managers, quality assurance testers, compliance auditors, and proposal teams. It is recommended to read Section 1 and Section 2 for an architectural layout, followed by Section 4 for detailed microservice functional logic and Section 5 for core security constraints.</w:t>
      </w:r>
    </w:p>
    <w:p>
      <w:pPr>
        <w:keepNext/>
        <w:spacing w:before="240" w:after="80"/>
      </w:pPr>
      <w:r>
        <w:rPr>
          <w:b/>
          <w:sz w:val="24"/>
        </w:rPr>
        <w:t>1.4 Product Scope</w:t>
      </w:r>
    </w:p>
    <w:p>
      <w:pPr>
        <w:spacing w:after="120" w:line="276" w:lineRule="auto"/>
      </w:pPr>
      <w:r>
        <w:t>The RFP Intelligence System accelerates and automates high-volume public and enterprise sector bid/no-bid evaluations. It parses structural text files, determines whether financial rules match internal baselines (e.g., NET30 standard payment limits, $5M total liability caps), reviews rigorous operational demands (e.g., state registrations, SWAM/MBE plans, E-Verify requirements), and evaluates specific technical constraints like Drupal module integration, semantic relevance mechanics, and smart AI search systems.</w:t>
      </w:r>
    </w:p>
    <w:p>
      <w:pPr>
        <w:keepNext/>
        <w:spacing w:before="240" w:after="80"/>
      </w:pPr>
      <w:r>
        <w:rPr>
          <w:b/>
          <w:sz w:val="24"/>
        </w:rPr>
        <w:t>1.5 References</w:t>
      </w:r>
    </w:p>
    <w:p>
      <w:pPr>
        <w:spacing w:after="120" w:line="276" w:lineRule="auto"/>
      </w:pPr>
      <w:r>
        <w:t>1. IEEE Std 830-1998, IEEE Recommended Practice for Software Requirements Specifications.</w:t>
        <w:br/>
        <w:t>2. RFP Exhibit A, B, &amp; C Compliance Requirements Document.</w:t>
        <w:br/>
        <w:t>3. Internal SPS Financial Operations Guidelines &amp; Data Protection Policy (v4.2).</w:t>
      </w:r>
    </w:p>
    <w:p>
      <w:pPr>
        <w:keepNext/>
        <w:spacing w:before="240" w:after="120"/>
      </w:pPr>
      <w:r>
        <w:rPr>
          <w:b/>
          <w:sz w:val="28"/>
        </w:rPr>
        <w:t>2. Overall Description</w:t>
      </w:r>
    </w:p>
    <w:p>
      <w:pPr>
        <w:keepNext/>
        <w:spacing w:before="240" w:after="80"/>
      </w:pPr>
      <w:r>
        <w:rPr>
          <w:b/>
          <w:sz w:val="24"/>
        </w:rPr>
        <w:t>2.1 Product Perspective</w:t>
      </w:r>
    </w:p>
    <w:p>
      <w:pPr>
        <w:spacing w:after="120" w:line="276" w:lineRule="auto"/>
      </w:pPr>
      <w:r>
        <w:t>The application operates as an enterprise intelligence layer that interfaces directly with underlying NLP text tokenizers and large language model engines. The system is structurally split into a modern decoupled architecture: a high-fidelity client frontend layer and an isolated Node.js/Express backend services stack. It coexists alongside corporate customer relationship management environments and cloud file hosting repositories.</w:t>
      </w:r>
    </w:p>
    <w:p>
      <w:pPr>
        <w:keepNext/>
        <w:spacing w:before="240" w:after="80"/>
      </w:pPr>
      <w:r>
        <w:rPr>
          <w:b/>
          <w:sz w:val="24"/>
        </w:rPr>
        <w:t>2.2 Product Functions</w:t>
      </w:r>
    </w:p>
    <w:p>
      <w:pPr>
        <w:spacing w:after="120" w:line="276" w:lineRule="auto"/>
      </w:pPr>
      <w:r>
        <w:t>The main functional features provided by the platform are:</w:t>
        <w:br/>
        <w:t>• Multi-format document parsing and structural metadata mapping.</w:t>
        <w:br/>
        <w:t>• Financial metric isolation (payment term evaluation, aggregate liability calculations).</w:t>
        <w:br/>
        <w:t>• Legal &amp; regulatory rule processing (FERPA, HIPAA, Section 508, E-Verify extraction).</w:t>
        <w:br/>
        <w:t>• Action-item orchestration for operations forms (W-9 tracking, Certificate of Insurance generation).</w:t>
        <w:br/>
        <w:t>• Technical fit matrix generation mapping capabilities directly to requested technical specifications.</w:t>
      </w:r>
    </w:p>
    <w:p>
      <w:pPr>
        <w:keepNext/>
        <w:spacing w:before="240" w:after="80"/>
      </w:pPr>
      <w:r>
        <w:rPr>
          <w:b/>
          <w:sz w:val="24"/>
        </w:rPr>
        <w:t>2.3 User Classes and Characteristics</w:t>
      </w:r>
    </w:p>
    <w:p>
      <w:pPr>
        <w:spacing w:after="120" w:line="276" w:lineRule="auto"/>
      </w:pPr>
      <w:r>
        <w:t>• Proposal Leads / Bid Managers: Require high-level dashboards, summary metrics, and automated risk scoring tables to instantly establish bid alignment.</w:t>
        <w:br/>
        <w:t>• Legal &amp; Accounting Examiners: Require comprehensive compliance citation logs to review flagged constraints (e.g., insurance caps exceeding baseline standards).</w:t>
        <w:br/>
        <w:t>• System Administrators: Maintain rate limit rules, handle environment insulation, and orchestrate API token keys.</w:t>
      </w:r>
    </w:p>
    <w:p>
      <w:pPr>
        <w:keepNext/>
        <w:spacing w:before="240" w:after="80"/>
      </w:pPr>
      <w:r>
        <w:rPr>
          <w:b/>
          <w:sz w:val="24"/>
        </w:rPr>
        <w:t>2.4 Operating Environment</w:t>
      </w:r>
    </w:p>
    <w:p>
      <w:pPr>
        <w:spacing w:after="120" w:line="276" w:lineRule="auto"/>
      </w:pPr>
      <w:r>
        <w:t>• Backend Engine: Node.js runtime environment utilizing the Express framework.</w:t>
        <w:br/>
        <w:t>• Process Management: Local cross-platform toolchains (Nodemon, MinGW64/VS Code, production process managers).</w:t>
        <w:br/>
        <w:t>• Client Layer: Modern standard secure desktop browsers (Chrome, Edge, Safari).</w:t>
      </w:r>
    </w:p>
    <w:p>
      <w:pPr>
        <w:keepNext/>
        <w:spacing w:before="240" w:after="80"/>
      </w:pPr>
      <w:r>
        <w:rPr>
          <w:b/>
          <w:sz w:val="24"/>
        </w:rPr>
        <w:t>2.5 Design and Implementation Constraints</w:t>
      </w:r>
    </w:p>
    <w:p>
      <w:pPr>
        <w:spacing w:after="120" w:line="276" w:lineRule="auto"/>
      </w:pPr>
      <w:r>
        <w:t>• Strictly decoupled logic preventing client-side interception of backend environment credentials.</w:t>
        <w:br/>
        <w:t>• Mandatory root insulation using secure .env configuration files.</w:t>
        <w:br/>
        <w:t>• Secure local handling of temporary documents, executing in-memory metadata transformation without persistent caching of unencrypted third-party data.</w:t>
      </w:r>
    </w:p>
    <w:p>
      <w:pPr>
        <w:keepNext/>
        <w:spacing w:before="240" w:after="80"/>
      </w:pPr>
      <w:r>
        <w:rPr>
          <w:b/>
          <w:sz w:val="24"/>
        </w:rPr>
        <w:t>2.6 User Documentation</w:t>
      </w:r>
    </w:p>
    <w:p>
      <w:pPr>
        <w:spacing w:after="120" w:line="276" w:lineRule="auto"/>
      </w:pPr>
      <w:r>
        <w:t>The platform will ship with an integrated interactive user onboarding walkthrough, a structured RESTful API documentation portal, and a dedicated administrator guide detailing custom rule definition syntax.</w:t>
      </w:r>
    </w:p>
    <w:p>
      <w:pPr>
        <w:keepNext/>
        <w:spacing w:before="240" w:after="80"/>
      </w:pPr>
      <w:r>
        <w:rPr>
          <w:b/>
          <w:sz w:val="24"/>
        </w:rPr>
        <w:t>2.7 Assumptions and Dependencies</w:t>
      </w:r>
    </w:p>
    <w:p>
      <w:pPr>
        <w:spacing w:after="120" w:line="276" w:lineRule="auto"/>
      </w:pPr>
      <w:r>
        <w:t>It is assumed that all uploaded materials contain clear electronic text vectors or machine-readable layers. The application is strictly dependent on the availability and responsiveness of integrated secure extraction parsers and localized rate-limiting libraries.</w:t>
      </w:r>
    </w:p>
    <w:p>
      <w:pPr>
        <w:keepNext/>
        <w:spacing w:before="240" w:after="120"/>
      </w:pPr>
      <w:r>
        <w:rPr>
          <w:b/>
          <w:sz w:val="28"/>
        </w:rPr>
        <w:t>3. External Interface Requirements</w:t>
      </w:r>
    </w:p>
    <w:p>
      <w:pPr>
        <w:keepNext/>
        <w:spacing w:before="240" w:after="80"/>
      </w:pPr>
      <w:r>
        <w:rPr>
          <w:b/>
          <w:sz w:val="24"/>
        </w:rPr>
        <w:t>3.1 User Interfaces</w:t>
      </w:r>
    </w:p>
    <w:p>
      <w:pPr>
        <w:spacing w:after="120" w:line="276" w:lineRule="auto"/>
      </w:pPr>
      <w:r>
        <w:t>The user interface must serve clean data summaries, presenting an instant Fit Score (0-100 scale), a visual [GO / NO-GO / NEEDS REVIEW] badge, and sorted tabular matrices displaying every checklist question beside its documented justification extracted from the source material.</w:t>
      </w:r>
    </w:p>
    <w:p>
      <w:pPr>
        <w:keepNext/>
        <w:spacing w:before="240" w:after="80"/>
      </w:pPr>
      <w:r>
        <w:rPr>
          <w:b/>
          <w:sz w:val="24"/>
        </w:rPr>
        <w:t>3.2 Hardware Interfaces</w:t>
      </w:r>
    </w:p>
    <w:p>
      <w:pPr>
        <w:spacing w:after="120" w:line="276" w:lineRule="auto"/>
      </w:pPr>
      <w:r>
        <w:t>No specialized client hardware is required. The server infrastructure requires minimal standard enterprise hosting units capable of handling in-memory text streaming and buffered form handling.</w:t>
      </w:r>
    </w:p>
    <w:p>
      <w:pPr>
        <w:keepNext/>
        <w:spacing w:before="240" w:after="80"/>
      </w:pPr>
      <w:r>
        <w:rPr>
          <w:b/>
          <w:sz w:val="24"/>
        </w:rPr>
        <w:t>3.3 Software Interfaces</w:t>
      </w:r>
    </w:p>
    <w:p>
      <w:pPr>
        <w:spacing w:after="120" w:line="276" w:lineRule="auto"/>
      </w:pPr>
      <w:r>
        <w:t>• Core Framework: Express with specialized middleware handling payloads, encoding, and cookie extraction.</w:t>
        <w:br/>
        <w:t>• Data Sanitization Stack: Integrated cross-origin resource sharing (CORS) security configurations and HTML text escaping modules.</w:t>
        <w:br/>
        <w:t>• NLP Core: Microservice interfaces connecting via secure HTTPS tokens to underlying LLM API routes.</w:t>
      </w:r>
    </w:p>
    <w:p>
      <w:pPr>
        <w:keepNext/>
        <w:spacing w:before="240" w:after="80"/>
      </w:pPr>
      <w:r>
        <w:rPr>
          <w:b/>
          <w:sz w:val="24"/>
        </w:rPr>
        <w:t>3.4 Communications Interfaces</w:t>
      </w:r>
    </w:p>
    <w:p>
      <w:pPr>
        <w:spacing w:after="120" w:line="276" w:lineRule="auto"/>
      </w:pPr>
      <w:r>
        <w:t>All network communications must run over transport-layer security protocols (HTTPS). API endpoints must enforce traffic regulation via express-rate-limit distributions to prevent platform over-utilization.</w:t>
      </w:r>
    </w:p>
    <w:p>
      <w:pPr>
        <w:keepNext/>
        <w:spacing w:before="240" w:after="120"/>
      </w:pPr>
      <w:r>
        <w:rPr>
          <w:b/>
          <w:sz w:val="28"/>
        </w:rPr>
        <w:t>4. System Features</w:t>
      </w:r>
    </w:p>
    <w:p>
      <w:pPr>
        <w:keepNext/>
        <w:spacing w:before="240" w:after="80"/>
      </w:pPr>
      <w:r>
        <w:rPr>
          <w:b/>
          <w:sz w:val="24"/>
        </w:rPr>
        <w:t>4.1 Automated RFP Extraction &amp; Financial Compliance Analyzer</w:t>
      </w:r>
    </w:p>
    <w:p>
      <w:pPr>
        <w:keepNext/>
        <w:spacing w:before="120" w:after="40"/>
      </w:pPr>
      <w:r>
        <w:rPr>
          <w:b/>
          <w:i/>
          <w:sz w:val="22"/>
        </w:rPr>
        <w:t>4.1.1 Description and Priority</w:t>
      </w:r>
    </w:p>
    <w:p>
      <w:pPr>
        <w:spacing w:after="120" w:line="276" w:lineRule="auto"/>
      </w:pPr>
      <w:r>
        <w:t>The system must isolate and evaluate core financial criteria, specifically target payment structures, liability caps, and bid bond demands. Priority: High.</w:t>
      </w:r>
    </w:p>
    <w:p>
      <w:pPr>
        <w:keepNext/>
        <w:spacing w:before="120" w:after="40"/>
      </w:pPr>
      <w:r>
        <w:rPr>
          <w:b/>
          <w:i/>
          <w:sz w:val="22"/>
        </w:rPr>
        <w:t>4.1.2 Stimulus/Response Sequences</w:t>
      </w:r>
    </w:p>
    <w:p>
      <w:pPr>
        <w:spacing w:after="120" w:line="276" w:lineRule="auto"/>
      </w:pPr>
      <w:r>
        <w:t>User uploads the source RFP text material. The engine extracts payment deadlines and compares them against internal standards. If payment term matches NET30 or less, the system sets status to GO. If greater, it raises a flag to accounting.</w:t>
      </w:r>
    </w:p>
    <w:p>
      <w:pPr>
        <w:keepNext/>
        <w:spacing w:before="120" w:after="40"/>
      </w:pPr>
      <w:r>
        <w:rPr>
          <w:b/>
          <w:i/>
          <w:sz w:val="22"/>
        </w:rPr>
        <w:t>4.1.3 Functional Requirements</w:t>
      </w:r>
    </w:p>
    <w:p>
      <w:pPr>
        <w:spacing w:after="120" w:line="276" w:lineRule="auto"/>
      </w:pPr>
      <w:r>
        <w:t>REQ-FIN-1: The platform must read target variables containing terms like 'NET30' or 'payment within X days' and map them directly into a clear digital summary table.</w:t>
        <w:br/>
        <w:t>REQ-FIN-2: The system must accumulate listed insurance values. If total specified coverages surpass the $5M standard internal threshold, it must throw a visible alert indicating a risk violation.</w:t>
      </w:r>
    </w:p>
    <w:p>
      <w:pPr>
        <w:keepNext/>
        <w:spacing w:before="240" w:after="80"/>
      </w:pPr>
      <w:r>
        <w:rPr>
          <w:b/>
          <w:sz w:val="24"/>
        </w:rPr>
        <w:t>4.2 Legal, Compliance, &amp; Risk Matrix Generator</w:t>
      </w:r>
    </w:p>
    <w:p>
      <w:pPr>
        <w:keepNext/>
        <w:spacing w:before="120" w:after="40"/>
      </w:pPr>
      <w:r>
        <w:rPr>
          <w:b/>
          <w:i/>
          <w:sz w:val="22"/>
        </w:rPr>
        <w:t>4.2.1 Description and Priority</w:t>
      </w:r>
    </w:p>
    <w:p>
      <w:pPr>
        <w:spacing w:after="120" w:line="276" w:lineRule="auto"/>
      </w:pPr>
      <w:r>
        <w:t>Analyzes source text files for stringent legal rules, compliance mandates, and state registration requirements. Priority: High.</w:t>
      </w:r>
    </w:p>
    <w:p>
      <w:pPr>
        <w:keepNext/>
        <w:spacing w:before="120" w:after="40"/>
      </w:pPr>
      <w:r>
        <w:rPr>
          <w:b/>
          <w:i/>
          <w:sz w:val="22"/>
        </w:rPr>
        <w:t>4.2.2 Stimulus/Response Sequences</w:t>
      </w:r>
    </w:p>
    <w:p>
      <w:pPr>
        <w:spacing w:after="120" w:line="276" w:lineRule="auto"/>
      </w:pPr>
      <w:r>
        <w:t>The ingestion pipeline checks for explicit compliance phrases (e.g., 'FERPA', 'HIPAA', 'E-Verify'). It logs rows into the legal checklist and updates the score summary.</w:t>
      </w:r>
    </w:p>
    <w:p>
      <w:pPr>
        <w:keepNext/>
        <w:spacing w:before="120" w:after="40"/>
      </w:pPr>
      <w:r>
        <w:rPr>
          <w:b/>
          <w:i/>
          <w:sz w:val="22"/>
        </w:rPr>
        <w:t>4.2.3 Functional Requirements</w:t>
      </w:r>
    </w:p>
    <w:p>
      <w:pPr>
        <w:spacing w:after="120" w:line="276" w:lineRule="auto"/>
      </w:pPr>
      <w:r>
        <w:t>REQ-LEG-1: The software must scan for state corporate registration parameters and E-Verify demands, automatically adding validation checklist rows requiring administrative tracking.</w:t>
        <w:br/>
        <w:t>REQ-LEG-2: The system must enforce legal venue isolation, highlighting any requirements asserting jurisdiction outside standard boundaries.</w:t>
      </w:r>
    </w:p>
    <w:p>
      <w:pPr>
        <w:keepNext/>
        <w:spacing w:before="240" w:after="80"/>
      </w:pPr>
      <w:r>
        <w:rPr>
          <w:b/>
          <w:sz w:val="24"/>
        </w:rPr>
        <w:t>4.3 Operations &amp; Form Compliance Tracking System</w:t>
      </w:r>
    </w:p>
    <w:p>
      <w:pPr>
        <w:keepNext/>
        <w:spacing w:before="120" w:after="40"/>
      </w:pPr>
      <w:r>
        <w:rPr>
          <w:b/>
          <w:i/>
          <w:sz w:val="22"/>
        </w:rPr>
        <w:t>4.3.1 Description and Priority</w:t>
      </w:r>
    </w:p>
    <w:p>
      <w:pPr>
        <w:spacing w:after="120" w:line="276" w:lineRule="auto"/>
      </w:pPr>
      <w:r>
        <w:t>Identifies required operational deliverables such as corporate W-9 forms, certificate of insurance filings, and specialized participation plans (SWAM/MBE). Priority: Medium.</w:t>
      </w:r>
    </w:p>
    <w:p>
      <w:pPr>
        <w:keepNext/>
        <w:spacing w:before="120" w:after="40"/>
      </w:pPr>
      <w:r>
        <w:rPr>
          <w:b/>
          <w:i/>
          <w:sz w:val="22"/>
        </w:rPr>
        <w:t>4.3.2 Stimulus/Response Sequences</w:t>
      </w:r>
    </w:p>
    <w:p>
      <w:pPr>
        <w:spacing w:after="120" w:line="276" w:lineRule="auto"/>
      </w:pPr>
      <w:r>
        <w:t>The parsing engine isolates operational submission targets, adding tasks to the proposal team queue.</w:t>
      </w:r>
    </w:p>
    <w:p>
      <w:pPr>
        <w:keepNext/>
        <w:spacing w:before="120" w:after="40"/>
      </w:pPr>
      <w:r>
        <w:rPr>
          <w:b/>
          <w:i/>
          <w:sz w:val="22"/>
        </w:rPr>
        <w:t>4.3.3 Functional Requirements</w:t>
      </w:r>
    </w:p>
    <w:p>
      <w:pPr>
        <w:spacing w:after="120" w:line="276" w:lineRule="auto"/>
      </w:pPr>
      <w:r>
        <w:t>REQ-OPS-1: The system must generate an interactive checklist of all required forms extracted from the RFP instructions, assigning clear responsibility ownership metrics.</w:t>
        <w:br/>
        <w:t>REQ-OPS-2: The system must flag minority/women business participation goals and automatically prompt the user to link internal certification records.</w:t>
      </w:r>
    </w:p>
    <w:p>
      <w:pPr>
        <w:keepNext/>
        <w:spacing w:before="240" w:after="80"/>
      </w:pPr>
      <w:r>
        <w:rPr>
          <w:b/>
          <w:sz w:val="24"/>
        </w:rPr>
        <w:t>4.4 Technical Service Alignment &amp; Capability Matcher</w:t>
      </w:r>
    </w:p>
    <w:p>
      <w:pPr>
        <w:keepNext/>
        <w:spacing w:before="120" w:after="40"/>
      </w:pPr>
      <w:r>
        <w:rPr>
          <w:b/>
          <w:i/>
          <w:sz w:val="22"/>
        </w:rPr>
        <w:t>4.4.1 Description and Priority</w:t>
      </w:r>
    </w:p>
    <w:p>
      <w:pPr>
        <w:spacing w:after="120" w:line="276" w:lineRule="auto"/>
      </w:pPr>
      <w:r>
        <w:t>Cross-references the RFP statement of work against corporate core competencies (e.g., AI semantic search, Drupal environments, API management). Priority: High.</w:t>
      </w:r>
    </w:p>
    <w:p>
      <w:pPr>
        <w:keepNext/>
        <w:spacing w:before="120" w:after="40"/>
      </w:pPr>
      <w:r>
        <w:rPr>
          <w:b/>
          <w:i/>
          <w:sz w:val="22"/>
        </w:rPr>
        <w:t>4.4.2 Stimulus/Response Sequences</w:t>
      </w:r>
    </w:p>
    <w:p>
      <w:pPr>
        <w:spacing w:after="120" w:line="276" w:lineRule="auto"/>
      </w:pPr>
      <w:r>
        <w:t>The matcher compares system requirements with internal capability templates, scoring the alignment percentage.</w:t>
      </w:r>
    </w:p>
    <w:p>
      <w:pPr>
        <w:keepNext/>
        <w:spacing w:before="120" w:after="40"/>
      </w:pPr>
      <w:r>
        <w:rPr>
          <w:b/>
          <w:i/>
          <w:sz w:val="22"/>
        </w:rPr>
        <w:t>4.4.3 Functional Requirements</w:t>
      </w:r>
    </w:p>
    <w:p>
      <w:pPr>
        <w:spacing w:after="120" w:line="276" w:lineRule="auto"/>
      </w:pPr>
      <w:r>
        <w:t>REQ-TECH-1: The platform must calculate technical fit scores based on matching requirements like WCAG 2.1 AA accessibility, natural language queries, and API modules.</w:t>
        <w:br/>
        <w:t>REQ-TECH-2: The platform must flag technical dependencies that fall completely outside the baseline platform offering to prevent unfeasible bid commitments.</w:t>
      </w:r>
    </w:p>
    <w:p>
      <w:pPr>
        <w:keepNext/>
        <w:spacing w:before="240" w:after="120"/>
      </w:pPr>
      <w:r>
        <w:rPr>
          <w:b/>
          <w:sz w:val="28"/>
        </w:rPr>
        <w:t>5. Other Nonfunctional Requirements</w:t>
      </w:r>
    </w:p>
    <w:p>
      <w:pPr>
        <w:keepNext/>
        <w:spacing w:before="240" w:after="80"/>
      </w:pPr>
      <w:r>
        <w:rPr>
          <w:b/>
          <w:sz w:val="24"/>
        </w:rPr>
        <w:t>5.1 Performance Requirements</w:t>
      </w:r>
    </w:p>
    <w:p>
      <w:pPr>
        <w:spacing w:after="120" w:line="276" w:lineRule="auto"/>
      </w:pPr>
      <w:r>
        <w:t>The backend processing engine must complete multi-page document analytics parsing and return structured JSON summaries within 4 seconds of initial ingestion over standard enterprise network links.</w:t>
      </w:r>
    </w:p>
    <w:p>
      <w:pPr>
        <w:keepNext/>
        <w:spacing w:before="240" w:after="80"/>
      </w:pPr>
      <w:r>
        <w:rPr>
          <w:b/>
          <w:sz w:val="24"/>
        </w:rPr>
        <w:t>5.2 Safety Requirements</w:t>
      </w:r>
    </w:p>
    <w:p>
      <w:pPr>
        <w:spacing w:after="120" w:line="276" w:lineRule="auto"/>
      </w:pPr>
      <w:r>
        <w:t>The system must implement strict processing memory recycling, completely isolating text buffers across separate workspace sessions to ensure that user workspaces never experience data bleeding.</w:t>
      </w:r>
    </w:p>
    <w:p>
      <w:pPr>
        <w:keepNext/>
        <w:spacing w:before="240" w:after="80"/>
      </w:pPr>
      <w:r>
        <w:rPr>
          <w:b/>
          <w:sz w:val="24"/>
        </w:rPr>
        <w:t>5.3 Security Requirements</w:t>
      </w:r>
    </w:p>
    <w:p>
      <w:pPr>
        <w:spacing w:after="120" w:line="276" w:lineRule="auto"/>
      </w:pPr>
      <w:r>
        <w:t>• Enforce strict backend data sanitization through mandatory HTML-escaping middleware.</w:t>
        <w:br/>
        <w:t>• Ensure all application routing runs under cross-origin white-list boundaries to block malicious unauthorized cross-site data execution queries.</w:t>
        <w:br/>
        <w:t>• Insulate confidential cryptographic tokens inside isolated environment definitions.</w:t>
      </w:r>
    </w:p>
    <w:p>
      <w:pPr>
        <w:keepNext/>
        <w:spacing w:before="240" w:after="80"/>
      </w:pPr>
      <w:r>
        <w:rPr>
          <w:b/>
          <w:sz w:val="24"/>
        </w:rPr>
        <w:t>5.4 Software Quality Attributes</w:t>
      </w:r>
    </w:p>
    <w:p>
      <w:pPr>
        <w:spacing w:after="120" w:line="276" w:lineRule="auto"/>
      </w:pPr>
      <w:r>
        <w:t>• Maintainability: Decoupled design guarantees separate client-server testing tracks.</w:t>
        <w:br/>
        <w:t>• Accuracy: Token alignment must maintain complete semantic tracking accuracy over core legal and financial parameters.</w:t>
      </w:r>
    </w:p>
    <w:p>
      <w:pPr>
        <w:keepNext/>
        <w:spacing w:before="240" w:after="80"/>
      </w:pPr>
      <w:r>
        <w:rPr>
          <w:b/>
          <w:sz w:val="24"/>
        </w:rPr>
        <w:t>5.5 Business Rules</w:t>
      </w:r>
    </w:p>
    <w:p>
      <w:pPr>
        <w:spacing w:after="120" w:line="276" w:lineRule="auto"/>
      </w:pPr>
      <w:r>
        <w:t>Only verified corporate bid team members can interact with sensitive executive summaries. Final determination reviews must always flag accounting leads if a target requirement requires special pricing changes.</w:t>
      </w:r>
    </w:p>
    <w:p>
      <w:pPr>
        <w:keepNext/>
        <w:spacing w:before="240" w:after="120"/>
      </w:pPr>
      <w:r>
        <w:rPr>
          <w:b/>
          <w:sz w:val="28"/>
        </w:rPr>
        <w:t>6. Other Requirements</w:t>
      </w:r>
    </w:p>
    <w:p>
      <w:pPr>
        <w:spacing w:after="120" w:line="276" w:lineRule="auto"/>
      </w:pPr>
      <w:r>
        <w:t>The solution must support clean international character sets to accommodate global regional opportunities without generating parsing errors inside the core text pipeline.</w:t>
      </w:r>
    </w:p>
    <w:p>
      <w:pPr>
        <w:keepNext/>
        <w:spacing w:before="240" w:after="120"/>
      </w:pPr>
      <w:r>
        <w:rPr>
          <w:b/>
          <w:sz w:val="28"/>
        </w:rPr>
        <w:t>Appendix A: Glossary</w:t>
      </w:r>
    </w:p>
    <w:p>
      <w:pPr>
        <w:spacing w:after="120" w:line="276" w:lineRule="auto"/>
      </w:pPr>
      <w:r>
        <w:t>• Fit Score: A weighted percentage rating (0-100) indicating alignment with company baselines.</w:t>
        <w:br/>
        <w:t>• SWAM: Small, Women-Owned, and Minority-Owned Business certification.</w:t>
        <w:br/>
        <w:t>• E-Verify: Federal electronic employment eligibility verification network framework.</w:t>
      </w:r>
    </w:p>
    <w:p>
      <w:pPr>
        <w:keepNext/>
        <w:spacing w:before="240" w:after="120"/>
      </w:pPr>
      <w:r>
        <w:rPr>
          <w:b/>
          <w:sz w:val="28"/>
        </w:rPr>
        <w:t>Appendix B: Analysis Models</w:t>
      </w:r>
    </w:p>
    <w:p>
      <w:pPr>
        <w:spacing w:after="120" w:line="276" w:lineRule="auto"/>
      </w:pPr>
      <w:r>
        <w:t>[In-Memory Ingestion Stream] -&gt; [Express Middleware Validation] -&gt; [Semantic Parser &amp; Rule Evaluator] -&gt; [Secure Front-End Dashboard Component Table]</w:t>
      </w:r>
    </w:p>
    <w:p>
      <w:pPr>
        <w:keepNext/>
        <w:spacing w:before="240" w:after="120"/>
      </w:pPr>
      <w:r>
        <w:rPr>
          <w:b/>
          <w:sz w:val="28"/>
        </w:rPr>
        <w:t>Appendix C: To Be Determined List</w:t>
      </w:r>
    </w:p>
    <w:p>
      <w:pPr>
        <w:spacing w:after="120" w:line="276" w:lineRule="auto"/>
      </w:pPr>
      <w:r>
        <w:t>1. TBD-1: Explicit calculation weighting parameters for technical fit vs. operational certificate availability flags.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