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Table 1: Sociodemographic Characteristics by Cancer Status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Health Information National Trends Survey (HINTS 6) (n=5,833)</w:t>
      </w:r>
      <w:r>
        <w:rPr>
          <w:vertAlign w:val="superscript"/>
          <w:i/>
          <w:rFonts w:ascii="Calibri" w:hAnsi="Calibri"/>
          <w:sz w:val="20"/>
          <w:color w:val="333333"/>
        </w:rPr>
        <w:t xml:space="default">1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Yes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(Ever had cancer)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(Never had cancer)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E8E8E8"/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13px"/>
                <w:b w:val="true"/>
              </w:rPr>
              <w:t xml:space="default">Gender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361 (8.5%)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1941 (91.5%)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527 (11.6%)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3004 (88.4%)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E8E8E8"/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13px"/>
                <w:b w:val="true"/>
              </w:rPr>
              <w:t xml:space="default">Age group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18-34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818 (99.5%)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35-49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1081 (95.1%)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226 (10.6%)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1469 (89.4%)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65-74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315 (22.6%)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1007 (77.4%)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280 (30.3%)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 (69.7%)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E8E8E8"/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13px"/>
                <w:b w:val="true"/>
              </w:rPr>
              <w:t xml:space="default">Education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 than High School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330 (92.3%)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High School Graduate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151 (8.6%)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914 (91.4%)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Some College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269 (10.8%)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1402 (89.2%)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College Graduate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412 (10.8%)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2304 (89.2%)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E8E8E8"/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13px"/>
                <w:b w:val="true"/>
              </w:rPr>
              <w:t xml:space="default">Race/Ethnicity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Non-Hispanic 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625 (13.1%)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2576 (86.9%)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Non-Hispanic Black or African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797 (95.0%)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 (4.0%)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930 (96.0%)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Non-Hispanic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270 (96.7%)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Non-Hispanic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160 (93.1%)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E8E8E8"/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13px"/>
                <w:b w:val="true"/>
              </w:rPr>
              <w:t xml:space="default">Household income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 than $20,000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128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826 (93.0%)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$20,000 to &lt; $35,000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 (10.5%)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614 (89.5%)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$35,000 to &lt; $50,000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 (10.1%)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620 (89.9%)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$50,000 to &lt; $75,000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151 (10.6%)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786 (89.4%)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$75,000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318 (10.1%)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1842 (89.9%)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E8E8E8"/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13px"/>
                <w:b w:val="true"/>
              </w:rPr>
              <w:t xml:space="default">Census region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 (10.6%)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755 (89.4%)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161 (10.1%)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842 (89.9%)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414 (10.4%)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2249 (89.6%)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205 (9.2%)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1136 (90.8%)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Percentages are weighted to represent the U.S. adult population.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Missing data excluded from analysis.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2026-08-27T21:43:17Z</dcterms:created>
  <dcterms:modified xsi:type="dcterms:W3CDTF">2026-08-27T21:43:17Z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