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8"/>
          <w:sz-cs w:val="28"/>
          <w:b/>
        </w:rPr>
        <w:t xml:space="preserve">How to run and use</w:t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>1. Install the pipenv package</w:t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  <w:tab/>
        <w:t xml:space="preserve">pip install pipenv</w:t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>2. Verify</w:t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  <w:tab/>
        <w:t xml:space="preserve">pipenv —version</w:t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>3. create and activate the enviornment</w:t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  <w:tab/>
        <w:t xml:space="preserve">Inside the project folder, do:</w:t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  <w:tab/>
        <w:t xml:space="preserve"/>
        <w:tab/>
        <w:t xml:space="preserve">pipenv shell</w:t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>4. As the Pipefile.lock exists so simply run the command</w:t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  <w:tab/>
        <w:t xml:space="preserve">pipenv install</w:t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>How to use it</w:t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>in the terminal type:</w:t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>python ucs.py —file(path to graph csv) —start(your start node) —goal(your goal node) </w:t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>That all you have to do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