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F07" w:rsidRPr="003D4D61" w:rsidRDefault="000336B2" w:rsidP="003D4D61">
      <w:pPr>
        <w:spacing w:line="360" w:lineRule="auto"/>
        <w:rPr>
          <w:rFonts w:hint="eastAsia"/>
          <w:sz w:val="24"/>
          <w:szCs w:val="24"/>
        </w:rPr>
      </w:pPr>
      <w:r w:rsidRPr="003D4D61">
        <w:rPr>
          <w:rFonts w:hint="eastAsia"/>
          <w:sz w:val="24"/>
          <w:szCs w:val="24"/>
        </w:rPr>
        <w:t>说明：</w:t>
      </w:r>
    </w:p>
    <w:p w:rsidR="00216F07" w:rsidRPr="003D4D61" w:rsidRDefault="00216F07" w:rsidP="003D4D61">
      <w:pPr>
        <w:spacing w:line="360" w:lineRule="auto"/>
        <w:rPr>
          <w:rFonts w:hint="eastAsia"/>
          <w:sz w:val="24"/>
          <w:szCs w:val="24"/>
        </w:rPr>
      </w:pPr>
      <w:r w:rsidRPr="003D4D61">
        <w:rPr>
          <w:rFonts w:hint="eastAsia"/>
          <w:sz w:val="24"/>
          <w:szCs w:val="24"/>
        </w:rPr>
        <w:t xml:space="preserve">1. </w:t>
      </w:r>
      <w:r w:rsidR="000336B2" w:rsidRPr="003D4D61">
        <w:rPr>
          <w:rFonts w:hint="eastAsia"/>
          <w:sz w:val="24"/>
          <w:szCs w:val="24"/>
        </w:rPr>
        <w:t>本方案设计同时适用于恩替卡韦的预</w:t>
      </w:r>
      <w:r w:rsidR="000336B2" w:rsidRPr="003D4D61">
        <w:rPr>
          <w:rFonts w:hint="eastAsia"/>
          <w:sz w:val="24"/>
          <w:szCs w:val="24"/>
        </w:rPr>
        <w:t>BE</w:t>
      </w:r>
      <w:r w:rsidR="000336B2" w:rsidRPr="003D4D61">
        <w:rPr>
          <w:rFonts w:hint="eastAsia"/>
          <w:sz w:val="24"/>
          <w:szCs w:val="24"/>
        </w:rPr>
        <w:t>及正式</w:t>
      </w:r>
      <w:r w:rsidR="000336B2" w:rsidRPr="003D4D61">
        <w:rPr>
          <w:rFonts w:hint="eastAsia"/>
          <w:sz w:val="24"/>
          <w:szCs w:val="24"/>
        </w:rPr>
        <w:t>BE</w:t>
      </w:r>
      <w:r w:rsidR="000336B2" w:rsidRPr="003D4D61">
        <w:rPr>
          <w:rFonts w:hint="eastAsia"/>
          <w:sz w:val="24"/>
          <w:szCs w:val="24"/>
        </w:rPr>
        <w:t>。</w:t>
      </w:r>
    </w:p>
    <w:p w:rsidR="000336B2" w:rsidRPr="003D4D61" w:rsidRDefault="00216F07" w:rsidP="003D4D61">
      <w:pPr>
        <w:spacing w:line="360" w:lineRule="auto"/>
        <w:rPr>
          <w:rFonts w:hint="eastAsia"/>
          <w:sz w:val="24"/>
          <w:szCs w:val="24"/>
        </w:rPr>
      </w:pPr>
      <w:r w:rsidRPr="003D4D61">
        <w:rPr>
          <w:rFonts w:hint="eastAsia"/>
          <w:sz w:val="24"/>
          <w:szCs w:val="24"/>
        </w:rPr>
        <w:t xml:space="preserve">2. </w:t>
      </w:r>
      <w:r w:rsidR="000336B2" w:rsidRPr="003D4D61">
        <w:rPr>
          <w:rFonts w:hint="eastAsia"/>
          <w:sz w:val="24"/>
          <w:szCs w:val="24"/>
        </w:rPr>
        <w:t>预</w:t>
      </w:r>
      <w:r w:rsidR="000336B2" w:rsidRPr="003D4D61">
        <w:rPr>
          <w:rFonts w:hint="eastAsia"/>
          <w:sz w:val="24"/>
          <w:szCs w:val="24"/>
        </w:rPr>
        <w:t>BE</w:t>
      </w:r>
      <w:r w:rsidR="000336B2" w:rsidRPr="003D4D61">
        <w:rPr>
          <w:rFonts w:hint="eastAsia"/>
          <w:sz w:val="24"/>
          <w:szCs w:val="24"/>
        </w:rPr>
        <w:t>与正式</w:t>
      </w:r>
      <w:r w:rsidR="000336B2" w:rsidRPr="003D4D61">
        <w:rPr>
          <w:rFonts w:hint="eastAsia"/>
          <w:sz w:val="24"/>
          <w:szCs w:val="24"/>
        </w:rPr>
        <w:t>BE</w:t>
      </w:r>
      <w:r w:rsidRPr="003D4D61">
        <w:rPr>
          <w:rFonts w:hint="eastAsia"/>
          <w:sz w:val="24"/>
          <w:szCs w:val="24"/>
        </w:rPr>
        <w:t>在</w:t>
      </w:r>
      <w:r w:rsidR="000336B2" w:rsidRPr="003D4D61">
        <w:rPr>
          <w:rFonts w:hint="eastAsia"/>
          <w:sz w:val="24"/>
          <w:szCs w:val="24"/>
        </w:rPr>
        <w:t>试验</w:t>
      </w:r>
      <w:r w:rsidR="00EB0D9E" w:rsidRPr="003D4D61">
        <w:rPr>
          <w:rFonts w:hint="eastAsia"/>
          <w:sz w:val="24"/>
          <w:szCs w:val="24"/>
        </w:rPr>
        <w:t>过程中主要</w:t>
      </w:r>
      <w:r w:rsidR="000336B2" w:rsidRPr="003D4D61">
        <w:rPr>
          <w:rFonts w:hint="eastAsia"/>
          <w:sz w:val="24"/>
          <w:szCs w:val="24"/>
        </w:rPr>
        <w:t>有以下两点区别：</w:t>
      </w:r>
    </w:p>
    <w:p w:rsidR="00216F07" w:rsidRPr="003D4D61" w:rsidRDefault="00216F07" w:rsidP="003D4D61">
      <w:pPr>
        <w:spacing w:line="360" w:lineRule="auto"/>
        <w:rPr>
          <w:rFonts w:hint="eastAsia"/>
          <w:sz w:val="24"/>
          <w:szCs w:val="24"/>
        </w:rPr>
      </w:pPr>
      <w:r w:rsidRPr="003D4D61">
        <w:rPr>
          <w:rFonts w:hint="eastAsia"/>
          <w:sz w:val="24"/>
          <w:szCs w:val="24"/>
        </w:rPr>
        <w:t>（</w:t>
      </w:r>
      <w:r w:rsidRPr="003D4D61">
        <w:rPr>
          <w:rFonts w:hint="eastAsia"/>
          <w:sz w:val="24"/>
          <w:szCs w:val="24"/>
        </w:rPr>
        <w:t>1</w:t>
      </w:r>
      <w:r w:rsidRPr="003D4D61">
        <w:rPr>
          <w:rFonts w:hint="eastAsia"/>
          <w:sz w:val="24"/>
          <w:szCs w:val="24"/>
        </w:rPr>
        <w:t>）正式</w:t>
      </w:r>
      <w:r w:rsidRPr="003D4D61">
        <w:rPr>
          <w:rFonts w:hint="eastAsia"/>
          <w:sz w:val="24"/>
          <w:szCs w:val="24"/>
        </w:rPr>
        <w:t>BE</w:t>
      </w:r>
      <w:r w:rsidRPr="003D4D61">
        <w:rPr>
          <w:rFonts w:hint="eastAsia"/>
          <w:sz w:val="24"/>
          <w:szCs w:val="24"/>
        </w:rPr>
        <w:t>样本量为</w:t>
      </w:r>
      <w:r w:rsidRPr="003D4D61">
        <w:rPr>
          <w:rFonts w:hint="eastAsia"/>
          <w:sz w:val="24"/>
          <w:szCs w:val="24"/>
        </w:rPr>
        <w:t>24</w:t>
      </w:r>
      <w:r w:rsidRPr="003D4D61">
        <w:rPr>
          <w:rFonts w:hint="eastAsia"/>
          <w:sz w:val="24"/>
          <w:szCs w:val="24"/>
        </w:rPr>
        <w:t>例，预</w:t>
      </w:r>
      <w:r w:rsidRPr="003D4D61">
        <w:rPr>
          <w:rFonts w:hint="eastAsia"/>
          <w:sz w:val="24"/>
          <w:szCs w:val="24"/>
        </w:rPr>
        <w:t>BE</w:t>
      </w:r>
      <w:r w:rsidRPr="003D4D61">
        <w:rPr>
          <w:rFonts w:hint="eastAsia"/>
          <w:sz w:val="24"/>
          <w:szCs w:val="24"/>
        </w:rPr>
        <w:t>样本量为</w:t>
      </w:r>
      <w:r w:rsidRPr="003D4D61">
        <w:rPr>
          <w:rFonts w:hint="eastAsia"/>
          <w:sz w:val="24"/>
          <w:szCs w:val="24"/>
        </w:rPr>
        <w:t>8</w:t>
      </w:r>
      <w:r w:rsidRPr="003D4D61">
        <w:rPr>
          <w:rFonts w:hint="eastAsia"/>
          <w:sz w:val="24"/>
          <w:szCs w:val="24"/>
        </w:rPr>
        <w:t>例。</w:t>
      </w:r>
    </w:p>
    <w:p w:rsidR="00216F07" w:rsidRPr="003D4D61" w:rsidRDefault="00216F07" w:rsidP="003D4D61">
      <w:pPr>
        <w:spacing w:line="360" w:lineRule="auto"/>
        <w:rPr>
          <w:rFonts w:hint="eastAsia"/>
          <w:sz w:val="24"/>
          <w:szCs w:val="24"/>
        </w:rPr>
      </w:pPr>
      <w:r w:rsidRPr="003D4D61">
        <w:rPr>
          <w:rFonts w:hint="eastAsia"/>
          <w:sz w:val="24"/>
          <w:szCs w:val="24"/>
        </w:rPr>
        <w:t>（</w:t>
      </w:r>
      <w:r w:rsidRPr="003D4D61">
        <w:rPr>
          <w:rFonts w:hint="eastAsia"/>
          <w:sz w:val="24"/>
          <w:szCs w:val="24"/>
        </w:rPr>
        <w:t>2</w:t>
      </w:r>
      <w:r w:rsidRPr="003D4D61">
        <w:rPr>
          <w:rFonts w:hint="eastAsia"/>
          <w:sz w:val="24"/>
          <w:szCs w:val="24"/>
        </w:rPr>
        <w:t>）正式</w:t>
      </w:r>
      <w:r w:rsidRPr="003D4D61">
        <w:rPr>
          <w:rFonts w:hint="eastAsia"/>
          <w:sz w:val="24"/>
          <w:szCs w:val="24"/>
        </w:rPr>
        <w:t>BE</w:t>
      </w:r>
      <w:r w:rsidRPr="003D4D61">
        <w:rPr>
          <w:rFonts w:hint="eastAsia"/>
          <w:sz w:val="24"/>
          <w:szCs w:val="24"/>
        </w:rPr>
        <w:t>在每周期结束出组时，均需要进行实验室检查；预</w:t>
      </w:r>
      <w:r w:rsidRPr="003D4D61">
        <w:rPr>
          <w:rFonts w:hint="eastAsia"/>
          <w:sz w:val="24"/>
          <w:szCs w:val="24"/>
        </w:rPr>
        <w:t>BE</w:t>
      </w:r>
      <w:r w:rsidRPr="003D4D61">
        <w:rPr>
          <w:rFonts w:hint="eastAsia"/>
          <w:sz w:val="24"/>
          <w:szCs w:val="24"/>
        </w:rPr>
        <w:t>仅第二周期结束时进行实验室检查。</w:t>
      </w:r>
    </w:p>
    <w:p w:rsidR="00216F07" w:rsidRPr="003D4D61" w:rsidRDefault="00EB0D9E" w:rsidP="003D4D61">
      <w:pPr>
        <w:spacing w:beforeLines="100" w:before="312" w:line="360" w:lineRule="auto"/>
        <w:jc w:val="center"/>
        <w:rPr>
          <w:rFonts w:hint="eastAsia"/>
          <w:b/>
          <w:sz w:val="24"/>
          <w:szCs w:val="24"/>
        </w:rPr>
      </w:pPr>
      <w:r w:rsidRPr="003D4D61">
        <w:rPr>
          <w:rFonts w:hint="eastAsia"/>
          <w:b/>
          <w:sz w:val="24"/>
          <w:szCs w:val="24"/>
        </w:rPr>
        <w:t>恩替卡韦片（</w:t>
      </w:r>
      <w:r w:rsidRPr="003D4D61">
        <w:rPr>
          <w:rFonts w:hint="eastAsia"/>
          <w:b/>
          <w:sz w:val="24"/>
          <w:szCs w:val="24"/>
        </w:rPr>
        <w:t>0.5 mg</w:t>
      </w:r>
      <w:r w:rsidRPr="003D4D61">
        <w:rPr>
          <w:rFonts w:hint="eastAsia"/>
          <w:b/>
          <w:sz w:val="24"/>
          <w:szCs w:val="24"/>
        </w:rPr>
        <w:t>）生物等效性试验研究方案</w:t>
      </w:r>
    </w:p>
    <w:p w:rsidR="00EB0D9E" w:rsidRDefault="003D4D61" w:rsidP="003D4D61">
      <w:pPr>
        <w:pStyle w:val="ListParagraph"/>
        <w:numPr>
          <w:ilvl w:val="0"/>
          <w:numId w:val="1"/>
        </w:numPr>
        <w:spacing w:beforeLines="100" w:before="312" w:line="360" w:lineRule="auto"/>
        <w:ind w:firstLineChars="0"/>
        <w:rPr>
          <w:rFonts w:hint="eastAsia"/>
          <w:b/>
          <w:sz w:val="24"/>
          <w:szCs w:val="24"/>
        </w:rPr>
      </w:pPr>
      <w:r w:rsidRPr="003D4D61">
        <w:rPr>
          <w:rFonts w:hint="eastAsia"/>
          <w:b/>
          <w:sz w:val="24"/>
          <w:szCs w:val="24"/>
        </w:rPr>
        <w:t>恩替卡韦预</w:t>
      </w:r>
      <w:r w:rsidRPr="003D4D61">
        <w:rPr>
          <w:rFonts w:hint="eastAsia"/>
          <w:b/>
          <w:sz w:val="24"/>
          <w:szCs w:val="24"/>
        </w:rPr>
        <w:t>BE</w:t>
      </w:r>
      <w:r w:rsidRPr="003D4D61">
        <w:rPr>
          <w:rFonts w:hint="eastAsia"/>
          <w:b/>
          <w:sz w:val="24"/>
          <w:szCs w:val="24"/>
        </w:rPr>
        <w:t>及正式</w:t>
      </w:r>
      <w:r w:rsidRPr="003D4D61">
        <w:rPr>
          <w:rFonts w:hint="eastAsia"/>
          <w:b/>
          <w:sz w:val="24"/>
          <w:szCs w:val="24"/>
        </w:rPr>
        <w:t>BE</w:t>
      </w:r>
      <w:r w:rsidRPr="003D4D61">
        <w:rPr>
          <w:rFonts w:hint="eastAsia"/>
          <w:b/>
          <w:sz w:val="24"/>
          <w:szCs w:val="24"/>
        </w:rPr>
        <w:t>试验的工作内容及相应依据、工作方法、工作流程、实施要点和质量标准</w:t>
      </w:r>
    </w:p>
    <w:p w:rsidR="006046F9" w:rsidRDefault="006046F9" w:rsidP="006046F9">
      <w:pPr>
        <w:pStyle w:val="ListParagraph"/>
        <w:numPr>
          <w:ilvl w:val="1"/>
          <w:numId w:val="1"/>
        </w:numPr>
        <w:spacing w:line="360" w:lineRule="auto"/>
        <w:ind w:firstLineChars="0"/>
        <w:rPr>
          <w:rFonts w:hint="eastAsia"/>
          <w:b/>
          <w:sz w:val="24"/>
          <w:szCs w:val="24"/>
        </w:rPr>
      </w:pPr>
      <w:r w:rsidRPr="006046F9">
        <w:rPr>
          <w:rFonts w:hint="eastAsia"/>
          <w:b/>
          <w:sz w:val="24"/>
          <w:szCs w:val="24"/>
        </w:rPr>
        <w:t>工作内容</w:t>
      </w:r>
    </w:p>
    <w:p w:rsidR="00F82455" w:rsidRDefault="00CB08BB" w:rsidP="00E14862">
      <w:pPr>
        <w:spacing w:line="360" w:lineRule="auto"/>
        <w:ind w:firstLineChars="200" w:firstLine="480"/>
        <w:rPr>
          <w:rFonts w:hint="eastAsia"/>
          <w:sz w:val="24"/>
          <w:szCs w:val="24"/>
        </w:rPr>
      </w:pPr>
      <w:r w:rsidRPr="00E14862">
        <w:rPr>
          <w:rFonts w:hint="eastAsia"/>
          <w:sz w:val="24"/>
          <w:szCs w:val="24"/>
        </w:rPr>
        <w:t>恩替卡韦（</w:t>
      </w:r>
      <w:proofErr w:type="spellStart"/>
      <w:r w:rsidRPr="00E14862">
        <w:rPr>
          <w:rFonts w:hint="eastAsia"/>
          <w:sz w:val="24"/>
          <w:szCs w:val="24"/>
        </w:rPr>
        <w:t>Entecavir</w:t>
      </w:r>
      <w:proofErr w:type="spellEnd"/>
      <w:r w:rsidRPr="00E14862">
        <w:rPr>
          <w:rFonts w:hint="eastAsia"/>
          <w:sz w:val="24"/>
          <w:szCs w:val="24"/>
        </w:rPr>
        <w:t>）是由</w:t>
      </w:r>
      <w:r w:rsidRPr="00E14862">
        <w:rPr>
          <w:rFonts w:hint="eastAsia"/>
          <w:sz w:val="24"/>
          <w:szCs w:val="24"/>
        </w:rPr>
        <w:t>Bristol-Myers Squibb</w:t>
      </w:r>
      <w:r w:rsidRPr="00E14862">
        <w:rPr>
          <w:rFonts w:hint="eastAsia"/>
          <w:sz w:val="24"/>
          <w:szCs w:val="24"/>
        </w:rPr>
        <w:t>公司开发的一种鸟嘌呤核苷酸类似物，于</w:t>
      </w:r>
      <w:r w:rsidRPr="00E14862">
        <w:rPr>
          <w:rFonts w:hint="eastAsia"/>
          <w:sz w:val="24"/>
          <w:szCs w:val="24"/>
        </w:rPr>
        <w:t>2005</w:t>
      </w:r>
      <w:r w:rsidRPr="00E14862">
        <w:rPr>
          <w:rFonts w:hint="eastAsia"/>
          <w:sz w:val="24"/>
          <w:szCs w:val="24"/>
        </w:rPr>
        <w:t>年</w:t>
      </w:r>
      <w:r w:rsidRPr="00E14862">
        <w:rPr>
          <w:rFonts w:hint="eastAsia"/>
          <w:sz w:val="24"/>
          <w:szCs w:val="24"/>
        </w:rPr>
        <w:t>3</w:t>
      </w:r>
      <w:r w:rsidRPr="00E14862">
        <w:rPr>
          <w:rFonts w:hint="eastAsia"/>
          <w:sz w:val="24"/>
          <w:szCs w:val="24"/>
        </w:rPr>
        <w:t>月经美国</w:t>
      </w:r>
      <w:r w:rsidRPr="00E14862">
        <w:rPr>
          <w:rFonts w:hint="eastAsia"/>
          <w:sz w:val="24"/>
          <w:szCs w:val="24"/>
        </w:rPr>
        <w:t>FDA</w:t>
      </w:r>
      <w:r w:rsidRPr="00E14862">
        <w:rPr>
          <w:rFonts w:hint="eastAsia"/>
          <w:sz w:val="24"/>
          <w:szCs w:val="24"/>
        </w:rPr>
        <w:t>批准上市（商品名，</w:t>
      </w:r>
      <w:proofErr w:type="spellStart"/>
      <w:r w:rsidRPr="00E14862">
        <w:rPr>
          <w:rFonts w:hint="eastAsia"/>
          <w:sz w:val="24"/>
          <w:szCs w:val="24"/>
        </w:rPr>
        <w:t>Baraclude</w:t>
      </w:r>
      <w:proofErr w:type="spellEnd"/>
      <w:r w:rsidRPr="00E14862">
        <w:rPr>
          <w:rFonts w:hint="eastAsia"/>
          <w:sz w:val="24"/>
          <w:szCs w:val="24"/>
        </w:rPr>
        <w:t>）。本品对乙肝病毒（</w:t>
      </w:r>
      <w:r w:rsidRPr="00E14862">
        <w:rPr>
          <w:rFonts w:hint="eastAsia"/>
          <w:sz w:val="24"/>
          <w:szCs w:val="24"/>
        </w:rPr>
        <w:t>HBV</w:t>
      </w:r>
      <w:r w:rsidRPr="00E14862">
        <w:rPr>
          <w:rFonts w:hint="eastAsia"/>
          <w:sz w:val="24"/>
          <w:szCs w:val="24"/>
        </w:rPr>
        <w:t>）多聚酶具有抑制作用，在细胞内被磷酸化为具有活性的三磷酸盐，并竞争性抑制</w:t>
      </w:r>
      <w:r w:rsidRPr="00E14862">
        <w:rPr>
          <w:rFonts w:hint="eastAsia"/>
          <w:sz w:val="24"/>
          <w:szCs w:val="24"/>
        </w:rPr>
        <w:t>HBV</w:t>
      </w:r>
      <w:r w:rsidRPr="00E14862">
        <w:rPr>
          <w:rFonts w:hint="eastAsia"/>
          <w:sz w:val="24"/>
          <w:szCs w:val="24"/>
        </w:rPr>
        <w:t>多聚酶的天然底物三磷酸脱氧鸟嘌呤核苷。国内外多项临床研究证实，恩替卡韦具有很强的抑制乙型肝炎病毒、降低血清病毒</w:t>
      </w:r>
      <w:r w:rsidR="00531021">
        <w:rPr>
          <w:rFonts w:hint="eastAsia"/>
          <w:sz w:val="24"/>
          <w:szCs w:val="24"/>
        </w:rPr>
        <w:t>DNA</w:t>
      </w:r>
      <w:r w:rsidR="00531021">
        <w:rPr>
          <w:rFonts w:hint="eastAsia"/>
          <w:sz w:val="24"/>
          <w:szCs w:val="24"/>
        </w:rPr>
        <w:t>水平的作用，可以有效治疗乙型肝炎，且耐受性良好，具有良好的临床应用前景。</w:t>
      </w:r>
    </w:p>
    <w:p w:rsidR="00531021" w:rsidRPr="00E14862" w:rsidRDefault="00F00565" w:rsidP="00E14862">
      <w:pPr>
        <w:spacing w:line="360" w:lineRule="auto"/>
        <w:ind w:firstLineChars="200" w:firstLine="480"/>
        <w:rPr>
          <w:rFonts w:hint="eastAsia"/>
          <w:sz w:val="24"/>
          <w:szCs w:val="24"/>
        </w:rPr>
      </w:pPr>
      <w:r>
        <w:rPr>
          <w:rFonts w:hint="eastAsia"/>
          <w:sz w:val="24"/>
          <w:szCs w:val="24"/>
        </w:rPr>
        <w:t>根据现</w:t>
      </w:r>
      <w:r>
        <w:rPr>
          <w:rFonts w:hint="eastAsia"/>
          <w:sz w:val="24"/>
          <w:szCs w:val="24"/>
        </w:rPr>
        <w:t>CFDA</w:t>
      </w:r>
      <w:r>
        <w:rPr>
          <w:rFonts w:hint="eastAsia"/>
          <w:sz w:val="24"/>
          <w:szCs w:val="24"/>
        </w:rPr>
        <w:t>对于仿制药一致性评价的要求及相关指导原则，</w:t>
      </w:r>
      <w:r w:rsidR="00C03829">
        <w:rPr>
          <w:rFonts w:hint="eastAsia"/>
          <w:sz w:val="24"/>
          <w:szCs w:val="24"/>
        </w:rPr>
        <w:t>本项目主要研究内容为：以健康受试者为试验对象，以</w:t>
      </w:r>
      <w:r w:rsidR="00C03829" w:rsidRPr="00C27BCF">
        <w:rPr>
          <w:sz w:val="24"/>
          <w:szCs w:val="24"/>
        </w:rPr>
        <w:t>BRISTOL MYERS SQUIBB</w:t>
      </w:r>
      <w:r w:rsidR="00C03829">
        <w:rPr>
          <w:rFonts w:hint="eastAsia"/>
          <w:sz w:val="24"/>
          <w:szCs w:val="24"/>
        </w:rPr>
        <w:t>在美国上市的恩替卡韦片（</w:t>
      </w:r>
      <w:r w:rsidR="00C03829">
        <w:rPr>
          <w:rFonts w:hint="eastAsia"/>
          <w:sz w:val="24"/>
          <w:szCs w:val="24"/>
        </w:rPr>
        <w:t>0.5 mg</w:t>
      </w:r>
      <w:r w:rsidR="00C03829">
        <w:rPr>
          <w:rFonts w:hint="eastAsia"/>
          <w:sz w:val="24"/>
          <w:szCs w:val="24"/>
        </w:rPr>
        <w:t>）作为参比制剂，考察</w:t>
      </w:r>
      <w:r>
        <w:rPr>
          <w:rFonts w:hint="eastAsia"/>
          <w:sz w:val="24"/>
          <w:szCs w:val="24"/>
        </w:rPr>
        <w:t>江苏利泰尔药业生产的恩替卡韦片</w:t>
      </w:r>
      <w:r w:rsidR="00C03829">
        <w:rPr>
          <w:rFonts w:hint="eastAsia"/>
          <w:sz w:val="24"/>
          <w:szCs w:val="24"/>
        </w:rPr>
        <w:t>（</w:t>
      </w:r>
      <w:r w:rsidR="00C03829">
        <w:rPr>
          <w:rFonts w:hint="eastAsia"/>
          <w:sz w:val="24"/>
          <w:szCs w:val="24"/>
        </w:rPr>
        <w:t>0.5 mg</w:t>
      </w:r>
      <w:r w:rsidR="00C03829">
        <w:rPr>
          <w:rFonts w:hint="eastAsia"/>
          <w:sz w:val="24"/>
          <w:szCs w:val="24"/>
        </w:rPr>
        <w:t>）</w:t>
      </w:r>
      <w:r w:rsidR="00C27BCF">
        <w:rPr>
          <w:rFonts w:hint="eastAsia"/>
          <w:sz w:val="24"/>
          <w:szCs w:val="24"/>
        </w:rPr>
        <w:t>在</w:t>
      </w:r>
      <w:r w:rsidR="00C03829">
        <w:rPr>
          <w:rFonts w:hint="eastAsia"/>
          <w:sz w:val="24"/>
          <w:szCs w:val="24"/>
        </w:rPr>
        <w:t>人</w:t>
      </w:r>
      <w:r w:rsidR="00C27BCF">
        <w:rPr>
          <w:rFonts w:hint="eastAsia"/>
          <w:sz w:val="24"/>
          <w:szCs w:val="24"/>
        </w:rPr>
        <w:t>体内的</w:t>
      </w:r>
      <w:r w:rsidR="00C03829">
        <w:rPr>
          <w:rFonts w:hint="eastAsia"/>
          <w:sz w:val="24"/>
          <w:szCs w:val="24"/>
        </w:rPr>
        <w:t>相关药代动力学参数，并进行空腹单剂量等效性评价，为受试制剂的一致性评价提供依据</w:t>
      </w:r>
      <w:r w:rsidR="00C27BCF">
        <w:rPr>
          <w:rFonts w:hint="eastAsia"/>
          <w:sz w:val="24"/>
          <w:szCs w:val="24"/>
        </w:rPr>
        <w:t>。</w:t>
      </w:r>
      <w:r w:rsidR="00843A97">
        <w:rPr>
          <w:rFonts w:hint="eastAsia"/>
          <w:sz w:val="24"/>
          <w:szCs w:val="24"/>
        </w:rPr>
        <w:t>预试验</w:t>
      </w:r>
      <w:r w:rsidR="00843A97" w:rsidRPr="00843A97">
        <w:rPr>
          <w:rFonts w:hint="eastAsia"/>
          <w:sz w:val="24"/>
          <w:szCs w:val="24"/>
        </w:rPr>
        <w:t>用以验证分析方法、评估变异程度、优化采样时间，以及获得其他</w:t>
      </w:r>
      <w:r w:rsidR="00843A97">
        <w:rPr>
          <w:rFonts w:hint="eastAsia"/>
          <w:sz w:val="24"/>
          <w:szCs w:val="24"/>
        </w:rPr>
        <w:t>品种</w:t>
      </w:r>
      <w:r w:rsidR="00843A97" w:rsidRPr="00843A97">
        <w:rPr>
          <w:rFonts w:hint="eastAsia"/>
          <w:sz w:val="24"/>
          <w:szCs w:val="24"/>
        </w:rPr>
        <w:t>相关信息。</w:t>
      </w:r>
    </w:p>
    <w:p w:rsidR="008D6B1C" w:rsidRPr="008D6B1C" w:rsidRDefault="00C03829" w:rsidP="00FE5D47">
      <w:pPr>
        <w:spacing w:line="360" w:lineRule="auto"/>
        <w:ind w:firstLineChars="200" w:firstLine="480"/>
        <w:rPr>
          <w:rFonts w:hint="eastAsia"/>
          <w:b/>
          <w:sz w:val="24"/>
          <w:szCs w:val="24"/>
        </w:rPr>
      </w:pPr>
      <w:r>
        <w:rPr>
          <w:rFonts w:hint="eastAsia"/>
          <w:sz w:val="24"/>
        </w:rPr>
        <w:t>本试验采用标准的单中心、两制剂、单次给药、双周期交叉试验设计。</w:t>
      </w:r>
    </w:p>
    <w:p w:rsidR="006046F9" w:rsidRDefault="006046F9" w:rsidP="006046F9">
      <w:pPr>
        <w:pStyle w:val="ListParagraph"/>
        <w:numPr>
          <w:ilvl w:val="1"/>
          <w:numId w:val="1"/>
        </w:numPr>
        <w:spacing w:line="360" w:lineRule="auto"/>
        <w:ind w:firstLineChars="0"/>
        <w:rPr>
          <w:rFonts w:hint="eastAsia"/>
          <w:b/>
          <w:sz w:val="24"/>
          <w:szCs w:val="24"/>
        </w:rPr>
      </w:pPr>
      <w:r w:rsidRPr="00C03829">
        <w:rPr>
          <w:rFonts w:hint="eastAsia"/>
          <w:b/>
          <w:sz w:val="24"/>
          <w:szCs w:val="24"/>
        </w:rPr>
        <w:t>工作方法</w:t>
      </w:r>
      <w:r w:rsidR="00C03829" w:rsidRPr="00C03829">
        <w:rPr>
          <w:rFonts w:hint="eastAsia"/>
          <w:b/>
          <w:sz w:val="24"/>
          <w:szCs w:val="24"/>
        </w:rPr>
        <w:t>与流程</w:t>
      </w:r>
    </w:p>
    <w:p w:rsidR="00ED77F8" w:rsidRDefault="00AD0A94" w:rsidP="00AD0A94">
      <w:pPr>
        <w:spacing w:line="360" w:lineRule="auto"/>
        <w:ind w:firstLineChars="200" w:firstLine="480"/>
        <w:rPr>
          <w:rFonts w:hint="eastAsia"/>
          <w:sz w:val="24"/>
          <w:szCs w:val="24"/>
        </w:rPr>
      </w:pPr>
      <w:r w:rsidRPr="00AD0A94">
        <w:rPr>
          <w:rFonts w:hint="eastAsia"/>
          <w:sz w:val="24"/>
          <w:szCs w:val="24"/>
        </w:rPr>
        <w:t>本项目将在具有生物等效性试验经验的研究机构进行</w:t>
      </w:r>
      <w:r w:rsidR="00FE5D47">
        <w:rPr>
          <w:rFonts w:hint="eastAsia"/>
          <w:sz w:val="24"/>
          <w:szCs w:val="24"/>
        </w:rPr>
        <w:t>，</w:t>
      </w:r>
      <w:r w:rsidR="00FE5D47">
        <w:rPr>
          <w:rFonts w:hint="eastAsia"/>
          <w:sz w:val="24"/>
          <w:szCs w:val="24"/>
        </w:rPr>
        <w:t>CRO</w:t>
      </w:r>
      <w:r w:rsidR="00FE5D47">
        <w:rPr>
          <w:rFonts w:hint="eastAsia"/>
          <w:sz w:val="24"/>
          <w:szCs w:val="24"/>
        </w:rPr>
        <w:t>公司将派遣有项目经验的</w:t>
      </w:r>
      <w:r w:rsidR="00FE5D47">
        <w:rPr>
          <w:rFonts w:hint="eastAsia"/>
          <w:sz w:val="24"/>
          <w:szCs w:val="24"/>
        </w:rPr>
        <w:t>CRA</w:t>
      </w:r>
      <w:r w:rsidR="00FE5D47">
        <w:rPr>
          <w:rFonts w:hint="eastAsia"/>
          <w:sz w:val="24"/>
          <w:szCs w:val="24"/>
        </w:rPr>
        <w:t>进行监查，并为研究机构提供</w:t>
      </w:r>
      <w:r w:rsidR="00FE5D47">
        <w:rPr>
          <w:rFonts w:hint="eastAsia"/>
          <w:sz w:val="24"/>
          <w:szCs w:val="24"/>
        </w:rPr>
        <w:t>CRC</w:t>
      </w:r>
      <w:r w:rsidR="00FE5D47">
        <w:rPr>
          <w:rFonts w:hint="eastAsia"/>
          <w:sz w:val="24"/>
          <w:szCs w:val="24"/>
        </w:rPr>
        <w:t>人员进行协助</w:t>
      </w:r>
      <w:r w:rsidRPr="00AD0A94">
        <w:rPr>
          <w:rFonts w:hint="eastAsia"/>
          <w:sz w:val="24"/>
          <w:szCs w:val="24"/>
        </w:rPr>
        <w:t>。</w:t>
      </w:r>
      <w:r>
        <w:rPr>
          <w:rFonts w:hint="eastAsia"/>
          <w:sz w:val="24"/>
          <w:szCs w:val="24"/>
        </w:rPr>
        <w:t>研究流程主要</w:t>
      </w:r>
      <w:r w:rsidR="00FE5D47">
        <w:rPr>
          <w:rFonts w:hint="eastAsia"/>
          <w:sz w:val="24"/>
          <w:szCs w:val="24"/>
        </w:rPr>
        <w:t>包括伦理、机构合同及试验阶段，试验期间</w:t>
      </w:r>
      <w:r w:rsidR="00ED77F8">
        <w:rPr>
          <w:rFonts w:hint="eastAsia"/>
          <w:sz w:val="24"/>
          <w:szCs w:val="24"/>
        </w:rPr>
        <w:t>包含</w:t>
      </w:r>
      <w:r>
        <w:rPr>
          <w:rFonts w:hint="eastAsia"/>
          <w:sz w:val="24"/>
          <w:szCs w:val="24"/>
        </w:rPr>
        <w:t>筛选、入住、</w:t>
      </w:r>
      <w:r w:rsidR="001E400C">
        <w:rPr>
          <w:rFonts w:hint="eastAsia"/>
          <w:sz w:val="24"/>
          <w:szCs w:val="24"/>
        </w:rPr>
        <w:t>给药周期</w:t>
      </w:r>
      <w:r>
        <w:rPr>
          <w:rFonts w:hint="eastAsia"/>
          <w:sz w:val="24"/>
          <w:szCs w:val="24"/>
        </w:rPr>
        <w:t>、出组</w:t>
      </w:r>
      <w:r w:rsidR="00ED77F8">
        <w:rPr>
          <w:rFonts w:hint="eastAsia"/>
          <w:sz w:val="24"/>
          <w:szCs w:val="24"/>
        </w:rPr>
        <w:t>，以及试验结束后的样本检测、数据统计、临床总结等流程</w:t>
      </w:r>
      <w:r>
        <w:rPr>
          <w:rFonts w:hint="eastAsia"/>
          <w:sz w:val="24"/>
          <w:szCs w:val="24"/>
        </w:rPr>
        <w:t>。</w:t>
      </w:r>
    </w:p>
    <w:p w:rsidR="00C03829" w:rsidRDefault="00ED77F8" w:rsidP="00691EA9">
      <w:pPr>
        <w:spacing w:line="360" w:lineRule="auto"/>
        <w:ind w:firstLineChars="200" w:firstLine="480"/>
        <w:rPr>
          <w:rFonts w:hint="eastAsia"/>
          <w:sz w:val="24"/>
          <w:lang w:val="zh-TW"/>
        </w:rPr>
      </w:pPr>
      <w:r>
        <w:rPr>
          <w:rFonts w:hint="eastAsia"/>
          <w:sz w:val="24"/>
          <w:szCs w:val="24"/>
        </w:rPr>
        <w:lastRenderedPageBreak/>
        <w:t>试验开始时，</w:t>
      </w:r>
      <w:r w:rsidR="00AD0A94">
        <w:rPr>
          <w:rFonts w:hint="eastAsia"/>
          <w:sz w:val="24"/>
        </w:rPr>
        <w:t>试验研究者向受试者提供书面知情同意书，受试者在自愿的基础上签署知情同意书。知情同意必须写明日期并由受试者本人签署。必须在获得志愿者签署的知情同意书后，方可按筛选指标进行受试者筛选</w:t>
      </w:r>
      <w:r w:rsidR="00AD0A94">
        <w:rPr>
          <w:rFonts w:hint="eastAsia"/>
          <w:sz w:val="24"/>
          <w:lang w:val="zh-TW"/>
        </w:rPr>
        <w:t>。经筛选符合入选标准且不符合排除标准的</w:t>
      </w:r>
      <w:r w:rsidR="00AD0A94">
        <w:rPr>
          <w:rFonts w:hint="eastAsia"/>
          <w:sz w:val="24"/>
          <w:lang w:val="zh-TW" w:eastAsia="zh-TW"/>
        </w:rPr>
        <w:t>24</w:t>
      </w:r>
      <w:r w:rsidR="00AD0A94">
        <w:rPr>
          <w:rFonts w:hint="eastAsia"/>
          <w:sz w:val="24"/>
          <w:lang w:val="zh-TW"/>
        </w:rPr>
        <w:t>名志愿者作为本试验的受试者入组进行空腹状态下的人体生物等效性试验。按随机表</w:t>
      </w:r>
      <w:r w:rsidR="00691EA9">
        <w:rPr>
          <w:rFonts w:hint="eastAsia"/>
          <w:sz w:val="24"/>
          <w:lang w:val="zh-TW"/>
        </w:rPr>
        <w:t>将受试者</w:t>
      </w:r>
      <w:r w:rsidR="00AD0A94">
        <w:rPr>
          <w:rFonts w:hint="eastAsia"/>
          <w:sz w:val="24"/>
          <w:lang w:val="zh-TW"/>
        </w:rPr>
        <w:t>随机化为</w:t>
      </w:r>
      <w:r w:rsidR="00AD0A94">
        <w:rPr>
          <w:sz w:val="24"/>
        </w:rPr>
        <w:t>I</w:t>
      </w:r>
      <w:r w:rsidR="00AD0A94">
        <w:rPr>
          <w:rFonts w:hint="eastAsia"/>
          <w:sz w:val="24"/>
        </w:rPr>
        <w:t>、</w:t>
      </w:r>
      <w:r w:rsidR="00AD0A94">
        <w:rPr>
          <w:sz w:val="24"/>
        </w:rPr>
        <w:t>II</w:t>
      </w:r>
      <w:r w:rsidR="00AD0A94">
        <w:rPr>
          <w:rFonts w:hint="eastAsia"/>
          <w:sz w:val="24"/>
          <w:lang w:val="zh-TW"/>
        </w:rPr>
        <w:t>两组，</w:t>
      </w:r>
      <w:r w:rsidR="00AD0A94">
        <w:rPr>
          <w:rFonts w:hint="eastAsia"/>
          <w:sz w:val="24"/>
        </w:rPr>
        <w:t>进行两制剂、单次给药、双周期交叉试验设计的空腹等效性试验。</w:t>
      </w:r>
      <w:r w:rsidR="00AD0A94" w:rsidRPr="00691EA9">
        <w:rPr>
          <w:rFonts w:hint="eastAsia"/>
          <w:sz w:val="24"/>
          <w:lang w:val="zh-TW"/>
        </w:rPr>
        <w:t>本试验的安全性评价指标包括：生命体征</w:t>
      </w:r>
      <w:r w:rsidR="00AD0A94" w:rsidRPr="00691EA9">
        <w:rPr>
          <w:sz w:val="24"/>
          <w:lang w:val="zh-TW"/>
        </w:rPr>
        <w:t>(</w:t>
      </w:r>
      <w:r w:rsidR="00AD0A94" w:rsidRPr="00691EA9">
        <w:rPr>
          <w:rFonts w:hint="eastAsia"/>
          <w:sz w:val="24"/>
          <w:lang w:val="zh-TW"/>
        </w:rPr>
        <w:t>包括血压、脉搏及体温</w:t>
      </w:r>
      <w:r w:rsidR="00AD0A94" w:rsidRPr="00691EA9">
        <w:rPr>
          <w:sz w:val="24"/>
          <w:lang w:val="zh-TW"/>
        </w:rPr>
        <w:t>)</w:t>
      </w:r>
      <w:r w:rsidR="00AD0A94" w:rsidRPr="00691EA9">
        <w:rPr>
          <w:rFonts w:hint="eastAsia"/>
          <w:sz w:val="24"/>
          <w:lang w:val="zh-TW"/>
        </w:rPr>
        <w:t>、临床实验室检查及心电图、临床不良事件等。</w:t>
      </w:r>
      <w:r>
        <w:rPr>
          <w:rFonts w:hint="eastAsia"/>
          <w:sz w:val="24"/>
          <w:lang w:val="zh-TW"/>
        </w:rPr>
        <w:t>试验过程流程图如下表：</w:t>
      </w:r>
    </w:p>
    <w:tbl>
      <w:tblPr>
        <w:tblW w:w="5448" w:type="pct"/>
        <w:jc w:val="center"/>
        <w:tblCellMar>
          <w:left w:w="51" w:type="dxa"/>
          <w:right w:w="51" w:type="dxa"/>
        </w:tblCellMar>
        <w:tblLook w:val="04A0" w:firstRow="1" w:lastRow="0" w:firstColumn="1" w:lastColumn="0" w:noHBand="0" w:noVBand="1"/>
      </w:tblPr>
      <w:tblGrid>
        <w:gridCol w:w="1961"/>
        <w:gridCol w:w="838"/>
        <w:gridCol w:w="562"/>
        <w:gridCol w:w="592"/>
        <w:gridCol w:w="551"/>
        <w:gridCol w:w="617"/>
        <w:gridCol w:w="617"/>
        <w:gridCol w:w="788"/>
        <w:gridCol w:w="568"/>
        <w:gridCol w:w="497"/>
        <w:gridCol w:w="531"/>
        <w:gridCol w:w="506"/>
        <w:gridCol w:w="533"/>
      </w:tblGrid>
      <w:tr w:rsidR="004E5152" w:rsidTr="004E5152">
        <w:trPr>
          <w:trHeight w:val="240"/>
          <w:jc w:val="center"/>
        </w:trPr>
        <w:tc>
          <w:tcPr>
            <w:tcW w:w="1070" w:type="pct"/>
            <w:vMerge w:val="restart"/>
            <w:tcBorders>
              <w:top w:val="single" w:sz="4" w:space="0" w:color="auto"/>
              <w:left w:val="single" w:sz="4" w:space="0" w:color="auto"/>
              <w:bottom w:val="single" w:sz="4" w:space="0" w:color="auto"/>
              <w:right w:val="single" w:sz="4" w:space="0" w:color="auto"/>
            </w:tcBorders>
            <w:vAlign w:val="center"/>
            <w:hideMark/>
          </w:tcPr>
          <w:p w:rsidR="00E47414" w:rsidRDefault="00E47414">
            <w:pPr>
              <w:rPr>
                <w:b/>
                <w:bCs/>
                <w:szCs w:val="21"/>
              </w:rPr>
            </w:pPr>
            <w:r>
              <w:rPr>
                <w:rFonts w:hint="eastAsia"/>
                <w:b/>
                <w:bCs/>
                <w:szCs w:val="21"/>
              </w:rPr>
              <w:t>过程和评价</w:t>
            </w:r>
          </w:p>
        </w:tc>
        <w:tc>
          <w:tcPr>
            <w:tcW w:w="457" w:type="pct"/>
            <w:vMerge w:val="restart"/>
            <w:tcBorders>
              <w:top w:val="single" w:sz="4" w:space="0" w:color="auto"/>
              <w:left w:val="single" w:sz="4" w:space="0" w:color="auto"/>
              <w:bottom w:val="single" w:sz="4" w:space="0" w:color="auto"/>
              <w:right w:val="single" w:sz="12" w:space="0" w:color="auto"/>
            </w:tcBorders>
            <w:vAlign w:val="center"/>
            <w:hideMark/>
          </w:tcPr>
          <w:p w:rsidR="00E47414" w:rsidRDefault="00E47414">
            <w:pPr>
              <w:jc w:val="center"/>
              <w:rPr>
                <w:b/>
                <w:bCs/>
                <w:szCs w:val="21"/>
              </w:rPr>
            </w:pPr>
            <w:r>
              <w:rPr>
                <w:rFonts w:hint="eastAsia"/>
                <w:b/>
                <w:bCs/>
                <w:szCs w:val="21"/>
              </w:rPr>
              <w:t>筛选期</w:t>
            </w:r>
          </w:p>
        </w:tc>
        <w:tc>
          <w:tcPr>
            <w:tcW w:w="1604" w:type="pct"/>
            <w:gridSpan w:val="5"/>
            <w:tcBorders>
              <w:top w:val="single" w:sz="4" w:space="0" w:color="auto"/>
              <w:left w:val="single" w:sz="12" w:space="0" w:color="auto"/>
              <w:bottom w:val="single" w:sz="4" w:space="0" w:color="auto"/>
              <w:right w:val="single" w:sz="12" w:space="0" w:color="auto"/>
            </w:tcBorders>
            <w:hideMark/>
          </w:tcPr>
          <w:p w:rsidR="00E47414" w:rsidRPr="004E5152" w:rsidRDefault="00E47414">
            <w:pPr>
              <w:jc w:val="center"/>
              <w:rPr>
                <w:rFonts w:hint="eastAsia"/>
                <w:b/>
                <w:szCs w:val="21"/>
              </w:rPr>
            </w:pPr>
            <w:r w:rsidRPr="004E5152">
              <w:rPr>
                <w:rFonts w:hint="eastAsia"/>
                <w:b/>
                <w:szCs w:val="21"/>
              </w:rPr>
              <w:t>第一周期</w:t>
            </w:r>
          </w:p>
        </w:tc>
        <w:tc>
          <w:tcPr>
            <w:tcW w:w="430" w:type="pct"/>
            <w:vMerge w:val="restart"/>
            <w:tcBorders>
              <w:top w:val="single" w:sz="2" w:space="0" w:color="auto"/>
              <w:left w:val="single" w:sz="12" w:space="0" w:color="auto"/>
              <w:right w:val="single" w:sz="12" w:space="0" w:color="auto"/>
            </w:tcBorders>
            <w:vAlign w:val="center"/>
          </w:tcPr>
          <w:p w:rsidR="00E47414" w:rsidRPr="004E5152" w:rsidRDefault="00E47414" w:rsidP="00E47414">
            <w:pPr>
              <w:jc w:val="center"/>
              <w:rPr>
                <w:rFonts w:hint="eastAsia"/>
                <w:b/>
                <w:szCs w:val="21"/>
              </w:rPr>
            </w:pPr>
            <w:r w:rsidRPr="004E5152">
              <w:rPr>
                <w:rFonts w:hint="eastAsia"/>
                <w:b/>
                <w:szCs w:val="21"/>
              </w:rPr>
              <w:t>清洗期</w:t>
            </w:r>
          </w:p>
        </w:tc>
        <w:tc>
          <w:tcPr>
            <w:tcW w:w="1439" w:type="pct"/>
            <w:gridSpan w:val="5"/>
            <w:tcBorders>
              <w:top w:val="single" w:sz="2" w:space="0" w:color="auto"/>
              <w:left w:val="single" w:sz="12" w:space="0" w:color="auto"/>
              <w:bottom w:val="single" w:sz="2" w:space="0" w:color="auto"/>
              <w:right w:val="single" w:sz="2" w:space="0" w:color="auto"/>
            </w:tcBorders>
          </w:tcPr>
          <w:p w:rsidR="00E47414" w:rsidRPr="004E5152" w:rsidRDefault="00E47414">
            <w:pPr>
              <w:jc w:val="center"/>
              <w:rPr>
                <w:b/>
                <w:szCs w:val="21"/>
              </w:rPr>
            </w:pPr>
            <w:r w:rsidRPr="004E5152">
              <w:rPr>
                <w:rFonts w:hint="eastAsia"/>
                <w:b/>
                <w:szCs w:val="21"/>
              </w:rPr>
              <w:t>第二周期</w:t>
            </w:r>
          </w:p>
        </w:tc>
      </w:tr>
      <w:tr w:rsidR="004E5152" w:rsidTr="004E5152">
        <w:trPr>
          <w:trHeight w:val="413"/>
          <w:jc w:val="center"/>
        </w:trPr>
        <w:tc>
          <w:tcPr>
            <w:tcW w:w="1070" w:type="pct"/>
            <w:vMerge/>
            <w:tcBorders>
              <w:top w:val="single" w:sz="4" w:space="0" w:color="auto"/>
              <w:left w:val="single" w:sz="4" w:space="0" w:color="auto"/>
              <w:bottom w:val="single" w:sz="4" w:space="0" w:color="auto"/>
              <w:right w:val="single" w:sz="4" w:space="0" w:color="auto"/>
            </w:tcBorders>
            <w:vAlign w:val="center"/>
            <w:hideMark/>
          </w:tcPr>
          <w:p w:rsidR="00E47414" w:rsidRDefault="00E47414">
            <w:pPr>
              <w:widowControl/>
              <w:jc w:val="left"/>
              <w:rPr>
                <w:b/>
                <w:bCs/>
                <w:szCs w:val="21"/>
              </w:rPr>
            </w:pPr>
          </w:p>
        </w:tc>
        <w:tc>
          <w:tcPr>
            <w:tcW w:w="457" w:type="pct"/>
            <w:vMerge/>
            <w:tcBorders>
              <w:top w:val="single" w:sz="4" w:space="0" w:color="auto"/>
              <w:left w:val="single" w:sz="4" w:space="0" w:color="auto"/>
              <w:bottom w:val="single" w:sz="4" w:space="0" w:color="auto"/>
              <w:right w:val="single" w:sz="12" w:space="0" w:color="auto"/>
            </w:tcBorders>
            <w:vAlign w:val="center"/>
            <w:hideMark/>
          </w:tcPr>
          <w:p w:rsidR="00E47414" w:rsidRDefault="00E47414">
            <w:pPr>
              <w:widowControl/>
              <w:jc w:val="left"/>
              <w:rPr>
                <w:b/>
                <w:bCs/>
                <w:szCs w:val="21"/>
              </w:rPr>
            </w:pPr>
          </w:p>
        </w:tc>
        <w:tc>
          <w:tcPr>
            <w:tcW w:w="307" w:type="pct"/>
            <w:tcBorders>
              <w:top w:val="single" w:sz="4" w:space="0" w:color="auto"/>
              <w:left w:val="single" w:sz="12" w:space="0" w:color="auto"/>
              <w:bottom w:val="single" w:sz="4" w:space="0" w:color="auto"/>
              <w:right w:val="single" w:sz="4" w:space="0" w:color="auto"/>
            </w:tcBorders>
            <w:vAlign w:val="center"/>
            <w:hideMark/>
          </w:tcPr>
          <w:p w:rsidR="00E47414" w:rsidRPr="004E5152" w:rsidRDefault="00E47414">
            <w:pPr>
              <w:jc w:val="center"/>
              <w:rPr>
                <w:b/>
                <w:bCs/>
                <w:szCs w:val="21"/>
              </w:rPr>
            </w:pPr>
            <w:r w:rsidRPr="004E5152">
              <w:rPr>
                <w:b/>
                <w:szCs w:val="21"/>
              </w:rPr>
              <w:t>D-1</w:t>
            </w:r>
            <w:r w:rsidRPr="004E5152">
              <w:rPr>
                <w:rFonts w:hint="eastAsia"/>
                <w:b/>
                <w:szCs w:val="21"/>
              </w:rPr>
              <w:t>入住</w:t>
            </w:r>
          </w:p>
        </w:tc>
        <w:tc>
          <w:tcPr>
            <w:tcW w:w="323" w:type="pct"/>
            <w:tcBorders>
              <w:top w:val="single" w:sz="4" w:space="0" w:color="auto"/>
              <w:left w:val="single" w:sz="4" w:space="0" w:color="auto"/>
              <w:bottom w:val="single" w:sz="4" w:space="0" w:color="auto"/>
              <w:right w:val="single" w:sz="4" w:space="0" w:color="auto"/>
            </w:tcBorders>
            <w:vAlign w:val="center"/>
            <w:hideMark/>
          </w:tcPr>
          <w:p w:rsidR="00E47414" w:rsidRPr="004E5152" w:rsidRDefault="00E47414">
            <w:pPr>
              <w:jc w:val="center"/>
              <w:rPr>
                <w:b/>
                <w:bCs/>
                <w:szCs w:val="21"/>
              </w:rPr>
            </w:pPr>
            <w:r w:rsidRPr="004E5152">
              <w:rPr>
                <w:b/>
                <w:szCs w:val="21"/>
              </w:rPr>
              <w:t>D1</w:t>
            </w:r>
          </w:p>
        </w:tc>
        <w:tc>
          <w:tcPr>
            <w:tcW w:w="301" w:type="pct"/>
            <w:tcBorders>
              <w:top w:val="single" w:sz="4" w:space="0" w:color="auto"/>
              <w:left w:val="single" w:sz="4" w:space="0" w:color="auto"/>
              <w:bottom w:val="single" w:sz="4" w:space="0" w:color="auto"/>
              <w:right w:val="single" w:sz="12" w:space="0" w:color="auto"/>
            </w:tcBorders>
            <w:vAlign w:val="center"/>
            <w:hideMark/>
          </w:tcPr>
          <w:p w:rsidR="00E47414" w:rsidRPr="004E5152" w:rsidRDefault="00E47414">
            <w:pPr>
              <w:jc w:val="center"/>
              <w:rPr>
                <w:b/>
                <w:szCs w:val="21"/>
              </w:rPr>
            </w:pPr>
            <w:r w:rsidRPr="004E5152">
              <w:rPr>
                <w:b/>
                <w:szCs w:val="21"/>
              </w:rPr>
              <w:t>D2</w:t>
            </w:r>
          </w:p>
        </w:tc>
        <w:tc>
          <w:tcPr>
            <w:tcW w:w="337" w:type="pct"/>
            <w:tcBorders>
              <w:top w:val="single" w:sz="2" w:space="0" w:color="auto"/>
              <w:left w:val="single" w:sz="12" w:space="0" w:color="auto"/>
              <w:bottom w:val="single" w:sz="2" w:space="0" w:color="auto"/>
              <w:right w:val="single" w:sz="12" w:space="0" w:color="auto"/>
            </w:tcBorders>
            <w:vAlign w:val="center"/>
            <w:hideMark/>
          </w:tcPr>
          <w:p w:rsidR="00E47414" w:rsidRPr="004E5152" w:rsidRDefault="00E47414">
            <w:pPr>
              <w:jc w:val="center"/>
              <w:rPr>
                <w:b/>
                <w:szCs w:val="21"/>
              </w:rPr>
            </w:pPr>
            <w:r w:rsidRPr="004E5152">
              <w:rPr>
                <w:b/>
                <w:szCs w:val="21"/>
              </w:rPr>
              <w:t>D3</w:t>
            </w:r>
          </w:p>
        </w:tc>
        <w:tc>
          <w:tcPr>
            <w:tcW w:w="337" w:type="pct"/>
            <w:tcBorders>
              <w:top w:val="single" w:sz="2" w:space="0" w:color="auto"/>
              <w:left w:val="single" w:sz="12" w:space="0" w:color="auto"/>
              <w:bottom w:val="single" w:sz="2" w:space="0" w:color="auto"/>
              <w:right w:val="single" w:sz="12" w:space="0" w:color="auto"/>
            </w:tcBorders>
            <w:vAlign w:val="center"/>
          </w:tcPr>
          <w:p w:rsidR="00E47414" w:rsidRPr="004E5152" w:rsidRDefault="00E47414" w:rsidP="00E47414">
            <w:pPr>
              <w:jc w:val="center"/>
              <w:rPr>
                <w:b/>
                <w:szCs w:val="21"/>
              </w:rPr>
            </w:pPr>
            <w:r w:rsidRPr="004E5152">
              <w:rPr>
                <w:rFonts w:hint="eastAsia"/>
                <w:b/>
                <w:szCs w:val="21"/>
              </w:rPr>
              <w:t>D4</w:t>
            </w:r>
          </w:p>
        </w:tc>
        <w:tc>
          <w:tcPr>
            <w:tcW w:w="430" w:type="pct"/>
            <w:vMerge/>
            <w:tcBorders>
              <w:left w:val="single" w:sz="12" w:space="0" w:color="auto"/>
              <w:bottom w:val="single" w:sz="2" w:space="0" w:color="auto"/>
              <w:right w:val="single" w:sz="12" w:space="0" w:color="auto"/>
            </w:tcBorders>
            <w:vAlign w:val="center"/>
          </w:tcPr>
          <w:p w:rsidR="00E47414" w:rsidRPr="004E5152" w:rsidRDefault="00E47414" w:rsidP="00E47414">
            <w:pPr>
              <w:jc w:val="center"/>
              <w:rPr>
                <w:b/>
                <w:szCs w:val="21"/>
              </w:rPr>
            </w:pPr>
          </w:p>
        </w:tc>
        <w:tc>
          <w:tcPr>
            <w:tcW w:w="310" w:type="pct"/>
            <w:tcBorders>
              <w:top w:val="single" w:sz="2" w:space="0" w:color="auto"/>
              <w:left w:val="single" w:sz="12" w:space="0" w:color="auto"/>
              <w:bottom w:val="single" w:sz="2" w:space="0" w:color="auto"/>
              <w:right w:val="single" w:sz="12" w:space="0" w:color="auto"/>
            </w:tcBorders>
            <w:vAlign w:val="center"/>
          </w:tcPr>
          <w:p w:rsidR="00E47414" w:rsidRPr="004E5152" w:rsidRDefault="00E47414" w:rsidP="007B7D25">
            <w:pPr>
              <w:jc w:val="center"/>
              <w:rPr>
                <w:b/>
                <w:szCs w:val="21"/>
              </w:rPr>
            </w:pPr>
            <w:r w:rsidRPr="004E5152">
              <w:rPr>
                <w:b/>
                <w:szCs w:val="21"/>
              </w:rPr>
              <w:t>D-1</w:t>
            </w:r>
          </w:p>
          <w:p w:rsidR="00E47414" w:rsidRPr="004E5152" w:rsidRDefault="00E47414" w:rsidP="007B7D25">
            <w:pPr>
              <w:jc w:val="center"/>
              <w:rPr>
                <w:b/>
                <w:szCs w:val="21"/>
              </w:rPr>
            </w:pPr>
            <w:r w:rsidRPr="004E5152">
              <w:rPr>
                <w:rFonts w:hint="eastAsia"/>
                <w:b/>
                <w:szCs w:val="21"/>
              </w:rPr>
              <w:t>入住</w:t>
            </w:r>
          </w:p>
        </w:tc>
        <w:tc>
          <w:tcPr>
            <w:tcW w:w="271" w:type="pct"/>
            <w:tcBorders>
              <w:top w:val="single" w:sz="2" w:space="0" w:color="auto"/>
              <w:left w:val="single" w:sz="12" w:space="0" w:color="auto"/>
              <w:bottom w:val="single" w:sz="2" w:space="0" w:color="auto"/>
              <w:right w:val="single" w:sz="2" w:space="0" w:color="auto"/>
            </w:tcBorders>
            <w:vAlign w:val="center"/>
          </w:tcPr>
          <w:p w:rsidR="00E47414" w:rsidRPr="004E5152" w:rsidRDefault="00E47414" w:rsidP="007B7D25">
            <w:pPr>
              <w:jc w:val="center"/>
              <w:rPr>
                <w:b/>
                <w:szCs w:val="21"/>
              </w:rPr>
            </w:pPr>
            <w:r w:rsidRPr="004E5152">
              <w:rPr>
                <w:b/>
                <w:szCs w:val="21"/>
              </w:rPr>
              <w:t>D1</w:t>
            </w:r>
          </w:p>
        </w:tc>
        <w:tc>
          <w:tcPr>
            <w:tcW w:w="290" w:type="pct"/>
            <w:tcBorders>
              <w:top w:val="single" w:sz="2" w:space="0" w:color="auto"/>
              <w:left w:val="single" w:sz="2" w:space="0" w:color="auto"/>
              <w:bottom w:val="single" w:sz="2" w:space="0" w:color="auto"/>
              <w:right w:val="single" w:sz="2" w:space="0" w:color="auto"/>
            </w:tcBorders>
            <w:vAlign w:val="center"/>
          </w:tcPr>
          <w:p w:rsidR="00E47414" w:rsidRPr="004E5152" w:rsidRDefault="00E47414" w:rsidP="007B7D25">
            <w:pPr>
              <w:jc w:val="center"/>
              <w:rPr>
                <w:b/>
                <w:szCs w:val="21"/>
              </w:rPr>
            </w:pPr>
            <w:r w:rsidRPr="004E5152">
              <w:rPr>
                <w:b/>
                <w:szCs w:val="21"/>
              </w:rPr>
              <w:t>D2</w:t>
            </w:r>
          </w:p>
        </w:tc>
        <w:tc>
          <w:tcPr>
            <w:tcW w:w="276" w:type="pct"/>
            <w:tcBorders>
              <w:top w:val="single" w:sz="2" w:space="0" w:color="auto"/>
              <w:left w:val="single" w:sz="2" w:space="0" w:color="auto"/>
              <w:bottom w:val="single" w:sz="2" w:space="0" w:color="auto"/>
              <w:right w:val="single" w:sz="2" w:space="0" w:color="auto"/>
            </w:tcBorders>
            <w:vAlign w:val="center"/>
          </w:tcPr>
          <w:p w:rsidR="00E47414" w:rsidRPr="004E5152" w:rsidRDefault="00E47414" w:rsidP="007B7D25">
            <w:pPr>
              <w:jc w:val="center"/>
              <w:rPr>
                <w:b/>
                <w:szCs w:val="21"/>
              </w:rPr>
            </w:pPr>
            <w:r w:rsidRPr="004E5152">
              <w:rPr>
                <w:b/>
                <w:szCs w:val="21"/>
              </w:rPr>
              <w:t>D3</w:t>
            </w:r>
          </w:p>
        </w:tc>
        <w:tc>
          <w:tcPr>
            <w:tcW w:w="292" w:type="pct"/>
            <w:tcBorders>
              <w:top w:val="single" w:sz="2" w:space="0" w:color="auto"/>
              <w:left w:val="single" w:sz="2" w:space="0" w:color="auto"/>
              <w:bottom w:val="single" w:sz="2" w:space="0" w:color="auto"/>
              <w:right w:val="single" w:sz="2" w:space="0" w:color="auto"/>
            </w:tcBorders>
            <w:vAlign w:val="center"/>
          </w:tcPr>
          <w:p w:rsidR="00E47414" w:rsidRPr="004E5152" w:rsidRDefault="00E47414">
            <w:pPr>
              <w:jc w:val="center"/>
              <w:rPr>
                <w:b/>
                <w:szCs w:val="21"/>
              </w:rPr>
            </w:pPr>
            <w:r w:rsidRPr="004E5152">
              <w:rPr>
                <w:rFonts w:hint="eastAsia"/>
                <w:b/>
                <w:szCs w:val="21"/>
              </w:rPr>
              <w:t>D4</w:t>
            </w:r>
          </w:p>
        </w:tc>
      </w:tr>
      <w:tr w:rsidR="004E5152" w:rsidTr="004E5152">
        <w:trPr>
          <w:trHeight w:hRule="exact" w:val="406"/>
          <w:jc w:val="center"/>
        </w:trPr>
        <w:tc>
          <w:tcPr>
            <w:tcW w:w="1070" w:type="pct"/>
            <w:tcBorders>
              <w:top w:val="nil"/>
              <w:left w:val="single" w:sz="4" w:space="0" w:color="auto"/>
              <w:bottom w:val="single" w:sz="4" w:space="0" w:color="auto"/>
              <w:right w:val="single" w:sz="4" w:space="0" w:color="auto"/>
            </w:tcBorders>
            <w:vAlign w:val="center"/>
            <w:hideMark/>
          </w:tcPr>
          <w:p w:rsidR="00E47414" w:rsidRDefault="00E47414">
            <w:pPr>
              <w:rPr>
                <w:szCs w:val="21"/>
              </w:rPr>
            </w:pPr>
            <w:r>
              <w:rPr>
                <w:rFonts w:hint="eastAsia"/>
                <w:szCs w:val="21"/>
              </w:rPr>
              <w:t>知情同意</w:t>
            </w:r>
          </w:p>
        </w:tc>
        <w:tc>
          <w:tcPr>
            <w:tcW w:w="457" w:type="pct"/>
            <w:tcBorders>
              <w:top w:val="nil"/>
              <w:left w:val="nil"/>
              <w:bottom w:val="single" w:sz="4" w:space="0" w:color="auto"/>
              <w:right w:val="single" w:sz="12" w:space="0" w:color="auto"/>
            </w:tcBorders>
            <w:vAlign w:val="center"/>
            <w:hideMark/>
          </w:tcPr>
          <w:p w:rsidR="00E47414" w:rsidRDefault="00E47414">
            <w:pPr>
              <w:jc w:val="center"/>
              <w:rPr>
                <w:szCs w:val="21"/>
              </w:rPr>
            </w:pPr>
            <w:r>
              <w:rPr>
                <w:szCs w:val="21"/>
              </w:rPr>
              <w:t>X</w:t>
            </w:r>
          </w:p>
        </w:tc>
        <w:tc>
          <w:tcPr>
            <w:tcW w:w="307" w:type="pct"/>
            <w:tcBorders>
              <w:top w:val="single" w:sz="4" w:space="0" w:color="auto"/>
              <w:left w:val="single" w:sz="12" w:space="0" w:color="auto"/>
              <w:bottom w:val="single" w:sz="4" w:space="0" w:color="auto"/>
              <w:right w:val="single" w:sz="4" w:space="0" w:color="auto"/>
            </w:tcBorders>
          </w:tcPr>
          <w:p w:rsidR="00E47414" w:rsidRDefault="00E47414">
            <w:pPr>
              <w:jc w:val="center"/>
              <w:rPr>
                <w:szCs w:val="21"/>
              </w:rPr>
            </w:pPr>
          </w:p>
        </w:tc>
        <w:tc>
          <w:tcPr>
            <w:tcW w:w="323" w:type="pct"/>
            <w:tcBorders>
              <w:top w:val="single" w:sz="4" w:space="0" w:color="auto"/>
              <w:left w:val="single" w:sz="4" w:space="0" w:color="auto"/>
              <w:bottom w:val="single" w:sz="4" w:space="0" w:color="auto"/>
              <w:right w:val="single" w:sz="4" w:space="0" w:color="auto"/>
            </w:tcBorders>
          </w:tcPr>
          <w:p w:rsidR="00E47414" w:rsidRDefault="00E47414">
            <w:pPr>
              <w:jc w:val="center"/>
              <w:rPr>
                <w:szCs w:val="21"/>
              </w:rPr>
            </w:pPr>
          </w:p>
        </w:tc>
        <w:tc>
          <w:tcPr>
            <w:tcW w:w="301" w:type="pct"/>
            <w:tcBorders>
              <w:top w:val="nil"/>
              <w:left w:val="single" w:sz="4" w:space="0" w:color="auto"/>
              <w:bottom w:val="single" w:sz="4" w:space="0" w:color="auto"/>
              <w:right w:val="single" w:sz="12" w:space="0" w:color="auto"/>
            </w:tcBorders>
            <w:vAlign w:val="center"/>
          </w:tcPr>
          <w:p w:rsidR="00E47414" w:rsidRDefault="00E47414">
            <w:pPr>
              <w:jc w:val="center"/>
              <w:rPr>
                <w:szCs w:val="21"/>
              </w:rPr>
            </w:pPr>
          </w:p>
        </w:tc>
        <w:tc>
          <w:tcPr>
            <w:tcW w:w="337" w:type="pct"/>
            <w:tcBorders>
              <w:top w:val="single" w:sz="2" w:space="0" w:color="auto"/>
              <w:left w:val="single" w:sz="12" w:space="0" w:color="auto"/>
              <w:bottom w:val="single" w:sz="2" w:space="0" w:color="auto"/>
              <w:right w:val="single" w:sz="12" w:space="0" w:color="auto"/>
            </w:tcBorders>
          </w:tcPr>
          <w:p w:rsidR="00E47414" w:rsidRDefault="00E47414">
            <w:pPr>
              <w:jc w:val="center"/>
              <w:rPr>
                <w:szCs w:val="21"/>
              </w:rPr>
            </w:pPr>
          </w:p>
        </w:tc>
        <w:tc>
          <w:tcPr>
            <w:tcW w:w="337" w:type="pct"/>
            <w:tcBorders>
              <w:top w:val="single" w:sz="2" w:space="0" w:color="auto"/>
              <w:left w:val="single" w:sz="12" w:space="0" w:color="auto"/>
              <w:bottom w:val="single" w:sz="2" w:space="0" w:color="auto"/>
              <w:right w:val="single" w:sz="12" w:space="0" w:color="auto"/>
            </w:tcBorders>
          </w:tcPr>
          <w:p w:rsidR="00E47414" w:rsidRDefault="00E47414">
            <w:pPr>
              <w:jc w:val="center"/>
              <w:rPr>
                <w:szCs w:val="21"/>
              </w:rPr>
            </w:pPr>
          </w:p>
        </w:tc>
        <w:tc>
          <w:tcPr>
            <w:tcW w:w="430" w:type="pct"/>
            <w:tcBorders>
              <w:top w:val="single" w:sz="2" w:space="0" w:color="auto"/>
              <w:left w:val="single" w:sz="12" w:space="0" w:color="auto"/>
              <w:bottom w:val="single" w:sz="2" w:space="0" w:color="auto"/>
              <w:right w:val="single" w:sz="12" w:space="0" w:color="auto"/>
            </w:tcBorders>
          </w:tcPr>
          <w:p w:rsidR="00E47414" w:rsidRDefault="00E47414">
            <w:pPr>
              <w:jc w:val="center"/>
              <w:rPr>
                <w:szCs w:val="21"/>
              </w:rPr>
            </w:pPr>
          </w:p>
        </w:tc>
        <w:tc>
          <w:tcPr>
            <w:tcW w:w="310" w:type="pct"/>
            <w:tcBorders>
              <w:top w:val="single" w:sz="2" w:space="0" w:color="auto"/>
              <w:left w:val="single" w:sz="12" w:space="0" w:color="auto"/>
              <w:bottom w:val="single" w:sz="2" w:space="0" w:color="auto"/>
              <w:right w:val="single" w:sz="12" w:space="0" w:color="auto"/>
            </w:tcBorders>
            <w:vAlign w:val="center"/>
          </w:tcPr>
          <w:p w:rsidR="00E47414" w:rsidRDefault="00E47414" w:rsidP="007B7D25">
            <w:pPr>
              <w:jc w:val="center"/>
              <w:rPr>
                <w:szCs w:val="21"/>
              </w:rPr>
            </w:pPr>
          </w:p>
        </w:tc>
        <w:tc>
          <w:tcPr>
            <w:tcW w:w="271" w:type="pct"/>
            <w:tcBorders>
              <w:top w:val="single" w:sz="2" w:space="0" w:color="auto"/>
              <w:left w:val="single" w:sz="12" w:space="0" w:color="auto"/>
              <w:bottom w:val="single" w:sz="2" w:space="0" w:color="auto"/>
              <w:right w:val="single" w:sz="2" w:space="0" w:color="auto"/>
            </w:tcBorders>
            <w:vAlign w:val="center"/>
          </w:tcPr>
          <w:p w:rsidR="00E47414" w:rsidRDefault="00E47414" w:rsidP="007B7D25">
            <w:pPr>
              <w:jc w:val="center"/>
              <w:rPr>
                <w:szCs w:val="21"/>
              </w:rPr>
            </w:pPr>
          </w:p>
        </w:tc>
        <w:tc>
          <w:tcPr>
            <w:tcW w:w="290" w:type="pct"/>
            <w:tcBorders>
              <w:top w:val="single" w:sz="2" w:space="0" w:color="auto"/>
              <w:left w:val="single" w:sz="2" w:space="0" w:color="auto"/>
              <w:bottom w:val="single" w:sz="2" w:space="0" w:color="auto"/>
              <w:right w:val="single" w:sz="2" w:space="0" w:color="auto"/>
            </w:tcBorders>
            <w:vAlign w:val="center"/>
          </w:tcPr>
          <w:p w:rsidR="00E47414" w:rsidRDefault="00E47414" w:rsidP="007B7D25">
            <w:pPr>
              <w:jc w:val="center"/>
              <w:rPr>
                <w:szCs w:val="21"/>
              </w:rPr>
            </w:pPr>
          </w:p>
        </w:tc>
        <w:tc>
          <w:tcPr>
            <w:tcW w:w="276" w:type="pct"/>
            <w:tcBorders>
              <w:top w:val="single" w:sz="2" w:space="0" w:color="auto"/>
              <w:left w:val="single" w:sz="2" w:space="0" w:color="auto"/>
              <w:bottom w:val="single" w:sz="2" w:space="0" w:color="auto"/>
              <w:right w:val="single" w:sz="2" w:space="0" w:color="auto"/>
            </w:tcBorders>
          </w:tcPr>
          <w:p w:rsidR="00E47414" w:rsidRDefault="00E47414" w:rsidP="007B7D25">
            <w:pPr>
              <w:jc w:val="center"/>
              <w:rPr>
                <w:szCs w:val="21"/>
              </w:rPr>
            </w:pPr>
          </w:p>
        </w:tc>
        <w:tc>
          <w:tcPr>
            <w:tcW w:w="292" w:type="pct"/>
            <w:tcBorders>
              <w:top w:val="single" w:sz="2" w:space="0" w:color="auto"/>
              <w:left w:val="single" w:sz="2" w:space="0" w:color="auto"/>
              <w:bottom w:val="single" w:sz="2" w:space="0" w:color="auto"/>
              <w:right w:val="single" w:sz="2" w:space="0" w:color="auto"/>
            </w:tcBorders>
          </w:tcPr>
          <w:p w:rsidR="00E47414" w:rsidRDefault="00E47414">
            <w:pPr>
              <w:jc w:val="center"/>
              <w:rPr>
                <w:szCs w:val="21"/>
              </w:rPr>
            </w:pPr>
          </w:p>
        </w:tc>
      </w:tr>
      <w:tr w:rsidR="004E5152" w:rsidTr="004E5152">
        <w:trPr>
          <w:trHeight w:hRule="exact" w:val="406"/>
          <w:jc w:val="center"/>
        </w:trPr>
        <w:tc>
          <w:tcPr>
            <w:tcW w:w="1070" w:type="pct"/>
            <w:tcBorders>
              <w:top w:val="nil"/>
              <w:left w:val="single" w:sz="4" w:space="0" w:color="auto"/>
              <w:bottom w:val="single" w:sz="4" w:space="0" w:color="auto"/>
              <w:right w:val="single" w:sz="4" w:space="0" w:color="auto"/>
            </w:tcBorders>
            <w:vAlign w:val="center"/>
            <w:hideMark/>
          </w:tcPr>
          <w:p w:rsidR="00E47414" w:rsidRDefault="00E47414" w:rsidP="00ED77F8">
            <w:pPr>
              <w:rPr>
                <w:szCs w:val="21"/>
              </w:rPr>
            </w:pPr>
            <w:r>
              <w:rPr>
                <w:rFonts w:hint="eastAsia"/>
                <w:szCs w:val="21"/>
              </w:rPr>
              <w:t>一般资料登记</w:t>
            </w:r>
          </w:p>
        </w:tc>
        <w:tc>
          <w:tcPr>
            <w:tcW w:w="457" w:type="pct"/>
            <w:tcBorders>
              <w:top w:val="nil"/>
              <w:left w:val="nil"/>
              <w:bottom w:val="single" w:sz="4" w:space="0" w:color="auto"/>
              <w:right w:val="single" w:sz="12" w:space="0" w:color="auto"/>
            </w:tcBorders>
            <w:vAlign w:val="center"/>
            <w:hideMark/>
          </w:tcPr>
          <w:p w:rsidR="00E47414" w:rsidRDefault="00E47414">
            <w:pPr>
              <w:jc w:val="center"/>
              <w:rPr>
                <w:szCs w:val="21"/>
              </w:rPr>
            </w:pPr>
            <w:r>
              <w:rPr>
                <w:szCs w:val="21"/>
              </w:rPr>
              <w:t>X</w:t>
            </w:r>
          </w:p>
        </w:tc>
        <w:tc>
          <w:tcPr>
            <w:tcW w:w="307" w:type="pct"/>
            <w:tcBorders>
              <w:top w:val="single" w:sz="4" w:space="0" w:color="auto"/>
              <w:left w:val="single" w:sz="12" w:space="0" w:color="auto"/>
              <w:bottom w:val="single" w:sz="4" w:space="0" w:color="auto"/>
              <w:right w:val="single" w:sz="4" w:space="0" w:color="auto"/>
            </w:tcBorders>
          </w:tcPr>
          <w:p w:rsidR="00E47414" w:rsidRDefault="00E47414">
            <w:pPr>
              <w:jc w:val="center"/>
              <w:rPr>
                <w:szCs w:val="21"/>
              </w:rPr>
            </w:pPr>
          </w:p>
        </w:tc>
        <w:tc>
          <w:tcPr>
            <w:tcW w:w="323" w:type="pct"/>
            <w:tcBorders>
              <w:top w:val="single" w:sz="4" w:space="0" w:color="auto"/>
              <w:left w:val="single" w:sz="4" w:space="0" w:color="auto"/>
              <w:bottom w:val="single" w:sz="4" w:space="0" w:color="auto"/>
              <w:right w:val="single" w:sz="4" w:space="0" w:color="auto"/>
            </w:tcBorders>
          </w:tcPr>
          <w:p w:rsidR="00E47414" w:rsidRDefault="00E47414">
            <w:pPr>
              <w:jc w:val="center"/>
              <w:rPr>
                <w:szCs w:val="21"/>
              </w:rPr>
            </w:pPr>
          </w:p>
        </w:tc>
        <w:tc>
          <w:tcPr>
            <w:tcW w:w="301" w:type="pct"/>
            <w:tcBorders>
              <w:top w:val="nil"/>
              <w:left w:val="single" w:sz="4" w:space="0" w:color="auto"/>
              <w:bottom w:val="single" w:sz="4" w:space="0" w:color="auto"/>
              <w:right w:val="single" w:sz="12" w:space="0" w:color="auto"/>
            </w:tcBorders>
            <w:vAlign w:val="center"/>
          </w:tcPr>
          <w:p w:rsidR="00E47414" w:rsidRDefault="00E47414">
            <w:pPr>
              <w:jc w:val="center"/>
              <w:rPr>
                <w:szCs w:val="21"/>
              </w:rPr>
            </w:pPr>
          </w:p>
        </w:tc>
        <w:tc>
          <w:tcPr>
            <w:tcW w:w="337" w:type="pct"/>
            <w:tcBorders>
              <w:top w:val="single" w:sz="2" w:space="0" w:color="auto"/>
              <w:left w:val="single" w:sz="12" w:space="0" w:color="auto"/>
              <w:bottom w:val="single" w:sz="2" w:space="0" w:color="auto"/>
              <w:right w:val="single" w:sz="12" w:space="0" w:color="auto"/>
            </w:tcBorders>
          </w:tcPr>
          <w:p w:rsidR="00E47414" w:rsidRDefault="00E47414">
            <w:pPr>
              <w:jc w:val="center"/>
              <w:rPr>
                <w:szCs w:val="21"/>
              </w:rPr>
            </w:pPr>
          </w:p>
        </w:tc>
        <w:tc>
          <w:tcPr>
            <w:tcW w:w="337" w:type="pct"/>
            <w:tcBorders>
              <w:top w:val="single" w:sz="2" w:space="0" w:color="auto"/>
              <w:left w:val="single" w:sz="12" w:space="0" w:color="auto"/>
              <w:bottom w:val="single" w:sz="2" w:space="0" w:color="auto"/>
              <w:right w:val="single" w:sz="12" w:space="0" w:color="auto"/>
            </w:tcBorders>
          </w:tcPr>
          <w:p w:rsidR="00E47414" w:rsidRDefault="00E47414">
            <w:pPr>
              <w:jc w:val="center"/>
              <w:rPr>
                <w:szCs w:val="21"/>
              </w:rPr>
            </w:pPr>
          </w:p>
        </w:tc>
        <w:tc>
          <w:tcPr>
            <w:tcW w:w="430" w:type="pct"/>
            <w:tcBorders>
              <w:top w:val="single" w:sz="2" w:space="0" w:color="auto"/>
              <w:left w:val="single" w:sz="12" w:space="0" w:color="auto"/>
              <w:bottom w:val="single" w:sz="2" w:space="0" w:color="auto"/>
              <w:right w:val="single" w:sz="12" w:space="0" w:color="auto"/>
            </w:tcBorders>
          </w:tcPr>
          <w:p w:rsidR="00E47414" w:rsidRDefault="00E47414">
            <w:pPr>
              <w:jc w:val="center"/>
              <w:rPr>
                <w:szCs w:val="21"/>
              </w:rPr>
            </w:pPr>
          </w:p>
        </w:tc>
        <w:tc>
          <w:tcPr>
            <w:tcW w:w="310" w:type="pct"/>
            <w:tcBorders>
              <w:top w:val="single" w:sz="2" w:space="0" w:color="auto"/>
              <w:left w:val="single" w:sz="12" w:space="0" w:color="auto"/>
              <w:bottom w:val="single" w:sz="2" w:space="0" w:color="auto"/>
              <w:right w:val="single" w:sz="12" w:space="0" w:color="auto"/>
            </w:tcBorders>
            <w:vAlign w:val="center"/>
          </w:tcPr>
          <w:p w:rsidR="00E47414" w:rsidRDefault="00E47414" w:rsidP="007B7D25">
            <w:pPr>
              <w:jc w:val="center"/>
              <w:rPr>
                <w:szCs w:val="21"/>
              </w:rPr>
            </w:pPr>
          </w:p>
        </w:tc>
        <w:tc>
          <w:tcPr>
            <w:tcW w:w="271" w:type="pct"/>
            <w:tcBorders>
              <w:top w:val="single" w:sz="2" w:space="0" w:color="auto"/>
              <w:left w:val="single" w:sz="12" w:space="0" w:color="auto"/>
              <w:bottom w:val="single" w:sz="2" w:space="0" w:color="auto"/>
              <w:right w:val="single" w:sz="2" w:space="0" w:color="auto"/>
            </w:tcBorders>
            <w:vAlign w:val="center"/>
          </w:tcPr>
          <w:p w:rsidR="00E47414" w:rsidRDefault="00E47414" w:rsidP="007B7D25">
            <w:pPr>
              <w:jc w:val="center"/>
              <w:rPr>
                <w:szCs w:val="21"/>
              </w:rPr>
            </w:pPr>
          </w:p>
        </w:tc>
        <w:tc>
          <w:tcPr>
            <w:tcW w:w="290" w:type="pct"/>
            <w:tcBorders>
              <w:top w:val="single" w:sz="2" w:space="0" w:color="auto"/>
              <w:left w:val="single" w:sz="2" w:space="0" w:color="auto"/>
              <w:bottom w:val="single" w:sz="2" w:space="0" w:color="auto"/>
              <w:right w:val="single" w:sz="2" w:space="0" w:color="auto"/>
            </w:tcBorders>
            <w:vAlign w:val="center"/>
          </w:tcPr>
          <w:p w:rsidR="00E47414" w:rsidRDefault="00E47414" w:rsidP="007B7D25">
            <w:pPr>
              <w:jc w:val="center"/>
              <w:rPr>
                <w:szCs w:val="21"/>
              </w:rPr>
            </w:pPr>
          </w:p>
        </w:tc>
        <w:tc>
          <w:tcPr>
            <w:tcW w:w="276" w:type="pct"/>
            <w:tcBorders>
              <w:top w:val="single" w:sz="2" w:space="0" w:color="auto"/>
              <w:left w:val="single" w:sz="2" w:space="0" w:color="auto"/>
              <w:bottom w:val="single" w:sz="2" w:space="0" w:color="auto"/>
              <w:right w:val="single" w:sz="2" w:space="0" w:color="auto"/>
            </w:tcBorders>
          </w:tcPr>
          <w:p w:rsidR="00E47414" w:rsidRDefault="00E47414" w:rsidP="007B7D25">
            <w:pPr>
              <w:jc w:val="center"/>
              <w:rPr>
                <w:szCs w:val="21"/>
              </w:rPr>
            </w:pPr>
          </w:p>
        </w:tc>
        <w:tc>
          <w:tcPr>
            <w:tcW w:w="292" w:type="pct"/>
            <w:tcBorders>
              <w:top w:val="single" w:sz="2" w:space="0" w:color="auto"/>
              <w:left w:val="single" w:sz="2" w:space="0" w:color="auto"/>
              <w:bottom w:val="single" w:sz="2" w:space="0" w:color="auto"/>
              <w:right w:val="single" w:sz="2" w:space="0" w:color="auto"/>
            </w:tcBorders>
          </w:tcPr>
          <w:p w:rsidR="00E47414" w:rsidRDefault="00E47414">
            <w:pPr>
              <w:jc w:val="center"/>
              <w:rPr>
                <w:szCs w:val="21"/>
              </w:rPr>
            </w:pPr>
          </w:p>
        </w:tc>
      </w:tr>
      <w:tr w:rsidR="004E5152" w:rsidTr="004E5152">
        <w:trPr>
          <w:trHeight w:hRule="exact" w:val="689"/>
          <w:jc w:val="center"/>
        </w:trPr>
        <w:tc>
          <w:tcPr>
            <w:tcW w:w="1070" w:type="pct"/>
            <w:tcBorders>
              <w:top w:val="nil"/>
              <w:left w:val="single" w:sz="4" w:space="0" w:color="auto"/>
              <w:bottom w:val="single" w:sz="4" w:space="0" w:color="auto"/>
              <w:right w:val="single" w:sz="4" w:space="0" w:color="auto"/>
            </w:tcBorders>
            <w:vAlign w:val="center"/>
            <w:hideMark/>
          </w:tcPr>
          <w:p w:rsidR="00E47414" w:rsidRDefault="00E47414">
            <w:pPr>
              <w:rPr>
                <w:szCs w:val="21"/>
              </w:rPr>
            </w:pPr>
            <w:r>
              <w:rPr>
                <w:rFonts w:hint="eastAsia"/>
                <w:szCs w:val="21"/>
              </w:rPr>
              <w:t>受试者参加临床试验情况查询</w:t>
            </w:r>
          </w:p>
        </w:tc>
        <w:tc>
          <w:tcPr>
            <w:tcW w:w="457" w:type="pct"/>
            <w:tcBorders>
              <w:top w:val="nil"/>
              <w:left w:val="nil"/>
              <w:bottom w:val="single" w:sz="4" w:space="0" w:color="auto"/>
              <w:right w:val="single" w:sz="12" w:space="0" w:color="auto"/>
            </w:tcBorders>
            <w:vAlign w:val="center"/>
            <w:hideMark/>
          </w:tcPr>
          <w:p w:rsidR="00E47414" w:rsidRDefault="00E47414">
            <w:pPr>
              <w:jc w:val="center"/>
              <w:rPr>
                <w:szCs w:val="21"/>
              </w:rPr>
            </w:pPr>
            <w:r>
              <w:rPr>
                <w:szCs w:val="21"/>
              </w:rPr>
              <w:t>X</w:t>
            </w:r>
          </w:p>
        </w:tc>
        <w:tc>
          <w:tcPr>
            <w:tcW w:w="307" w:type="pct"/>
            <w:tcBorders>
              <w:top w:val="single" w:sz="4" w:space="0" w:color="auto"/>
              <w:left w:val="single" w:sz="12" w:space="0" w:color="auto"/>
              <w:bottom w:val="single" w:sz="4" w:space="0" w:color="auto"/>
              <w:right w:val="single" w:sz="4" w:space="0" w:color="auto"/>
            </w:tcBorders>
          </w:tcPr>
          <w:p w:rsidR="00E47414" w:rsidRDefault="00E47414">
            <w:pPr>
              <w:jc w:val="center"/>
              <w:rPr>
                <w:szCs w:val="21"/>
              </w:rPr>
            </w:pPr>
          </w:p>
        </w:tc>
        <w:tc>
          <w:tcPr>
            <w:tcW w:w="323" w:type="pct"/>
            <w:tcBorders>
              <w:top w:val="single" w:sz="4" w:space="0" w:color="auto"/>
              <w:left w:val="single" w:sz="4" w:space="0" w:color="auto"/>
              <w:bottom w:val="single" w:sz="4" w:space="0" w:color="auto"/>
              <w:right w:val="single" w:sz="4" w:space="0" w:color="auto"/>
            </w:tcBorders>
          </w:tcPr>
          <w:p w:rsidR="00E47414" w:rsidRDefault="00E47414">
            <w:pPr>
              <w:jc w:val="center"/>
              <w:rPr>
                <w:szCs w:val="21"/>
              </w:rPr>
            </w:pPr>
          </w:p>
        </w:tc>
        <w:tc>
          <w:tcPr>
            <w:tcW w:w="301" w:type="pct"/>
            <w:tcBorders>
              <w:top w:val="nil"/>
              <w:left w:val="single" w:sz="4" w:space="0" w:color="auto"/>
              <w:bottom w:val="single" w:sz="4" w:space="0" w:color="auto"/>
              <w:right w:val="single" w:sz="12" w:space="0" w:color="auto"/>
            </w:tcBorders>
            <w:vAlign w:val="center"/>
          </w:tcPr>
          <w:p w:rsidR="00E47414" w:rsidRDefault="00E47414">
            <w:pPr>
              <w:jc w:val="center"/>
              <w:rPr>
                <w:szCs w:val="21"/>
              </w:rPr>
            </w:pPr>
          </w:p>
        </w:tc>
        <w:tc>
          <w:tcPr>
            <w:tcW w:w="337" w:type="pct"/>
            <w:tcBorders>
              <w:top w:val="single" w:sz="2" w:space="0" w:color="auto"/>
              <w:left w:val="single" w:sz="12" w:space="0" w:color="auto"/>
              <w:bottom w:val="single" w:sz="2" w:space="0" w:color="auto"/>
              <w:right w:val="single" w:sz="12" w:space="0" w:color="auto"/>
            </w:tcBorders>
          </w:tcPr>
          <w:p w:rsidR="00E47414" w:rsidRDefault="00E47414">
            <w:pPr>
              <w:jc w:val="center"/>
              <w:rPr>
                <w:szCs w:val="21"/>
              </w:rPr>
            </w:pPr>
          </w:p>
        </w:tc>
        <w:tc>
          <w:tcPr>
            <w:tcW w:w="337" w:type="pct"/>
            <w:tcBorders>
              <w:top w:val="single" w:sz="2" w:space="0" w:color="auto"/>
              <w:left w:val="single" w:sz="12" w:space="0" w:color="auto"/>
              <w:bottom w:val="single" w:sz="2" w:space="0" w:color="auto"/>
              <w:right w:val="single" w:sz="12" w:space="0" w:color="auto"/>
            </w:tcBorders>
          </w:tcPr>
          <w:p w:rsidR="00E47414" w:rsidRDefault="00E47414">
            <w:pPr>
              <w:jc w:val="center"/>
              <w:rPr>
                <w:szCs w:val="21"/>
              </w:rPr>
            </w:pPr>
          </w:p>
        </w:tc>
        <w:tc>
          <w:tcPr>
            <w:tcW w:w="430" w:type="pct"/>
            <w:tcBorders>
              <w:top w:val="single" w:sz="2" w:space="0" w:color="auto"/>
              <w:left w:val="single" w:sz="12" w:space="0" w:color="auto"/>
              <w:bottom w:val="single" w:sz="2" w:space="0" w:color="auto"/>
              <w:right w:val="single" w:sz="12" w:space="0" w:color="auto"/>
            </w:tcBorders>
          </w:tcPr>
          <w:p w:rsidR="00E47414" w:rsidRDefault="00E47414">
            <w:pPr>
              <w:jc w:val="center"/>
              <w:rPr>
                <w:szCs w:val="21"/>
              </w:rPr>
            </w:pPr>
          </w:p>
        </w:tc>
        <w:tc>
          <w:tcPr>
            <w:tcW w:w="310" w:type="pct"/>
            <w:tcBorders>
              <w:top w:val="single" w:sz="2" w:space="0" w:color="auto"/>
              <w:left w:val="single" w:sz="12" w:space="0" w:color="auto"/>
              <w:bottom w:val="single" w:sz="2" w:space="0" w:color="auto"/>
              <w:right w:val="single" w:sz="12" w:space="0" w:color="auto"/>
            </w:tcBorders>
            <w:vAlign w:val="center"/>
          </w:tcPr>
          <w:p w:rsidR="00E47414" w:rsidRDefault="00E47414" w:rsidP="007B7D25">
            <w:pPr>
              <w:jc w:val="center"/>
              <w:rPr>
                <w:szCs w:val="21"/>
              </w:rPr>
            </w:pPr>
          </w:p>
        </w:tc>
        <w:tc>
          <w:tcPr>
            <w:tcW w:w="271" w:type="pct"/>
            <w:tcBorders>
              <w:top w:val="single" w:sz="2" w:space="0" w:color="auto"/>
              <w:left w:val="single" w:sz="12" w:space="0" w:color="auto"/>
              <w:bottom w:val="single" w:sz="2" w:space="0" w:color="auto"/>
              <w:right w:val="single" w:sz="2" w:space="0" w:color="auto"/>
            </w:tcBorders>
            <w:vAlign w:val="center"/>
          </w:tcPr>
          <w:p w:rsidR="00E47414" w:rsidRDefault="00E47414" w:rsidP="007B7D25">
            <w:pPr>
              <w:jc w:val="center"/>
              <w:rPr>
                <w:szCs w:val="21"/>
              </w:rPr>
            </w:pPr>
          </w:p>
        </w:tc>
        <w:tc>
          <w:tcPr>
            <w:tcW w:w="290" w:type="pct"/>
            <w:tcBorders>
              <w:top w:val="single" w:sz="2" w:space="0" w:color="auto"/>
              <w:left w:val="single" w:sz="2" w:space="0" w:color="auto"/>
              <w:bottom w:val="single" w:sz="2" w:space="0" w:color="auto"/>
              <w:right w:val="single" w:sz="2" w:space="0" w:color="auto"/>
            </w:tcBorders>
            <w:vAlign w:val="center"/>
          </w:tcPr>
          <w:p w:rsidR="00E47414" w:rsidRDefault="00E47414" w:rsidP="007B7D25">
            <w:pPr>
              <w:jc w:val="center"/>
              <w:rPr>
                <w:szCs w:val="21"/>
              </w:rPr>
            </w:pPr>
          </w:p>
        </w:tc>
        <w:tc>
          <w:tcPr>
            <w:tcW w:w="276" w:type="pct"/>
            <w:tcBorders>
              <w:top w:val="single" w:sz="2" w:space="0" w:color="auto"/>
              <w:left w:val="single" w:sz="2" w:space="0" w:color="auto"/>
              <w:bottom w:val="single" w:sz="2" w:space="0" w:color="auto"/>
              <w:right w:val="single" w:sz="2" w:space="0" w:color="auto"/>
            </w:tcBorders>
          </w:tcPr>
          <w:p w:rsidR="00E47414" w:rsidRDefault="00E47414" w:rsidP="007B7D25">
            <w:pPr>
              <w:jc w:val="center"/>
              <w:rPr>
                <w:szCs w:val="21"/>
              </w:rPr>
            </w:pPr>
          </w:p>
        </w:tc>
        <w:tc>
          <w:tcPr>
            <w:tcW w:w="292" w:type="pct"/>
            <w:tcBorders>
              <w:top w:val="single" w:sz="2" w:space="0" w:color="auto"/>
              <w:left w:val="single" w:sz="2" w:space="0" w:color="auto"/>
              <w:bottom w:val="single" w:sz="2" w:space="0" w:color="auto"/>
              <w:right w:val="single" w:sz="2" w:space="0" w:color="auto"/>
            </w:tcBorders>
          </w:tcPr>
          <w:p w:rsidR="00E47414" w:rsidRDefault="00E47414">
            <w:pPr>
              <w:jc w:val="center"/>
              <w:rPr>
                <w:szCs w:val="21"/>
              </w:rPr>
            </w:pPr>
          </w:p>
        </w:tc>
      </w:tr>
      <w:tr w:rsidR="004E5152" w:rsidTr="004E5152">
        <w:trPr>
          <w:trHeight w:hRule="exact" w:val="406"/>
          <w:jc w:val="center"/>
        </w:trPr>
        <w:tc>
          <w:tcPr>
            <w:tcW w:w="1070" w:type="pct"/>
            <w:tcBorders>
              <w:top w:val="nil"/>
              <w:left w:val="single" w:sz="4" w:space="0" w:color="auto"/>
              <w:bottom w:val="single" w:sz="4" w:space="0" w:color="auto"/>
              <w:right w:val="single" w:sz="4" w:space="0" w:color="auto"/>
            </w:tcBorders>
            <w:vAlign w:val="center"/>
            <w:hideMark/>
          </w:tcPr>
          <w:p w:rsidR="00E47414" w:rsidRDefault="00E47414">
            <w:pPr>
              <w:rPr>
                <w:szCs w:val="21"/>
              </w:rPr>
            </w:pPr>
            <w:r>
              <w:rPr>
                <w:rFonts w:hint="eastAsia"/>
                <w:szCs w:val="21"/>
              </w:rPr>
              <w:t>健康征询</w:t>
            </w:r>
          </w:p>
        </w:tc>
        <w:tc>
          <w:tcPr>
            <w:tcW w:w="457" w:type="pct"/>
            <w:tcBorders>
              <w:top w:val="nil"/>
              <w:left w:val="nil"/>
              <w:bottom w:val="single" w:sz="4" w:space="0" w:color="auto"/>
              <w:right w:val="single" w:sz="12" w:space="0" w:color="auto"/>
            </w:tcBorders>
            <w:vAlign w:val="center"/>
            <w:hideMark/>
          </w:tcPr>
          <w:p w:rsidR="00E47414" w:rsidRDefault="00E47414">
            <w:pPr>
              <w:jc w:val="center"/>
              <w:rPr>
                <w:szCs w:val="21"/>
              </w:rPr>
            </w:pPr>
            <w:r>
              <w:rPr>
                <w:szCs w:val="21"/>
              </w:rPr>
              <w:t>X</w:t>
            </w:r>
          </w:p>
        </w:tc>
        <w:tc>
          <w:tcPr>
            <w:tcW w:w="307" w:type="pct"/>
            <w:tcBorders>
              <w:top w:val="single" w:sz="4" w:space="0" w:color="auto"/>
              <w:left w:val="single" w:sz="12" w:space="0" w:color="auto"/>
              <w:bottom w:val="single" w:sz="4" w:space="0" w:color="auto"/>
              <w:right w:val="single" w:sz="4" w:space="0" w:color="auto"/>
            </w:tcBorders>
          </w:tcPr>
          <w:p w:rsidR="00E47414" w:rsidRDefault="00E47414">
            <w:pPr>
              <w:jc w:val="center"/>
              <w:rPr>
                <w:szCs w:val="21"/>
              </w:rPr>
            </w:pPr>
          </w:p>
        </w:tc>
        <w:tc>
          <w:tcPr>
            <w:tcW w:w="323" w:type="pct"/>
            <w:tcBorders>
              <w:top w:val="single" w:sz="4" w:space="0" w:color="auto"/>
              <w:left w:val="single" w:sz="4" w:space="0" w:color="auto"/>
              <w:bottom w:val="single" w:sz="4" w:space="0" w:color="auto"/>
              <w:right w:val="single" w:sz="4" w:space="0" w:color="auto"/>
            </w:tcBorders>
          </w:tcPr>
          <w:p w:rsidR="00E47414" w:rsidRDefault="00E47414">
            <w:pPr>
              <w:jc w:val="center"/>
              <w:rPr>
                <w:szCs w:val="21"/>
              </w:rPr>
            </w:pPr>
          </w:p>
        </w:tc>
        <w:tc>
          <w:tcPr>
            <w:tcW w:w="301" w:type="pct"/>
            <w:tcBorders>
              <w:top w:val="nil"/>
              <w:left w:val="single" w:sz="4" w:space="0" w:color="auto"/>
              <w:bottom w:val="single" w:sz="4" w:space="0" w:color="auto"/>
              <w:right w:val="single" w:sz="12" w:space="0" w:color="auto"/>
            </w:tcBorders>
            <w:vAlign w:val="center"/>
          </w:tcPr>
          <w:p w:rsidR="00E47414" w:rsidRDefault="00E47414">
            <w:pPr>
              <w:jc w:val="center"/>
              <w:rPr>
                <w:szCs w:val="21"/>
              </w:rPr>
            </w:pPr>
          </w:p>
        </w:tc>
        <w:tc>
          <w:tcPr>
            <w:tcW w:w="337" w:type="pct"/>
            <w:tcBorders>
              <w:top w:val="single" w:sz="2" w:space="0" w:color="auto"/>
              <w:left w:val="single" w:sz="12" w:space="0" w:color="auto"/>
              <w:bottom w:val="single" w:sz="2" w:space="0" w:color="auto"/>
              <w:right w:val="single" w:sz="12" w:space="0" w:color="auto"/>
            </w:tcBorders>
          </w:tcPr>
          <w:p w:rsidR="00E47414" w:rsidRDefault="00E47414">
            <w:pPr>
              <w:jc w:val="center"/>
              <w:rPr>
                <w:szCs w:val="21"/>
              </w:rPr>
            </w:pPr>
          </w:p>
        </w:tc>
        <w:tc>
          <w:tcPr>
            <w:tcW w:w="337" w:type="pct"/>
            <w:tcBorders>
              <w:top w:val="single" w:sz="2" w:space="0" w:color="auto"/>
              <w:left w:val="single" w:sz="12" w:space="0" w:color="auto"/>
              <w:bottom w:val="single" w:sz="2" w:space="0" w:color="auto"/>
              <w:right w:val="single" w:sz="12" w:space="0" w:color="auto"/>
            </w:tcBorders>
          </w:tcPr>
          <w:p w:rsidR="00E47414" w:rsidRDefault="00E47414">
            <w:pPr>
              <w:jc w:val="center"/>
              <w:rPr>
                <w:szCs w:val="21"/>
              </w:rPr>
            </w:pPr>
          </w:p>
        </w:tc>
        <w:tc>
          <w:tcPr>
            <w:tcW w:w="430" w:type="pct"/>
            <w:tcBorders>
              <w:top w:val="single" w:sz="2" w:space="0" w:color="auto"/>
              <w:left w:val="single" w:sz="12" w:space="0" w:color="auto"/>
              <w:bottom w:val="single" w:sz="2" w:space="0" w:color="auto"/>
              <w:right w:val="single" w:sz="12" w:space="0" w:color="auto"/>
            </w:tcBorders>
          </w:tcPr>
          <w:p w:rsidR="00E47414" w:rsidRDefault="00E47414">
            <w:pPr>
              <w:jc w:val="center"/>
              <w:rPr>
                <w:szCs w:val="21"/>
              </w:rPr>
            </w:pPr>
          </w:p>
        </w:tc>
        <w:tc>
          <w:tcPr>
            <w:tcW w:w="310" w:type="pct"/>
            <w:tcBorders>
              <w:top w:val="single" w:sz="2" w:space="0" w:color="auto"/>
              <w:left w:val="single" w:sz="12" w:space="0" w:color="auto"/>
              <w:bottom w:val="single" w:sz="2" w:space="0" w:color="auto"/>
              <w:right w:val="single" w:sz="12" w:space="0" w:color="auto"/>
            </w:tcBorders>
            <w:vAlign w:val="center"/>
          </w:tcPr>
          <w:p w:rsidR="00E47414" w:rsidRDefault="00E47414" w:rsidP="007B7D25">
            <w:pPr>
              <w:jc w:val="center"/>
              <w:rPr>
                <w:szCs w:val="21"/>
              </w:rPr>
            </w:pPr>
          </w:p>
        </w:tc>
        <w:tc>
          <w:tcPr>
            <w:tcW w:w="271" w:type="pct"/>
            <w:tcBorders>
              <w:top w:val="single" w:sz="2" w:space="0" w:color="auto"/>
              <w:left w:val="single" w:sz="12" w:space="0" w:color="auto"/>
              <w:bottom w:val="single" w:sz="2" w:space="0" w:color="auto"/>
              <w:right w:val="single" w:sz="2" w:space="0" w:color="auto"/>
            </w:tcBorders>
            <w:vAlign w:val="center"/>
          </w:tcPr>
          <w:p w:rsidR="00E47414" w:rsidRDefault="00E47414" w:rsidP="007B7D25">
            <w:pPr>
              <w:jc w:val="center"/>
              <w:rPr>
                <w:szCs w:val="21"/>
              </w:rPr>
            </w:pPr>
          </w:p>
        </w:tc>
        <w:tc>
          <w:tcPr>
            <w:tcW w:w="290" w:type="pct"/>
            <w:tcBorders>
              <w:top w:val="single" w:sz="2" w:space="0" w:color="auto"/>
              <w:left w:val="single" w:sz="2" w:space="0" w:color="auto"/>
              <w:bottom w:val="single" w:sz="2" w:space="0" w:color="auto"/>
              <w:right w:val="single" w:sz="2" w:space="0" w:color="auto"/>
            </w:tcBorders>
            <w:vAlign w:val="center"/>
          </w:tcPr>
          <w:p w:rsidR="00E47414" w:rsidRDefault="00E47414" w:rsidP="007B7D25">
            <w:pPr>
              <w:jc w:val="center"/>
              <w:rPr>
                <w:szCs w:val="21"/>
              </w:rPr>
            </w:pPr>
          </w:p>
        </w:tc>
        <w:tc>
          <w:tcPr>
            <w:tcW w:w="276" w:type="pct"/>
            <w:tcBorders>
              <w:top w:val="single" w:sz="2" w:space="0" w:color="auto"/>
              <w:left w:val="single" w:sz="2" w:space="0" w:color="auto"/>
              <w:bottom w:val="single" w:sz="2" w:space="0" w:color="auto"/>
              <w:right w:val="single" w:sz="2" w:space="0" w:color="auto"/>
            </w:tcBorders>
          </w:tcPr>
          <w:p w:rsidR="00E47414" w:rsidRDefault="00E47414" w:rsidP="007B7D25">
            <w:pPr>
              <w:jc w:val="center"/>
              <w:rPr>
                <w:szCs w:val="21"/>
              </w:rPr>
            </w:pPr>
          </w:p>
        </w:tc>
        <w:tc>
          <w:tcPr>
            <w:tcW w:w="292" w:type="pct"/>
            <w:tcBorders>
              <w:top w:val="single" w:sz="2" w:space="0" w:color="auto"/>
              <w:left w:val="single" w:sz="2" w:space="0" w:color="auto"/>
              <w:bottom w:val="single" w:sz="2" w:space="0" w:color="auto"/>
              <w:right w:val="single" w:sz="2" w:space="0" w:color="auto"/>
            </w:tcBorders>
          </w:tcPr>
          <w:p w:rsidR="00E47414" w:rsidRDefault="00E47414">
            <w:pPr>
              <w:jc w:val="center"/>
              <w:rPr>
                <w:szCs w:val="21"/>
              </w:rPr>
            </w:pPr>
          </w:p>
        </w:tc>
      </w:tr>
      <w:tr w:rsidR="004E5152" w:rsidTr="004E5152">
        <w:trPr>
          <w:trHeight w:hRule="exact" w:val="406"/>
          <w:jc w:val="center"/>
        </w:trPr>
        <w:tc>
          <w:tcPr>
            <w:tcW w:w="1070" w:type="pct"/>
            <w:tcBorders>
              <w:top w:val="nil"/>
              <w:left w:val="single" w:sz="4" w:space="0" w:color="auto"/>
              <w:bottom w:val="single" w:sz="4" w:space="0" w:color="auto"/>
              <w:right w:val="single" w:sz="4" w:space="0" w:color="auto"/>
            </w:tcBorders>
            <w:vAlign w:val="center"/>
            <w:hideMark/>
          </w:tcPr>
          <w:p w:rsidR="00E47414" w:rsidRDefault="00E47414">
            <w:pPr>
              <w:rPr>
                <w:szCs w:val="21"/>
              </w:rPr>
            </w:pPr>
            <w:r>
              <w:rPr>
                <w:rFonts w:hint="eastAsia"/>
                <w:szCs w:val="21"/>
              </w:rPr>
              <w:t>一般体格检查</w:t>
            </w:r>
          </w:p>
        </w:tc>
        <w:tc>
          <w:tcPr>
            <w:tcW w:w="457" w:type="pct"/>
            <w:tcBorders>
              <w:top w:val="nil"/>
              <w:left w:val="nil"/>
              <w:bottom w:val="single" w:sz="4" w:space="0" w:color="auto"/>
              <w:right w:val="single" w:sz="12" w:space="0" w:color="auto"/>
            </w:tcBorders>
            <w:vAlign w:val="center"/>
            <w:hideMark/>
          </w:tcPr>
          <w:p w:rsidR="00E47414" w:rsidRDefault="00E47414">
            <w:pPr>
              <w:jc w:val="center"/>
              <w:rPr>
                <w:szCs w:val="21"/>
              </w:rPr>
            </w:pPr>
            <w:r>
              <w:rPr>
                <w:szCs w:val="21"/>
              </w:rPr>
              <w:t>X</w:t>
            </w:r>
          </w:p>
        </w:tc>
        <w:tc>
          <w:tcPr>
            <w:tcW w:w="307" w:type="pct"/>
            <w:tcBorders>
              <w:top w:val="single" w:sz="4" w:space="0" w:color="auto"/>
              <w:left w:val="single" w:sz="12" w:space="0" w:color="auto"/>
              <w:bottom w:val="single" w:sz="4" w:space="0" w:color="auto"/>
              <w:right w:val="single" w:sz="4" w:space="0" w:color="auto"/>
            </w:tcBorders>
          </w:tcPr>
          <w:p w:rsidR="00E47414" w:rsidRDefault="00E47414">
            <w:pPr>
              <w:jc w:val="center"/>
              <w:rPr>
                <w:szCs w:val="21"/>
              </w:rPr>
            </w:pPr>
          </w:p>
        </w:tc>
        <w:tc>
          <w:tcPr>
            <w:tcW w:w="323" w:type="pct"/>
            <w:tcBorders>
              <w:top w:val="single" w:sz="4" w:space="0" w:color="auto"/>
              <w:left w:val="single" w:sz="4" w:space="0" w:color="auto"/>
              <w:bottom w:val="single" w:sz="4" w:space="0" w:color="auto"/>
              <w:right w:val="single" w:sz="4" w:space="0" w:color="auto"/>
            </w:tcBorders>
          </w:tcPr>
          <w:p w:rsidR="00E47414" w:rsidRDefault="00E47414">
            <w:pPr>
              <w:jc w:val="center"/>
              <w:rPr>
                <w:szCs w:val="21"/>
              </w:rPr>
            </w:pPr>
          </w:p>
        </w:tc>
        <w:tc>
          <w:tcPr>
            <w:tcW w:w="301" w:type="pct"/>
            <w:tcBorders>
              <w:top w:val="nil"/>
              <w:left w:val="single" w:sz="4" w:space="0" w:color="auto"/>
              <w:bottom w:val="single" w:sz="4" w:space="0" w:color="auto"/>
              <w:right w:val="single" w:sz="12" w:space="0" w:color="auto"/>
            </w:tcBorders>
            <w:vAlign w:val="center"/>
          </w:tcPr>
          <w:p w:rsidR="00E47414" w:rsidRDefault="00E47414">
            <w:pPr>
              <w:jc w:val="center"/>
              <w:rPr>
                <w:szCs w:val="21"/>
              </w:rPr>
            </w:pPr>
          </w:p>
        </w:tc>
        <w:tc>
          <w:tcPr>
            <w:tcW w:w="337" w:type="pct"/>
            <w:tcBorders>
              <w:top w:val="single" w:sz="2" w:space="0" w:color="auto"/>
              <w:left w:val="single" w:sz="12" w:space="0" w:color="auto"/>
              <w:bottom w:val="single" w:sz="2" w:space="0" w:color="auto"/>
              <w:right w:val="single" w:sz="12" w:space="0" w:color="auto"/>
            </w:tcBorders>
          </w:tcPr>
          <w:p w:rsidR="00E47414" w:rsidRDefault="00E47414">
            <w:pPr>
              <w:jc w:val="center"/>
              <w:rPr>
                <w:szCs w:val="21"/>
              </w:rPr>
            </w:pPr>
          </w:p>
        </w:tc>
        <w:tc>
          <w:tcPr>
            <w:tcW w:w="337" w:type="pct"/>
            <w:tcBorders>
              <w:top w:val="single" w:sz="2" w:space="0" w:color="auto"/>
              <w:left w:val="single" w:sz="12" w:space="0" w:color="auto"/>
              <w:bottom w:val="single" w:sz="2" w:space="0" w:color="auto"/>
              <w:right w:val="single" w:sz="12" w:space="0" w:color="auto"/>
            </w:tcBorders>
          </w:tcPr>
          <w:p w:rsidR="00E47414" w:rsidRDefault="00E47414">
            <w:pPr>
              <w:jc w:val="center"/>
              <w:rPr>
                <w:szCs w:val="21"/>
              </w:rPr>
            </w:pPr>
          </w:p>
        </w:tc>
        <w:tc>
          <w:tcPr>
            <w:tcW w:w="430" w:type="pct"/>
            <w:tcBorders>
              <w:top w:val="single" w:sz="2" w:space="0" w:color="auto"/>
              <w:left w:val="single" w:sz="12" w:space="0" w:color="auto"/>
              <w:bottom w:val="single" w:sz="2" w:space="0" w:color="auto"/>
              <w:right w:val="single" w:sz="12" w:space="0" w:color="auto"/>
            </w:tcBorders>
          </w:tcPr>
          <w:p w:rsidR="00E47414" w:rsidRDefault="00E47414">
            <w:pPr>
              <w:jc w:val="center"/>
              <w:rPr>
                <w:szCs w:val="21"/>
              </w:rPr>
            </w:pPr>
          </w:p>
        </w:tc>
        <w:tc>
          <w:tcPr>
            <w:tcW w:w="310" w:type="pct"/>
            <w:tcBorders>
              <w:top w:val="single" w:sz="2" w:space="0" w:color="auto"/>
              <w:left w:val="single" w:sz="12" w:space="0" w:color="auto"/>
              <w:bottom w:val="single" w:sz="2" w:space="0" w:color="auto"/>
              <w:right w:val="single" w:sz="12" w:space="0" w:color="auto"/>
            </w:tcBorders>
            <w:vAlign w:val="center"/>
          </w:tcPr>
          <w:p w:rsidR="00E47414" w:rsidRDefault="00E47414" w:rsidP="007B7D25">
            <w:pPr>
              <w:jc w:val="center"/>
              <w:rPr>
                <w:szCs w:val="21"/>
              </w:rPr>
            </w:pPr>
          </w:p>
        </w:tc>
        <w:tc>
          <w:tcPr>
            <w:tcW w:w="271" w:type="pct"/>
            <w:tcBorders>
              <w:top w:val="single" w:sz="2" w:space="0" w:color="auto"/>
              <w:left w:val="single" w:sz="12" w:space="0" w:color="auto"/>
              <w:bottom w:val="single" w:sz="2" w:space="0" w:color="auto"/>
              <w:right w:val="single" w:sz="2" w:space="0" w:color="auto"/>
            </w:tcBorders>
            <w:vAlign w:val="center"/>
          </w:tcPr>
          <w:p w:rsidR="00E47414" w:rsidRDefault="00E47414" w:rsidP="007B7D25">
            <w:pPr>
              <w:jc w:val="center"/>
              <w:rPr>
                <w:szCs w:val="21"/>
              </w:rPr>
            </w:pPr>
          </w:p>
        </w:tc>
        <w:tc>
          <w:tcPr>
            <w:tcW w:w="290" w:type="pct"/>
            <w:tcBorders>
              <w:top w:val="single" w:sz="2" w:space="0" w:color="auto"/>
              <w:left w:val="single" w:sz="2" w:space="0" w:color="auto"/>
              <w:bottom w:val="single" w:sz="2" w:space="0" w:color="auto"/>
              <w:right w:val="single" w:sz="2" w:space="0" w:color="auto"/>
            </w:tcBorders>
            <w:vAlign w:val="center"/>
          </w:tcPr>
          <w:p w:rsidR="00E47414" w:rsidRDefault="00E47414" w:rsidP="007B7D25">
            <w:pPr>
              <w:jc w:val="center"/>
              <w:rPr>
                <w:szCs w:val="21"/>
              </w:rPr>
            </w:pPr>
          </w:p>
        </w:tc>
        <w:tc>
          <w:tcPr>
            <w:tcW w:w="276" w:type="pct"/>
            <w:tcBorders>
              <w:top w:val="single" w:sz="2" w:space="0" w:color="auto"/>
              <w:left w:val="single" w:sz="2" w:space="0" w:color="auto"/>
              <w:bottom w:val="single" w:sz="2" w:space="0" w:color="auto"/>
              <w:right w:val="single" w:sz="2" w:space="0" w:color="auto"/>
            </w:tcBorders>
          </w:tcPr>
          <w:p w:rsidR="00E47414" w:rsidRDefault="00E47414" w:rsidP="007B7D25">
            <w:pPr>
              <w:jc w:val="center"/>
              <w:rPr>
                <w:szCs w:val="21"/>
              </w:rPr>
            </w:pPr>
          </w:p>
        </w:tc>
        <w:tc>
          <w:tcPr>
            <w:tcW w:w="292" w:type="pct"/>
            <w:tcBorders>
              <w:top w:val="single" w:sz="2" w:space="0" w:color="auto"/>
              <w:left w:val="single" w:sz="2" w:space="0" w:color="auto"/>
              <w:bottom w:val="single" w:sz="2" w:space="0" w:color="auto"/>
              <w:right w:val="single" w:sz="2" w:space="0" w:color="auto"/>
            </w:tcBorders>
          </w:tcPr>
          <w:p w:rsidR="00E47414" w:rsidRDefault="00E47414">
            <w:pPr>
              <w:jc w:val="center"/>
              <w:rPr>
                <w:szCs w:val="21"/>
              </w:rPr>
            </w:pPr>
          </w:p>
        </w:tc>
      </w:tr>
      <w:tr w:rsidR="004E5152" w:rsidTr="004E5152">
        <w:trPr>
          <w:trHeight w:hRule="exact" w:val="406"/>
          <w:jc w:val="center"/>
        </w:trPr>
        <w:tc>
          <w:tcPr>
            <w:tcW w:w="1070" w:type="pct"/>
            <w:tcBorders>
              <w:top w:val="nil"/>
              <w:left w:val="single" w:sz="4" w:space="0" w:color="auto"/>
              <w:bottom w:val="single" w:sz="4" w:space="0" w:color="auto"/>
              <w:right w:val="single" w:sz="4" w:space="0" w:color="auto"/>
            </w:tcBorders>
            <w:vAlign w:val="center"/>
            <w:hideMark/>
          </w:tcPr>
          <w:p w:rsidR="00E47414" w:rsidRDefault="00E47414">
            <w:pPr>
              <w:rPr>
                <w:szCs w:val="21"/>
              </w:rPr>
            </w:pPr>
            <w:r>
              <w:rPr>
                <w:rFonts w:hint="eastAsia"/>
                <w:szCs w:val="21"/>
              </w:rPr>
              <w:t>常见毒品检查</w:t>
            </w:r>
          </w:p>
        </w:tc>
        <w:tc>
          <w:tcPr>
            <w:tcW w:w="457" w:type="pct"/>
            <w:tcBorders>
              <w:top w:val="nil"/>
              <w:left w:val="nil"/>
              <w:bottom w:val="single" w:sz="4" w:space="0" w:color="auto"/>
              <w:right w:val="single" w:sz="12" w:space="0" w:color="auto"/>
            </w:tcBorders>
            <w:vAlign w:val="center"/>
            <w:hideMark/>
          </w:tcPr>
          <w:p w:rsidR="00E47414" w:rsidRDefault="00E47414">
            <w:pPr>
              <w:jc w:val="center"/>
              <w:rPr>
                <w:szCs w:val="21"/>
              </w:rPr>
            </w:pPr>
            <w:r>
              <w:rPr>
                <w:szCs w:val="21"/>
              </w:rPr>
              <w:t>X</w:t>
            </w:r>
          </w:p>
        </w:tc>
        <w:tc>
          <w:tcPr>
            <w:tcW w:w="307" w:type="pct"/>
            <w:tcBorders>
              <w:top w:val="single" w:sz="4" w:space="0" w:color="auto"/>
              <w:left w:val="single" w:sz="12" w:space="0" w:color="auto"/>
              <w:bottom w:val="single" w:sz="4" w:space="0" w:color="auto"/>
              <w:right w:val="single" w:sz="4" w:space="0" w:color="auto"/>
            </w:tcBorders>
          </w:tcPr>
          <w:p w:rsidR="00E47414" w:rsidRDefault="00E47414">
            <w:pPr>
              <w:jc w:val="center"/>
              <w:rPr>
                <w:szCs w:val="21"/>
              </w:rPr>
            </w:pPr>
          </w:p>
        </w:tc>
        <w:tc>
          <w:tcPr>
            <w:tcW w:w="323" w:type="pct"/>
            <w:tcBorders>
              <w:top w:val="single" w:sz="4" w:space="0" w:color="auto"/>
              <w:left w:val="single" w:sz="4" w:space="0" w:color="auto"/>
              <w:bottom w:val="single" w:sz="4" w:space="0" w:color="auto"/>
              <w:right w:val="single" w:sz="4" w:space="0" w:color="auto"/>
            </w:tcBorders>
          </w:tcPr>
          <w:p w:rsidR="00E47414" w:rsidRDefault="00E47414">
            <w:pPr>
              <w:jc w:val="center"/>
              <w:rPr>
                <w:szCs w:val="21"/>
              </w:rPr>
            </w:pPr>
          </w:p>
        </w:tc>
        <w:tc>
          <w:tcPr>
            <w:tcW w:w="301" w:type="pct"/>
            <w:tcBorders>
              <w:top w:val="nil"/>
              <w:left w:val="single" w:sz="4" w:space="0" w:color="auto"/>
              <w:bottom w:val="single" w:sz="4" w:space="0" w:color="auto"/>
              <w:right w:val="single" w:sz="12" w:space="0" w:color="auto"/>
            </w:tcBorders>
            <w:vAlign w:val="center"/>
          </w:tcPr>
          <w:p w:rsidR="00E47414" w:rsidRDefault="00E47414">
            <w:pPr>
              <w:jc w:val="center"/>
              <w:rPr>
                <w:szCs w:val="21"/>
              </w:rPr>
            </w:pPr>
          </w:p>
        </w:tc>
        <w:tc>
          <w:tcPr>
            <w:tcW w:w="337" w:type="pct"/>
            <w:tcBorders>
              <w:top w:val="single" w:sz="2" w:space="0" w:color="auto"/>
              <w:left w:val="single" w:sz="12" w:space="0" w:color="auto"/>
              <w:bottom w:val="single" w:sz="2" w:space="0" w:color="auto"/>
              <w:right w:val="single" w:sz="12" w:space="0" w:color="auto"/>
            </w:tcBorders>
          </w:tcPr>
          <w:p w:rsidR="00E47414" w:rsidRDefault="00E47414">
            <w:pPr>
              <w:jc w:val="center"/>
              <w:rPr>
                <w:szCs w:val="21"/>
              </w:rPr>
            </w:pPr>
          </w:p>
        </w:tc>
        <w:tc>
          <w:tcPr>
            <w:tcW w:w="337" w:type="pct"/>
            <w:tcBorders>
              <w:top w:val="single" w:sz="2" w:space="0" w:color="auto"/>
              <w:left w:val="single" w:sz="12" w:space="0" w:color="auto"/>
              <w:bottom w:val="single" w:sz="2" w:space="0" w:color="auto"/>
              <w:right w:val="single" w:sz="12" w:space="0" w:color="auto"/>
            </w:tcBorders>
          </w:tcPr>
          <w:p w:rsidR="00E47414" w:rsidRDefault="00E47414">
            <w:pPr>
              <w:jc w:val="center"/>
              <w:rPr>
                <w:szCs w:val="21"/>
              </w:rPr>
            </w:pPr>
          </w:p>
        </w:tc>
        <w:tc>
          <w:tcPr>
            <w:tcW w:w="430" w:type="pct"/>
            <w:tcBorders>
              <w:top w:val="single" w:sz="2" w:space="0" w:color="auto"/>
              <w:left w:val="single" w:sz="12" w:space="0" w:color="auto"/>
              <w:bottom w:val="single" w:sz="2" w:space="0" w:color="auto"/>
              <w:right w:val="single" w:sz="12" w:space="0" w:color="auto"/>
            </w:tcBorders>
          </w:tcPr>
          <w:p w:rsidR="00E47414" w:rsidRDefault="00E47414">
            <w:pPr>
              <w:jc w:val="center"/>
              <w:rPr>
                <w:szCs w:val="21"/>
              </w:rPr>
            </w:pPr>
          </w:p>
        </w:tc>
        <w:tc>
          <w:tcPr>
            <w:tcW w:w="310" w:type="pct"/>
            <w:tcBorders>
              <w:top w:val="single" w:sz="2" w:space="0" w:color="auto"/>
              <w:left w:val="single" w:sz="12" w:space="0" w:color="auto"/>
              <w:bottom w:val="single" w:sz="2" w:space="0" w:color="auto"/>
              <w:right w:val="single" w:sz="12" w:space="0" w:color="auto"/>
            </w:tcBorders>
            <w:vAlign w:val="center"/>
          </w:tcPr>
          <w:p w:rsidR="00E47414" w:rsidRDefault="00E47414" w:rsidP="007B7D25">
            <w:pPr>
              <w:jc w:val="center"/>
              <w:rPr>
                <w:szCs w:val="21"/>
              </w:rPr>
            </w:pPr>
          </w:p>
        </w:tc>
        <w:tc>
          <w:tcPr>
            <w:tcW w:w="271" w:type="pct"/>
            <w:tcBorders>
              <w:top w:val="single" w:sz="2" w:space="0" w:color="auto"/>
              <w:left w:val="single" w:sz="12" w:space="0" w:color="auto"/>
              <w:bottom w:val="single" w:sz="2" w:space="0" w:color="auto"/>
              <w:right w:val="single" w:sz="2" w:space="0" w:color="auto"/>
            </w:tcBorders>
            <w:vAlign w:val="center"/>
          </w:tcPr>
          <w:p w:rsidR="00E47414" w:rsidRDefault="00E47414" w:rsidP="007B7D25">
            <w:pPr>
              <w:jc w:val="center"/>
              <w:rPr>
                <w:szCs w:val="21"/>
              </w:rPr>
            </w:pPr>
          </w:p>
        </w:tc>
        <w:tc>
          <w:tcPr>
            <w:tcW w:w="290" w:type="pct"/>
            <w:tcBorders>
              <w:top w:val="single" w:sz="2" w:space="0" w:color="auto"/>
              <w:left w:val="single" w:sz="2" w:space="0" w:color="auto"/>
              <w:bottom w:val="single" w:sz="2" w:space="0" w:color="auto"/>
              <w:right w:val="single" w:sz="2" w:space="0" w:color="auto"/>
            </w:tcBorders>
            <w:vAlign w:val="center"/>
          </w:tcPr>
          <w:p w:rsidR="00E47414" w:rsidRDefault="00E47414" w:rsidP="007B7D25">
            <w:pPr>
              <w:jc w:val="center"/>
              <w:rPr>
                <w:szCs w:val="21"/>
              </w:rPr>
            </w:pPr>
          </w:p>
        </w:tc>
        <w:tc>
          <w:tcPr>
            <w:tcW w:w="276" w:type="pct"/>
            <w:tcBorders>
              <w:top w:val="single" w:sz="2" w:space="0" w:color="auto"/>
              <w:left w:val="single" w:sz="2" w:space="0" w:color="auto"/>
              <w:bottom w:val="single" w:sz="2" w:space="0" w:color="auto"/>
              <w:right w:val="single" w:sz="2" w:space="0" w:color="auto"/>
            </w:tcBorders>
          </w:tcPr>
          <w:p w:rsidR="00E47414" w:rsidRDefault="00E47414" w:rsidP="007B7D25">
            <w:pPr>
              <w:jc w:val="center"/>
              <w:rPr>
                <w:szCs w:val="21"/>
              </w:rPr>
            </w:pPr>
          </w:p>
        </w:tc>
        <w:tc>
          <w:tcPr>
            <w:tcW w:w="292" w:type="pct"/>
            <w:tcBorders>
              <w:top w:val="single" w:sz="2" w:space="0" w:color="auto"/>
              <w:left w:val="single" w:sz="2" w:space="0" w:color="auto"/>
              <w:bottom w:val="single" w:sz="2" w:space="0" w:color="auto"/>
              <w:right w:val="single" w:sz="2" w:space="0" w:color="auto"/>
            </w:tcBorders>
          </w:tcPr>
          <w:p w:rsidR="00E47414" w:rsidRDefault="00E47414">
            <w:pPr>
              <w:jc w:val="center"/>
              <w:rPr>
                <w:szCs w:val="21"/>
              </w:rPr>
            </w:pPr>
          </w:p>
        </w:tc>
      </w:tr>
      <w:tr w:rsidR="004E5152" w:rsidTr="004E5152">
        <w:trPr>
          <w:trHeight w:hRule="exact" w:val="704"/>
          <w:jc w:val="center"/>
        </w:trPr>
        <w:tc>
          <w:tcPr>
            <w:tcW w:w="1070" w:type="pct"/>
            <w:tcBorders>
              <w:top w:val="nil"/>
              <w:left w:val="single" w:sz="4" w:space="0" w:color="auto"/>
              <w:bottom w:val="single" w:sz="4" w:space="0" w:color="auto"/>
              <w:right w:val="single" w:sz="4" w:space="0" w:color="auto"/>
            </w:tcBorders>
            <w:vAlign w:val="center"/>
            <w:hideMark/>
          </w:tcPr>
          <w:p w:rsidR="00470E51" w:rsidRDefault="00470E51">
            <w:pPr>
              <w:rPr>
                <w:szCs w:val="21"/>
              </w:rPr>
            </w:pPr>
            <w:r>
              <w:rPr>
                <w:rFonts w:hint="eastAsia"/>
                <w:szCs w:val="21"/>
              </w:rPr>
              <w:t>血尿常规、血生化检查</w:t>
            </w:r>
          </w:p>
        </w:tc>
        <w:tc>
          <w:tcPr>
            <w:tcW w:w="457" w:type="pct"/>
            <w:tcBorders>
              <w:top w:val="nil"/>
              <w:left w:val="nil"/>
              <w:bottom w:val="single" w:sz="4" w:space="0" w:color="auto"/>
              <w:right w:val="single" w:sz="12" w:space="0" w:color="auto"/>
            </w:tcBorders>
            <w:vAlign w:val="center"/>
            <w:hideMark/>
          </w:tcPr>
          <w:p w:rsidR="00470E51" w:rsidRDefault="00470E51">
            <w:pPr>
              <w:jc w:val="center"/>
              <w:rPr>
                <w:szCs w:val="21"/>
              </w:rPr>
            </w:pPr>
            <w:r>
              <w:rPr>
                <w:szCs w:val="21"/>
              </w:rPr>
              <w:t>X</w:t>
            </w:r>
          </w:p>
        </w:tc>
        <w:tc>
          <w:tcPr>
            <w:tcW w:w="307" w:type="pct"/>
            <w:tcBorders>
              <w:top w:val="single" w:sz="4" w:space="0" w:color="auto"/>
              <w:left w:val="single" w:sz="12" w:space="0" w:color="auto"/>
              <w:bottom w:val="single" w:sz="4" w:space="0" w:color="auto"/>
              <w:right w:val="single" w:sz="4" w:space="0" w:color="auto"/>
            </w:tcBorders>
            <w:vAlign w:val="center"/>
          </w:tcPr>
          <w:p w:rsidR="00470E51" w:rsidRDefault="00470E51">
            <w:pPr>
              <w:jc w:val="center"/>
              <w:rPr>
                <w:szCs w:val="21"/>
              </w:rPr>
            </w:pPr>
          </w:p>
        </w:tc>
        <w:tc>
          <w:tcPr>
            <w:tcW w:w="323" w:type="pct"/>
            <w:tcBorders>
              <w:top w:val="single" w:sz="4" w:space="0" w:color="auto"/>
              <w:left w:val="single" w:sz="4" w:space="0" w:color="auto"/>
              <w:bottom w:val="single" w:sz="4" w:space="0" w:color="auto"/>
              <w:right w:val="single" w:sz="2" w:space="0" w:color="auto"/>
            </w:tcBorders>
            <w:vAlign w:val="center"/>
          </w:tcPr>
          <w:p w:rsidR="00470E51" w:rsidRDefault="00470E51">
            <w:pPr>
              <w:jc w:val="center"/>
              <w:rPr>
                <w:szCs w:val="21"/>
              </w:rPr>
            </w:pPr>
          </w:p>
        </w:tc>
        <w:tc>
          <w:tcPr>
            <w:tcW w:w="301" w:type="pct"/>
            <w:tcBorders>
              <w:top w:val="single" w:sz="4" w:space="0" w:color="auto"/>
              <w:left w:val="single" w:sz="2" w:space="0" w:color="auto"/>
              <w:bottom w:val="single" w:sz="4" w:space="0" w:color="auto"/>
              <w:right w:val="single" w:sz="12" w:space="0" w:color="auto"/>
            </w:tcBorders>
            <w:vAlign w:val="center"/>
          </w:tcPr>
          <w:p w:rsidR="00470E51" w:rsidRDefault="00470E51">
            <w:pPr>
              <w:jc w:val="center"/>
              <w:rPr>
                <w:szCs w:val="21"/>
              </w:rPr>
            </w:pPr>
          </w:p>
        </w:tc>
        <w:tc>
          <w:tcPr>
            <w:tcW w:w="337" w:type="pct"/>
            <w:tcBorders>
              <w:top w:val="single" w:sz="2" w:space="0" w:color="auto"/>
              <w:left w:val="single" w:sz="12" w:space="0" w:color="auto"/>
              <w:bottom w:val="single" w:sz="2" w:space="0" w:color="auto"/>
              <w:right w:val="single" w:sz="12" w:space="0" w:color="auto"/>
            </w:tcBorders>
            <w:vAlign w:val="center"/>
            <w:hideMark/>
          </w:tcPr>
          <w:p w:rsidR="00470E51" w:rsidRDefault="00470E51" w:rsidP="00ED77F8">
            <w:pPr>
              <w:jc w:val="center"/>
              <w:rPr>
                <w:szCs w:val="21"/>
              </w:rPr>
            </w:pPr>
          </w:p>
        </w:tc>
        <w:tc>
          <w:tcPr>
            <w:tcW w:w="337" w:type="pct"/>
            <w:tcBorders>
              <w:top w:val="single" w:sz="2" w:space="0" w:color="auto"/>
              <w:left w:val="single" w:sz="12" w:space="0" w:color="auto"/>
              <w:bottom w:val="single" w:sz="2" w:space="0" w:color="auto"/>
              <w:right w:val="single" w:sz="12" w:space="0" w:color="auto"/>
            </w:tcBorders>
            <w:vAlign w:val="center"/>
          </w:tcPr>
          <w:p w:rsidR="00470E51" w:rsidRDefault="00470E51" w:rsidP="00470E51">
            <w:pPr>
              <w:jc w:val="center"/>
              <w:rPr>
                <w:szCs w:val="21"/>
              </w:rPr>
            </w:pPr>
            <w:r>
              <w:rPr>
                <w:szCs w:val="21"/>
              </w:rPr>
              <w:t>X</w:t>
            </w:r>
          </w:p>
        </w:tc>
        <w:tc>
          <w:tcPr>
            <w:tcW w:w="430" w:type="pct"/>
            <w:tcBorders>
              <w:top w:val="single" w:sz="2" w:space="0" w:color="auto"/>
              <w:left w:val="single" w:sz="12" w:space="0" w:color="auto"/>
              <w:bottom w:val="single" w:sz="2" w:space="0" w:color="auto"/>
              <w:right w:val="single" w:sz="12" w:space="0" w:color="auto"/>
            </w:tcBorders>
          </w:tcPr>
          <w:p w:rsidR="00470E51" w:rsidRDefault="00470E51">
            <w:pPr>
              <w:jc w:val="center"/>
              <w:rPr>
                <w:szCs w:val="21"/>
              </w:rPr>
            </w:pPr>
          </w:p>
        </w:tc>
        <w:tc>
          <w:tcPr>
            <w:tcW w:w="310" w:type="pct"/>
            <w:tcBorders>
              <w:top w:val="single" w:sz="2" w:space="0" w:color="auto"/>
              <w:left w:val="single" w:sz="12" w:space="0" w:color="auto"/>
              <w:bottom w:val="single" w:sz="2" w:space="0" w:color="auto"/>
              <w:right w:val="single" w:sz="12" w:space="0" w:color="auto"/>
            </w:tcBorders>
            <w:vAlign w:val="center"/>
          </w:tcPr>
          <w:p w:rsidR="00470E51" w:rsidRDefault="00470E51" w:rsidP="007B7D25">
            <w:pPr>
              <w:jc w:val="center"/>
              <w:rPr>
                <w:szCs w:val="21"/>
              </w:rPr>
            </w:pPr>
          </w:p>
        </w:tc>
        <w:tc>
          <w:tcPr>
            <w:tcW w:w="271" w:type="pct"/>
            <w:tcBorders>
              <w:top w:val="single" w:sz="2" w:space="0" w:color="auto"/>
              <w:left w:val="single" w:sz="12" w:space="0" w:color="auto"/>
              <w:bottom w:val="single" w:sz="2" w:space="0" w:color="auto"/>
              <w:right w:val="single" w:sz="2" w:space="0" w:color="auto"/>
            </w:tcBorders>
            <w:vAlign w:val="center"/>
          </w:tcPr>
          <w:p w:rsidR="00470E51" w:rsidRDefault="00470E51" w:rsidP="007B7D25">
            <w:pPr>
              <w:jc w:val="center"/>
              <w:rPr>
                <w:szCs w:val="21"/>
              </w:rPr>
            </w:pPr>
          </w:p>
        </w:tc>
        <w:tc>
          <w:tcPr>
            <w:tcW w:w="290" w:type="pct"/>
            <w:tcBorders>
              <w:top w:val="single" w:sz="2" w:space="0" w:color="auto"/>
              <w:left w:val="single" w:sz="2" w:space="0" w:color="auto"/>
              <w:bottom w:val="single" w:sz="2" w:space="0" w:color="auto"/>
              <w:right w:val="single" w:sz="2" w:space="0" w:color="auto"/>
            </w:tcBorders>
            <w:vAlign w:val="center"/>
          </w:tcPr>
          <w:p w:rsidR="00470E51" w:rsidRDefault="00470E51" w:rsidP="007B7D25">
            <w:pPr>
              <w:jc w:val="center"/>
              <w:rPr>
                <w:szCs w:val="21"/>
              </w:rPr>
            </w:pPr>
          </w:p>
        </w:tc>
        <w:tc>
          <w:tcPr>
            <w:tcW w:w="276" w:type="pct"/>
            <w:tcBorders>
              <w:top w:val="single" w:sz="2" w:space="0" w:color="auto"/>
              <w:left w:val="single" w:sz="2" w:space="0" w:color="auto"/>
              <w:bottom w:val="single" w:sz="2" w:space="0" w:color="auto"/>
              <w:right w:val="single" w:sz="2" w:space="0" w:color="auto"/>
            </w:tcBorders>
            <w:vAlign w:val="center"/>
          </w:tcPr>
          <w:p w:rsidR="00470E51" w:rsidRDefault="00470E51" w:rsidP="007B7D25">
            <w:pPr>
              <w:jc w:val="center"/>
              <w:rPr>
                <w:szCs w:val="21"/>
              </w:rPr>
            </w:pPr>
          </w:p>
        </w:tc>
        <w:tc>
          <w:tcPr>
            <w:tcW w:w="292" w:type="pct"/>
            <w:tcBorders>
              <w:top w:val="single" w:sz="2" w:space="0" w:color="auto"/>
              <w:left w:val="single" w:sz="2" w:space="0" w:color="auto"/>
              <w:bottom w:val="single" w:sz="2" w:space="0" w:color="auto"/>
              <w:right w:val="single" w:sz="2" w:space="0" w:color="auto"/>
            </w:tcBorders>
            <w:vAlign w:val="center"/>
          </w:tcPr>
          <w:p w:rsidR="00470E51" w:rsidRDefault="00470E51" w:rsidP="007B7D25">
            <w:pPr>
              <w:jc w:val="center"/>
              <w:rPr>
                <w:szCs w:val="21"/>
              </w:rPr>
            </w:pPr>
            <w:r>
              <w:rPr>
                <w:szCs w:val="21"/>
              </w:rPr>
              <w:t>X</w:t>
            </w:r>
          </w:p>
        </w:tc>
      </w:tr>
      <w:tr w:rsidR="004E5152" w:rsidTr="004E5152">
        <w:trPr>
          <w:trHeight w:hRule="exact" w:val="406"/>
          <w:jc w:val="center"/>
        </w:trPr>
        <w:tc>
          <w:tcPr>
            <w:tcW w:w="1070" w:type="pct"/>
            <w:tcBorders>
              <w:top w:val="single" w:sz="4" w:space="0" w:color="auto"/>
              <w:left w:val="single" w:sz="4" w:space="0" w:color="auto"/>
              <w:bottom w:val="single" w:sz="4" w:space="0" w:color="auto"/>
              <w:right w:val="single" w:sz="4" w:space="0" w:color="auto"/>
            </w:tcBorders>
            <w:vAlign w:val="center"/>
            <w:hideMark/>
          </w:tcPr>
          <w:p w:rsidR="00470E51" w:rsidRDefault="00470E51" w:rsidP="00E47414">
            <w:pPr>
              <w:rPr>
                <w:szCs w:val="21"/>
              </w:rPr>
            </w:pPr>
            <w:r>
              <w:rPr>
                <w:rFonts w:hint="eastAsia"/>
                <w:szCs w:val="21"/>
              </w:rPr>
              <w:t>凝血检查</w:t>
            </w:r>
          </w:p>
        </w:tc>
        <w:tc>
          <w:tcPr>
            <w:tcW w:w="457" w:type="pct"/>
            <w:tcBorders>
              <w:top w:val="single" w:sz="4" w:space="0" w:color="auto"/>
              <w:left w:val="nil"/>
              <w:bottom w:val="single" w:sz="4" w:space="0" w:color="auto"/>
              <w:right w:val="single" w:sz="12" w:space="0" w:color="auto"/>
            </w:tcBorders>
            <w:vAlign w:val="center"/>
            <w:hideMark/>
          </w:tcPr>
          <w:p w:rsidR="00470E51" w:rsidRDefault="00470E51">
            <w:pPr>
              <w:jc w:val="center"/>
              <w:rPr>
                <w:szCs w:val="21"/>
              </w:rPr>
            </w:pPr>
            <w:r>
              <w:rPr>
                <w:szCs w:val="21"/>
              </w:rPr>
              <w:t>X</w:t>
            </w:r>
          </w:p>
        </w:tc>
        <w:tc>
          <w:tcPr>
            <w:tcW w:w="307" w:type="pct"/>
            <w:tcBorders>
              <w:top w:val="single" w:sz="4" w:space="0" w:color="auto"/>
              <w:left w:val="single" w:sz="12" w:space="0" w:color="auto"/>
              <w:bottom w:val="single" w:sz="4" w:space="0" w:color="auto"/>
              <w:right w:val="single" w:sz="4" w:space="0" w:color="auto"/>
            </w:tcBorders>
            <w:vAlign w:val="center"/>
          </w:tcPr>
          <w:p w:rsidR="00470E51" w:rsidRDefault="00470E51">
            <w:pPr>
              <w:jc w:val="center"/>
              <w:rPr>
                <w:szCs w:val="21"/>
              </w:rPr>
            </w:pPr>
          </w:p>
        </w:tc>
        <w:tc>
          <w:tcPr>
            <w:tcW w:w="323" w:type="pct"/>
            <w:tcBorders>
              <w:top w:val="single" w:sz="4" w:space="0" w:color="auto"/>
              <w:left w:val="single" w:sz="4" w:space="0" w:color="auto"/>
              <w:bottom w:val="single" w:sz="4" w:space="0" w:color="auto"/>
              <w:right w:val="single" w:sz="2" w:space="0" w:color="auto"/>
            </w:tcBorders>
            <w:vAlign w:val="center"/>
          </w:tcPr>
          <w:p w:rsidR="00470E51" w:rsidRDefault="00470E51">
            <w:pPr>
              <w:jc w:val="center"/>
              <w:rPr>
                <w:szCs w:val="21"/>
              </w:rPr>
            </w:pPr>
          </w:p>
        </w:tc>
        <w:tc>
          <w:tcPr>
            <w:tcW w:w="301" w:type="pct"/>
            <w:tcBorders>
              <w:top w:val="single" w:sz="4" w:space="0" w:color="auto"/>
              <w:left w:val="single" w:sz="2" w:space="0" w:color="auto"/>
              <w:bottom w:val="single" w:sz="4" w:space="0" w:color="auto"/>
              <w:right w:val="single" w:sz="12" w:space="0" w:color="auto"/>
            </w:tcBorders>
            <w:vAlign w:val="center"/>
          </w:tcPr>
          <w:p w:rsidR="00470E51" w:rsidRDefault="00470E51">
            <w:pPr>
              <w:jc w:val="center"/>
              <w:rPr>
                <w:szCs w:val="21"/>
              </w:rPr>
            </w:pPr>
          </w:p>
        </w:tc>
        <w:tc>
          <w:tcPr>
            <w:tcW w:w="337" w:type="pct"/>
            <w:tcBorders>
              <w:top w:val="single" w:sz="2" w:space="0" w:color="auto"/>
              <w:left w:val="single" w:sz="12" w:space="0" w:color="auto"/>
              <w:bottom w:val="single" w:sz="2" w:space="0" w:color="auto"/>
              <w:right w:val="single" w:sz="12" w:space="0" w:color="auto"/>
            </w:tcBorders>
            <w:vAlign w:val="center"/>
          </w:tcPr>
          <w:p w:rsidR="00470E51" w:rsidRDefault="00470E51">
            <w:pPr>
              <w:jc w:val="center"/>
              <w:rPr>
                <w:szCs w:val="21"/>
              </w:rPr>
            </w:pPr>
          </w:p>
        </w:tc>
        <w:tc>
          <w:tcPr>
            <w:tcW w:w="337" w:type="pct"/>
            <w:tcBorders>
              <w:top w:val="single" w:sz="2" w:space="0" w:color="auto"/>
              <w:left w:val="single" w:sz="12" w:space="0" w:color="auto"/>
              <w:bottom w:val="single" w:sz="2" w:space="0" w:color="auto"/>
              <w:right w:val="single" w:sz="12" w:space="0" w:color="auto"/>
            </w:tcBorders>
            <w:vAlign w:val="center"/>
          </w:tcPr>
          <w:p w:rsidR="00470E51" w:rsidRDefault="00470E51" w:rsidP="007B7D25">
            <w:pPr>
              <w:jc w:val="center"/>
              <w:rPr>
                <w:szCs w:val="21"/>
              </w:rPr>
            </w:pPr>
            <w:r>
              <w:rPr>
                <w:szCs w:val="21"/>
              </w:rPr>
              <w:t>X</w:t>
            </w:r>
          </w:p>
        </w:tc>
        <w:tc>
          <w:tcPr>
            <w:tcW w:w="430" w:type="pct"/>
            <w:tcBorders>
              <w:top w:val="single" w:sz="2" w:space="0" w:color="auto"/>
              <w:left w:val="single" w:sz="12" w:space="0" w:color="auto"/>
              <w:bottom w:val="single" w:sz="2" w:space="0" w:color="auto"/>
              <w:right w:val="single" w:sz="12" w:space="0" w:color="auto"/>
            </w:tcBorders>
          </w:tcPr>
          <w:p w:rsidR="00470E51" w:rsidRDefault="00470E51">
            <w:pPr>
              <w:jc w:val="center"/>
              <w:rPr>
                <w:szCs w:val="21"/>
              </w:rPr>
            </w:pPr>
          </w:p>
        </w:tc>
        <w:tc>
          <w:tcPr>
            <w:tcW w:w="310" w:type="pct"/>
            <w:tcBorders>
              <w:top w:val="single" w:sz="2" w:space="0" w:color="auto"/>
              <w:left w:val="single" w:sz="12" w:space="0" w:color="auto"/>
              <w:bottom w:val="single" w:sz="2" w:space="0" w:color="auto"/>
              <w:right w:val="single" w:sz="12" w:space="0" w:color="auto"/>
            </w:tcBorders>
            <w:vAlign w:val="center"/>
          </w:tcPr>
          <w:p w:rsidR="00470E51" w:rsidRDefault="00470E51" w:rsidP="007B7D25">
            <w:pPr>
              <w:jc w:val="center"/>
              <w:rPr>
                <w:szCs w:val="21"/>
              </w:rPr>
            </w:pPr>
          </w:p>
        </w:tc>
        <w:tc>
          <w:tcPr>
            <w:tcW w:w="271" w:type="pct"/>
            <w:tcBorders>
              <w:top w:val="single" w:sz="2" w:space="0" w:color="auto"/>
              <w:left w:val="single" w:sz="12" w:space="0" w:color="auto"/>
              <w:bottom w:val="single" w:sz="2" w:space="0" w:color="auto"/>
              <w:right w:val="single" w:sz="2" w:space="0" w:color="auto"/>
            </w:tcBorders>
            <w:vAlign w:val="center"/>
          </w:tcPr>
          <w:p w:rsidR="00470E51" w:rsidRDefault="00470E51" w:rsidP="007B7D25">
            <w:pPr>
              <w:jc w:val="center"/>
              <w:rPr>
                <w:szCs w:val="21"/>
              </w:rPr>
            </w:pPr>
          </w:p>
        </w:tc>
        <w:tc>
          <w:tcPr>
            <w:tcW w:w="290" w:type="pct"/>
            <w:tcBorders>
              <w:top w:val="single" w:sz="2" w:space="0" w:color="auto"/>
              <w:left w:val="single" w:sz="2" w:space="0" w:color="auto"/>
              <w:bottom w:val="single" w:sz="2" w:space="0" w:color="auto"/>
              <w:right w:val="single" w:sz="2" w:space="0" w:color="auto"/>
            </w:tcBorders>
            <w:vAlign w:val="center"/>
          </w:tcPr>
          <w:p w:rsidR="00470E51" w:rsidRDefault="00470E51" w:rsidP="007B7D25">
            <w:pPr>
              <w:jc w:val="center"/>
              <w:rPr>
                <w:szCs w:val="21"/>
              </w:rPr>
            </w:pPr>
          </w:p>
        </w:tc>
        <w:tc>
          <w:tcPr>
            <w:tcW w:w="276" w:type="pct"/>
            <w:tcBorders>
              <w:top w:val="single" w:sz="2" w:space="0" w:color="auto"/>
              <w:left w:val="single" w:sz="2" w:space="0" w:color="auto"/>
              <w:bottom w:val="single" w:sz="2" w:space="0" w:color="auto"/>
              <w:right w:val="single" w:sz="2" w:space="0" w:color="auto"/>
            </w:tcBorders>
            <w:vAlign w:val="center"/>
          </w:tcPr>
          <w:p w:rsidR="00470E51" w:rsidRDefault="00470E51" w:rsidP="007B7D25">
            <w:pPr>
              <w:jc w:val="center"/>
              <w:rPr>
                <w:szCs w:val="21"/>
              </w:rPr>
            </w:pPr>
          </w:p>
        </w:tc>
        <w:tc>
          <w:tcPr>
            <w:tcW w:w="292" w:type="pct"/>
            <w:tcBorders>
              <w:top w:val="single" w:sz="2" w:space="0" w:color="auto"/>
              <w:left w:val="single" w:sz="2" w:space="0" w:color="auto"/>
              <w:bottom w:val="single" w:sz="2" w:space="0" w:color="auto"/>
              <w:right w:val="single" w:sz="2" w:space="0" w:color="auto"/>
            </w:tcBorders>
            <w:vAlign w:val="center"/>
          </w:tcPr>
          <w:p w:rsidR="00470E51" w:rsidRDefault="00470E51" w:rsidP="007B7D25">
            <w:pPr>
              <w:jc w:val="center"/>
              <w:rPr>
                <w:szCs w:val="21"/>
              </w:rPr>
            </w:pPr>
            <w:r>
              <w:rPr>
                <w:szCs w:val="21"/>
              </w:rPr>
              <w:t>X</w:t>
            </w:r>
          </w:p>
        </w:tc>
      </w:tr>
      <w:tr w:rsidR="004E5152" w:rsidTr="004E5152">
        <w:trPr>
          <w:trHeight w:hRule="exact" w:val="406"/>
          <w:jc w:val="center"/>
        </w:trPr>
        <w:tc>
          <w:tcPr>
            <w:tcW w:w="1070" w:type="pct"/>
            <w:tcBorders>
              <w:top w:val="nil"/>
              <w:left w:val="single" w:sz="4" w:space="0" w:color="auto"/>
              <w:bottom w:val="single" w:sz="4" w:space="0" w:color="auto"/>
              <w:right w:val="single" w:sz="4" w:space="0" w:color="auto"/>
            </w:tcBorders>
            <w:vAlign w:val="center"/>
            <w:hideMark/>
          </w:tcPr>
          <w:p w:rsidR="00E47414" w:rsidRDefault="00E47414">
            <w:pPr>
              <w:rPr>
                <w:szCs w:val="21"/>
              </w:rPr>
            </w:pPr>
            <w:r>
              <w:rPr>
                <w:rFonts w:hint="eastAsia"/>
                <w:szCs w:val="21"/>
              </w:rPr>
              <w:t>病毒学及梅毒检查</w:t>
            </w:r>
          </w:p>
        </w:tc>
        <w:tc>
          <w:tcPr>
            <w:tcW w:w="457" w:type="pct"/>
            <w:tcBorders>
              <w:top w:val="nil"/>
              <w:left w:val="nil"/>
              <w:bottom w:val="single" w:sz="4" w:space="0" w:color="auto"/>
              <w:right w:val="single" w:sz="12" w:space="0" w:color="auto"/>
            </w:tcBorders>
            <w:vAlign w:val="center"/>
            <w:hideMark/>
          </w:tcPr>
          <w:p w:rsidR="00E47414" w:rsidRDefault="00E47414">
            <w:pPr>
              <w:jc w:val="center"/>
              <w:rPr>
                <w:szCs w:val="21"/>
              </w:rPr>
            </w:pPr>
            <w:r>
              <w:rPr>
                <w:szCs w:val="21"/>
              </w:rPr>
              <w:t>X</w:t>
            </w:r>
          </w:p>
        </w:tc>
        <w:tc>
          <w:tcPr>
            <w:tcW w:w="307" w:type="pct"/>
            <w:tcBorders>
              <w:top w:val="single" w:sz="4" w:space="0" w:color="auto"/>
              <w:left w:val="single" w:sz="12" w:space="0" w:color="auto"/>
              <w:bottom w:val="single" w:sz="4" w:space="0" w:color="auto"/>
              <w:right w:val="single" w:sz="4" w:space="0" w:color="auto"/>
            </w:tcBorders>
            <w:vAlign w:val="center"/>
          </w:tcPr>
          <w:p w:rsidR="00E47414" w:rsidRDefault="00E47414">
            <w:pPr>
              <w:jc w:val="center"/>
              <w:rPr>
                <w:szCs w:val="21"/>
              </w:rPr>
            </w:pPr>
          </w:p>
        </w:tc>
        <w:tc>
          <w:tcPr>
            <w:tcW w:w="323" w:type="pct"/>
            <w:tcBorders>
              <w:top w:val="single" w:sz="4" w:space="0" w:color="auto"/>
              <w:left w:val="single" w:sz="4" w:space="0" w:color="auto"/>
              <w:bottom w:val="single" w:sz="4" w:space="0" w:color="auto"/>
              <w:right w:val="single" w:sz="4" w:space="0" w:color="auto"/>
            </w:tcBorders>
            <w:vAlign w:val="center"/>
          </w:tcPr>
          <w:p w:rsidR="00E47414" w:rsidRDefault="00E47414">
            <w:pPr>
              <w:jc w:val="center"/>
              <w:rPr>
                <w:szCs w:val="21"/>
              </w:rPr>
            </w:pPr>
          </w:p>
        </w:tc>
        <w:tc>
          <w:tcPr>
            <w:tcW w:w="301" w:type="pct"/>
            <w:tcBorders>
              <w:top w:val="nil"/>
              <w:left w:val="single" w:sz="4" w:space="0" w:color="auto"/>
              <w:bottom w:val="single" w:sz="4" w:space="0" w:color="auto"/>
              <w:right w:val="single" w:sz="12" w:space="0" w:color="auto"/>
            </w:tcBorders>
            <w:vAlign w:val="center"/>
          </w:tcPr>
          <w:p w:rsidR="00E47414" w:rsidRDefault="00E47414">
            <w:pPr>
              <w:jc w:val="center"/>
              <w:rPr>
                <w:szCs w:val="21"/>
              </w:rPr>
            </w:pPr>
          </w:p>
        </w:tc>
        <w:tc>
          <w:tcPr>
            <w:tcW w:w="337" w:type="pct"/>
            <w:tcBorders>
              <w:top w:val="single" w:sz="2" w:space="0" w:color="auto"/>
              <w:left w:val="single" w:sz="12" w:space="0" w:color="auto"/>
              <w:bottom w:val="single" w:sz="2" w:space="0" w:color="auto"/>
              <w:right w:val="single" w:sz="12" w:space="0" w:color="auto"/>
            </w:tcBorders>
            <w:vAlign w:val="center"/>
          </w:tcPr>
          <w:p w:rsidR="00E47414" w:rsidRDefault="00E47414">
            <w:pPr>
              <w:jc w:val="center"/>
              <w:rPr>
                <w:szCs w:val="21"/>
              </w:rPr>
            </w:pPr>
          </w:p>
        </w:tc>
        <w:tc>
          <w:tcPr>
            <w:tcW w:w="337" w:type="pct"/>
            <w:tcBorders>
              <w:top w:val="single" w:sz="2" w:space="0" w:color="auto"/>
              <w:left w:val="single" w:sz="12" w:space="0" w:color="auto"/>
              <w:bottom w:val="single" w:sz="2" w:space="0" w:color="auto"/>
              <w:right w:val="single" w:sz="12" w:space="0" w:color="auto"/>
            </w:tcBorders>
          </w:tcPr>
          <w:p w:rsidR="00E47414" w:rsidRDefault="00E47414">
            <w:pPr>
              <w:jc w:val="center"/>
              <w:rPr>
                <w:szCs w:val="21"/>
              </w:rPr>
            </w:pPr>
          </w:p>
        </w:tc>
        <w:tc>
          <w:tcPr>
            <w:tcW w:w="430" w:type="pct"/>
            <w:tcBorders>
              <w:top w:val="single" w:sz="2" w:space="0" w:color="auto"/>
              <w:left w:val="single" w:sz="12" w:space="0" w:color="auto"/>
              <w:bottom w:val="single" w:sz="2" w:space="0" w:color="auto"/>
              <w:right w:val="single" w:sz="12" w:space="0" w:color="auto"/>
            </w:tcBorders>
          </w:tcPr>
          <w:p w:rsidR="00E47414" w:rsidRDefault="00E47414">
            <w:pPr>
              <w:jc w:val="center"/>
              <w:rPr>
                <w:szCs w:val="21"/>
              </w:rPr>
            </w:pPr>
          </w:p>
        </w:tc>
        <w:tc>
          <w:tcPr>
            <w:tcW w:w="310" w:type="pct"/>
            <w:tcBorders>
              <w:top w:val="single" w:sz="2" w:space="0" w:color="auto"/>
              <w:left w:val="single" w:sz="12" w:space="0" w:color="auto"/>
              <w:bottom w:val="single" w:sz="2" w:space="0" w:color="auto"/>
              <w:right w:val="single" w:sz="12" w:space="0" w:color="auto"/>
            </w:tcBorders>
            <w:vAlign w:val="center"/>
          </w:tcPr>
          <w:p w:rsidR="00E47414" w:rsidRDefault="00E47414" w:rsidP="007B7D25">
            <w:pPr>
              <w:jc w:val="center"/>
              <w:rPr>
                <w:szCs w:val="21"/>
              </w:rPr>
            </w:pPr>
          </w:p>
        </w:tc>
        <w:tc>
          <w:tcPr>
            <w:tcW w:w="271" w:type="pct"/>
            <w:tcBorders>
              <w:top w:val="single" w:sz="2" w:space="0" w:color="auto"/>
              <w:left w:val="single" w:sz="12" w:space="0" w:color="auto"/>
              <w:bottom w:val="single" w:sz="2" w:space="0" w:color="auto"/>
              <w:right w:val="single" w:sz="2" w:space="0" w:color="auto"/>
            </w:tcBorders>
            <w:vAlign w:val="center"/>
          </w:tcPr>
          <w:p w:rsidR="00E47414" w:rsidRDefault="00E47414" w:rsidP="007B7D25">
            <w:pPr>
              <w:jc w:val="center"/>
              <w:rPr>
                <w:szCs w:val="21"/>
              </w:rPr>
            </w:pPr>
          </w:p>
        </w:tc>
        <w:tc>
          <w:tcPr>
            <w:tcW w:w="290" w:type="pct"/>
            <w:tcBorders>
              <w:top w:val="single" w:sz="2" w:space="0" w:color="auto"/>
              <w:left w:val="single" w:sz="2" w:space="0" w:color="auto"/>
              <w:bottom w:val="single" w:sz="2" w:space="0" w:color="auto"/>
              <w:right w:val="single" w:sz="2" w:space="0" w:color="auto"/>
            </w:tcBorders>
            <w:vAlign w:val="center"/>
          </w:tcPr>
          <w:p w:rsidR="00E47414" w:rsidRDefault="00E47414" w:rsidP="007B7D25">
            <w:pPr>
              <w:jc w:val="center"/>
              <w:rPr>
                <w:szCs w:val="21"/>
              </w:rPr>
            </w:pPr>
          </w:p>
        </w:tc>
        <w:tc>
          <w:tcPr>
            <w:tcW w:w="276" w:type="pct"/>
            <w:tcBorders>
              <w:top w:val="single" w:sz="2" w:space="0" w:color="auto"/>
              <w:left w:val="single" w:sz="2" w:space="0" w:color="auto"/>
              <w:bottom w:val="single" w:sz="2" w:space="0" w:color="auto"/>
              <w:right w:val="single" w:sz="2" w:space="0" w:color="auto"/>
            </w:tcBorders>
            <w:vAlign w:val="center"/>
          </w:tcPr>
          <w:p w:rsidR="00E47414" w:rsidRDefault="00E47414" w:rsidP="007B7D25">
            <w:pPr>
              <w:jc w:val="center"/>
              <w:rPr>
                <w:szCs w:val="21"/>
              </w:rPr>
            </w:pPr>
          </w:p>
        </w:tc>
        <w:tc>
          <w:tcPr>
            <w:tcW w:w="292" w:type="pct"/>
            <w:tcBorders>
              <w:top w:val="single" w:sz="2" w:space="0" w:color="auto"/>
              <w:left w:val="single" w:sz="2" w:space="0" w:color="auto"/>
              <w:bottom w:val="single" w:sz="2" w:space="0" w:color="auto"/>
              <w:right w:val="single" w:sz="2" w:space="0" w:color="auto"/>
            </w:tcBorders>
            <w:vAlign w:val="center"/>
          </w:tcPr>
          <w:p w:rsidR="00E47414" w:rsidRDefault="00E47414">
            <w:pPr>
              <w:jc w:val="center"/>
              <w:rPr>
                <w:szCs w:val="21"/>
              </w:rPr>
            </w:pPr>
          </w:p>
        </w:tc>
      </w:tr>
      <w:tr w:rsidR="004E5152" w:rsidTr="004E5152">
        <w:trPr>
          <w:trHeight w:hRule="exact" w:val="406"/>
          <w:jc w:val="center"/>
        </w:trPr>
        <w:tc>
          <w:tcPr>
            <w:tcW w:w="1070" w:type="pct"/>
            <w:tcBorders>
              <w:top w:val="nil"/>
              <w:left w:val="single" w:sz="4" w:space="0" w:color="auto"/>
              <w:bottom w:val="single" w:sz="4" w:space="0" w:color="auto"/>
              <w:right w:val="single" w:sz="4" w:space="0" w:color="auto"/>
            </w:tcBorders>
            <w:vAlign w:val="center"/>
            <w:hideMark/>
          </w:tcPr>
          <w:p w:rsidR="00470E51" w:rsidRDefault="00470E51">
            <w:pPr>
              <w:rPr>
                <w:szCs w:val="21"/>
              </w:rPr>
            </w:pPr>
            <w:r>
              <w:rPr>
                <w:rFonts w:hint="eastAsia"/>
                <w:szCs w:val="21"/>
              </w:rPr>
              <w:t>心电图</w:t>
            </w:r>
          </w:p>
        </w:tc>
        <w:tc>
          <w:tcPr>
            <w:tcW w:w="457" w:type="pct"/>
            <w:tcBorders>
              <w:top w:val="nil"/>
              <w:left w:val="nil"/>
              <w:bottom w:val="single" w:sz="4" w:space="0" w:color="auto"/>
              <w:right w:val="single" w:sz="12" w:space="0" w:color="auto"/>
            </w:tcBorders>
            <w:vAlign w:val="center"/>
            <w:hideMark/>
          </w:tcPr>
          <w:p w:rsidR="00470E51" w:rsidRDefault="00470E51">
            <w:pPr>
              <w:jc w:val="center"/>
              <w:rPr>
                <w:szCs w:val="21"/>
              </w:rPr>
            </w:pPr>
            <w:r>
              <w:rPr>
                <w:szCs w:val="21"/>
              </w:rPr>
              <w:t>X</w:t>
            </w:r>
          </w:p>
        </w:tc>
        <w:tc>
          <w:tcPr>
            <w:tcW w:w="307" w:type="pct"/>
            <w:tcBorders>
              <w:top w:val="single" w:sz="4" w:space="0" w:color="auto"/>
              <w:left w:val="single" w:sz="12" w:space="0" w:color="auto"/>
              <w:bottom w:val="single" w:sz="4" w:space="0" w:color="auto"/>
              <w:right w:val="single" w:sz="4" w:space="0" w:color="auto"/>
            </w:tcBorders>
            <w:vAlign w:val="center"/>
          </w:tcPr>
          <w:p w:rsidR="00470E51" w:rsidRDefault="00470E51">
            <w:pPr>
              <w:jc w:val="center"/>
              <w:rPr>
                <w:szCs w:val="21"/>
              </w:rPr>
            </w:pPr>
          </w:p>
        </w:tc>
        <w:tc>
          <w:tcPr>
            <w:tcW w:w="323" w:type="pct"/>
            <w:tcBorders>
              <w:top w:val="single" w:sz="4" w:space="0" w:color="auto"/>
              <w:left w:val="single" w:sz="4" w:space="0" w:color="auto"/>
              <w:bottom w:val="single" w:sz="4" w:space="0" w:color="auto"/>
              <w:right w:val="single" w:sz="2" w:space="0" w:color="auto"/>
            </w:tcBorders>
            <w:vAlign w:val="center"/>
          </w:tcPr>
          <w:p w:rsidR="00470E51" w:rsidRDefault="00470E51">
            <w:pPr>
              <w:jc w:val="center"/>
              <w:rPr>
                <w:szCs w:val="21"/>
              </w:rPr>
            </w:pPr>
          </w:p>
        </w:tc>
        <w:tc>
          <w:tcPr>
            <w:tcW w:w="301" w:type="pct"/>
            <w:tcBorders>
              <w:top w:val="single" w:sz="4" w:space="0" w:color="auto"/>
              <w:left w:val="single" w:sz="2" w:space="0" w:color="auto"/>
              <w:bottom w:val="single" w:sz="4" w:space="0" w:color="auto"/>
              <w:right w:val="single" w:sz="12" w:space="0" w:color="auto"/>
            </w:tcBorders>
            <w:vAlign w:val="center"/>
          </w:tcPr>
          <w:p w:rsidR="00470E51" w:rsidRDefault="00470E51">
            <w:pPr>
              <w:jc w:val="center"/>
              <w:rPr>
                <w:szCs w:val="21"/>
              </w:rPr>
            </w:pPr>
          </w:p>
        </w:tc>
        <w:tc>
          <w:tcPr>
            <w:tcW w:w="337" w:type="pct"/>
            <w:tcBorders>
              <w:top w:val="single" w:sz="2" w:space="0" w:color="auto"/>
              <w:left w:val="single" w:sz="12" w:space="0" w:color="auto"/>
              <w:bottom w:val="single" w:sz="2" w:space="0" w:color="auto"/>
              <w:right w:val="single" w:sz="12" w:space="0" w:color="auto"/>
            </w:tcBorders>
            <w:vAlign w:val="center"/>
            <w:hideMark/>
          </w:tcPr>
          <w:p w:rsidR="00470E51" w:rsidRDefault="00470E51" w:rsidP="00ED77F8">
            <w:pPr>
              <w:jc w:val="center"/>
              <w:rPr>
                <w:szCs w:val="21"/>
              </w:rPr>
            </w:pPr>
          </w:p>
        </w:tc>
        <w:tc>
          <w:tcPr>
            <w:tcW w:w="337" w:type="pct"/>
            <w:tcBorders>
              <w:top w:val="single" w:sz="2" w:space="0" w:color="auto"/>
              <w:left w:val="single" w:sz="12" w:space="0" w:color="auto"/>
              <w:bottom w:val="single" w:sz="2" w:space="0" w:color="auto"/>
              <w:right w:val="single" w:sz="12" w:space="0" w:color="auto"/>
            </w:tcBorders>
          </w:tcPr>
          <w:p w:rsidR="00470E51" w:rsidRDefault="00470E51">
            <w:pPr>
              <w:jc w:val="center"/>
              <w:rPr>
                <w:szCs w:val="21"/>
              </w:rPr>
            </w:pPr>
            <w:r>
              <w:rPr>
                <w:szCs w:val="21"/>
              </w:rPr>
              <w:t>X</w:t>
            </w:r>
          </w:p>
        </w:tc>
        <w:tc>
          <w:tcPr>
            <w:tcW w:w="430" w:type="pct"/>
            <w:tcBorders>
              <w:top w:val="single" w:sz="2" w:space="0" w:color="auto"/>
              <w:left w:val="single" w:sz="12" w:space="0" w:color="auto"/>
              <w:bottom w:val="single" w:sz="2" w:space="0" w:color="auto"/>
              <w:right w:val="single" w:sz="12" w:space="0" w:color="auto"/>
            </w:tcBorders>
          </w:tcPr>
          <w:p w:rsidR="00470E51" w:rsidRDefault="00470E51">
            <w:pPr>
              <w:jc w:val="center"/>
              <w:rPr>
                <w:szCs w:val="21"/>
              </w:rPr>
            </w:pPr>
          </w:p>
        </w:tc>
        <w:tc>
          <w:tcPr>
            <w:tcW w:w="310" w:type="pct"/>
            <w:tcBorders>
              <w:top w:val="single" w:sz="2" w:space="0" w:color="auto"/>
              <w:left w:val="single" w:sz="12" w:space="0" w:color="auto"/>
              <w:bottom w:val="single" w:sz="2" w:space="0" w:color="auto"/>
              <w:right w:val="single" w:sz="12" w:space="0" w:color="auto"/>
            </w:tcBorders>
            <w:vAlign w:val="center"/>
          </w:tcPr>
          <w:p w:rsidR="00470E51" w:rsidRDefault="00470E51" w:rsidP="007B7D25">
            <w:pPr>
              <w:jc w:val="center"/>
              <w:rPr>
                <w:szCs w:val="21"/>
              </w:rPr>
            </w:pPr>
          </w:p>
        </w:tc>
        <w:tc>
          <w:tcPr>
            <w:tcW w:w="271" w:type="pct"/>
            <w:tcBorders>
              <w:top w:val="single" w:sz="2" w:space="0" w:color="auto"/>
              <w:left w:val="single" w:sz="12" w:space="0" w:color="auto"/>
              <w:bottom w:val="single" w:sz="2" w:space="0" w:color="auto"/>
              <w:right w:val="single" w:sz="2" w:space="0" w:color="auto"/>
            </w:tcBorders>
            <w:vAlign w:val="center"/>
          </w:tcPr>
          <w:p w:rsidR="00470E51" w:rsidRDefault="00470E51" w:rsidP="007B7D25">
            <w:pPr>
              <w:jc w:val="center"/>
              <w:rPr>
                <w:szCs w:val="21"/>
              </w:rPr>
            </w:pPr>
          </w:p>
        </w:tc>
        <w:tc>
          <w:tcPr>
            <w:tcW w:w="290" w:type="pct"/>
            <w:tcBorders>
              <w:top w:val="single" w:sz="2" w:space="0" w:color="auto"/>
              <w:left w:val="single" w:sz="2" w:space="0" w:color="auto"/>
              <w:bottom w:val="single" w:sz="2" w:space="0" w:color="auto"/>
              <w:right w:val="single" w:sz="2" w:space="0" w:color="auto"/>
            </w:tcBorders>
            <w:vAlign w:val="center"/>
          </w:tcPr>
          <w:p w:rsidR="00470E51" w:rsidRDefault="00470E51" w:rsidP="007B7D25">
            <w:pPr>
              <w:jc w:val="center"/>
              <w:rPr>
                <w:szCs w:val="21"/>
              </w:rPr>
            </w:pPr>
          </w:p>
        </w:tc>
        <w:tc>
          <w:tcPr>
            <w:tcW w:w="276" w:type="pct"/>
            <w:tcBorders>
              <w:top w:val="single" w:sz="2" w:space="0" w:color="auto"/>
              <w:left w:val="single" w:sz="2" w:space="0" w:color="auto"/>
              <w:bottom w:val="single" w:sz="2" w:space="0" w:color="auto"/>
              <w:right w:val="single" w:sz="2" w:space="0" w:color="auto"/>
            </w:tcBorders>
            <w:vAlign w:val="center"/>
          </w:tcPr>
          <w:p w:rsidR="00470E51" w:rsidRDefault="00470E51" w:rsidP="007B7D25">
            <w:pPr>
              <w:jc w:val="center"/>
              <w:rPr>
                <w:szCs w:val="21"/>
              </w:rPr>
            </w:pPr>
          </w:p>
        </w:tc>
        <w:tc>
          <w:tcPr>
            <w:tcW w:w="292" w:type="pct"/>
            <w:tcBorders>
              <w:top w:val="single" w:sz="2" w:space="0" w:color="auto"/>
              <w:left w:val="single" w:sz="2" w:space="0" w:color="auto"/>
              <w:bottom w:val="single" w:sz="2" w:space="0" w:color="auto"/>
              <w:right w:val="single" w:sz="2" w:space="0" w:color="auto"/>
            </w:tcBorders>
            <w:vAlign w:val="center"/>
          </w:tcPr>
          <w:p w:rsidR="00470E51" w:rsidRDefault="00470E51" w:rsidP="007B7D25">
            <w:pPr>
              <w:jc w:val="center"/>
              <w:rPr>
                <w:szCs w:val="21"/>
              </w:rPr>
            </w:pPr>
            <w:r>
              <w:rPr>
                <w:szCs w:val="21"/>
              </w:rPr>
              <w:t>X</w:t>
            </w:r>
          </w:p>
        </w:tc>
      </w:tr>
      <w:tr w:rsidR="004E5152" w:rsidTr="004E5152">
        <w:trPr>
          <w:trHeight w:hRule="exact" w:val="406"/>
          <w:jc w:val="center"/>
        </w:trPr>
        <w:tc>
          <w:tcPr>
            <w:tcW w:w="1070" w:type="pct"/>
            <w:tcBorders>
              <w:top w:val="nil"/>
              <w:left w:val="single" w:sz="4" w:space="0" w:color="auto"/>
              <w:bottom w:val="single" w:sz="4" w:space="0" w:color="auto"/>
              <w:right w:val="single" w:sz="4" w:space="0" w:color="auto"/>
            </w:tcBorders>
            <w:vAlign w:val="center"/>
            <w:hideMark/>
          </w:tcPr>
          <w:p w:rsidR="00E47414" w:rsidRDefault="00E47414">
            <w:pPr>
              <w:rPr>
                <w:szCs w:val="21"/>
              </w:rPr>
            </w:pPr>
            <w:r>
              <w:rPr>
                <w:rFonts w:hint="eastAsia"/>
                <w:szCs w:val="21"/>
              </w:rPr>
              <w:t>入选受试者确认</w:t>
            </w:r>
          </w:p>
        </w:tc>
        <w:tc>
          <w:tcPr>
            <w:tcW w:w="457" w:type="pct"/>
            <w:tcBorders>
              <w:top w:val="nil"/>
              <w:left w:val="nil"/>
              <w:bottom w:val="single" w:sz="4" w:space="0" w:color="auto"/>
              <w:right w:val="single" w:sz="12" w:space="0" w:color="auto"/>
            </w:tcBorders>
            <w:vAlign w:val="center"/>
            <w:hideMark/>
          </w:tcPr>
          <w:p w:rsidR="00E47414" w:rsidRDefault="00E47414">
            <w:pPr>
              <w:jc w:val="center"/>
              <w:rPr>
                <w:szCs w:val="21"/>
              </w:rPr>
            </w:pPr>
            <w:r>
              <w:rPr>
                <w:szCs w:val="21"/>
              </w:rPr>
              <w:t>X</w:t>
            </w:r>
          </w:p>
        </w:tc>
        <w:tc>
          <w:tcPr>
            <w:tcW w:w="307" w:type="pct"/>
            <w:tcBorders>
              <w:top w:val="single" w:sz="4" w:space="0" w:color="auto"/>
              <w:left w:val="single" w:sz="12" w:space="0" w:color="auto"/>
              <w:bottom w:val="single" w:sz="4" w:space="0" w:color="auto"/>
              <w:right w:val="single" w:sz="4" w:space="0" w:color="auto"/>
            </w:tcBorders>
            <w:vAlign w:val="center"/>
          </w:tcPr>
          <w:p w:rsidR="00E47414" w:rsidRDefault="00E47414">
            <w:pPr>
              <w:jc w:val="center"/>
              <w:rPr>
                <w:szCs w:val="21"/>
              </w:rPr>
            </w:pPr>
          </w:p>
        </w:tc>
        <w:tc>
          <w:tcPr>
            <w:tcW w:w="323" w:type="pct"/>
            <w:tcBorders>
              <w:top w:val="single" w:sz="4" w:space="0" w:color="auto"/>
              <w:left w:val="single" w:sz="4" w:space="0" w:color="auto"/>
              <w:bottom w:val="single" w:sz="4" w:space="0" w:color="auto"/>
              <w:right w:val="single" w:sz="4" w:space="0" w:color="auto"/>
            </w:tcBorders>
            <w:vAlign w:val="center"/>
          </w:tcPr>
          <w:p w:rsidR="00E47414" w:rsidRDefault="00E47414">
            <w:pPr>
              <w:jc w:val="center"/>
              <w:rPr>
                <w:szCs w:val="21"/>
              </w:rPr>
            </w:pPr>
          </w:p>
        </w:tc>
        <w:tc>
          <w:tcPr>
            <w:tcW w:w="301" w:type="pct"/>
            <w:tcBorders>
              <w:top w:val="nil"/>
              <w:left w:val="single" w:sz="4" w:space="0" w:color="auto"/>
              <w:bottom w:val="single" w:sz="4" w:space="0" w:color="auto"/>
              <w:right w:val="single" w:sz="12" w:space="0" w:color="auto"/>
            </w:tcBorders>
            <w:vAlign w:val="center"/>
          </w:tcPr>
          <w:p w:rsidR="00E47414" w:rsidRDefault="00E47414">
            <w:pPr>
              <w:jc w:val="center"/>
              <w:rPr>
                <w:szCs w:val="21"/>
              </w:rPr>
            </w:pPr>
          </w:p>
        </w:tc>
        <w:tc>
          <w:tcPr>
            <w:tcW w:w="337" w:type="pct"/>
            <w:tcBorders>
              <w:top w:val="single" w:sz="2" w:space="0" w:color="auto"/>
              <w:left w:val="single" w:sz="12" w:space="0" w:color="auto"/>
              <w:bottom w:val="single" w:sz="2" w:space="0" w:color="auto"/>
              <w:right w:val="single" w:sz="12" w:space="0" w:color="auto"/>
            </w:tcBorders>
          </w:tcPr>
          <w:p w:rsidR="00E47414" w:rsidRDefault="00E47414">
            <w:pPr>
              <w:jc w:val="center"/>
              <w:rPr>
                <w:szCs w:val="21"/>
              </w:rPr>
            </w:pPr>
          </w:p>
        </w:tc>
        <w:tc>
          <w:tcPr>
            <w:tcW w:w="337" w:type="pct"/>
            <w:tcBorders>
              <w:top w:val="single" w:sz="2" w:space="0" w:color="auto"/>
              <w:left w:val="single" w:sz="12" w:space="0" w:color="auto"/>
              <w:bottom w:val="single" w:sz="2" w:space="0" w:color="auto"/>
              <w:right w:val="single" w:sz="12" w:space="0" w:color="auto"/>
            </w:tcBorders>
          </w:tcPr>
          <w:p w:rsidR="00E47414" w:rsidRDefault="00E47414">
            <w:pPr>
              <w:jc w:val="center"/>
              <w:rPr>
                <w:szCs w:val="21"/>
              </w:rPr>
            </w:pPr>
          </w:p>
        </w:tc>
        <w:tc>
          <w:tcPr>
            <w:tcW w:w="430" w:type="pct"/>
            <w:tcBorders>
              <w:top w:val="single" w:sz="2" w:space="0" w:color="auto"/>
              <w:left w:val="single" w:sz="12" w:space="0" w:color="auto"/>
              <w:bottom w:val="single" w:sz="2" w:space="0" w:color="auto"/>
              <w:right w:val="single" w:sz="12" w:space="0" w:color="auto"/>
            </w:tcBorders>
          </w:tcPr>
          <w:p w:rsidR="00E47414" w:rsidRDefault="00E47414">
            <w:pPr>
              <w:jc w:val="center"/>
              <w:rPr>
                <w:szCs w:val="21"/>
              </w:rPr>
            </w:pPr>
          </w:p>
        </w:tc>
        <w:tc>
          <w:tcPr>
            <w:tcW w:w="310" w:type="pct"/>
            <w:tcBorders>
              <w:top w:val="single" w:sz="2" w:space="0" w:color="auto"/>
              <w:left w:val="single" w:sz="12" w:space="0" w:color="auto"/>
              <w:bottom w:val="single" w:sz="2" w:space="0" w:color="auto"/>
              <w:right w:val="single" w:sz="12" w:space="0" w:color="auto"/>
            </w:tcBorders>
            <w:vAlign w:val="center"/>
          </w:tcPr>
          <w:p w:rsidR="00E47414" w:rsidRDefault="00E47414" w:rsidP="007B7D25">
            <w:pPr>
              <w:jc w:val="center"/>
              <w:rPr>
                <w:szCs w:val="21"/>
              </w:rPr>
            </w:pPr>
          </w:p>
        </w:tc>
        <w:tc>
          <w:tcPr>
            <w:tcW w:w="271" w:type="pct"/>
            <w:tcBorders>
              <w:top w:val="single" w:sz="2" w:space="0" w:color="auto"/>
              <w:left w:val="single" w:sz="12" w:space="0" w:color="auto"/>
              <w:bottom w:val="single" w:sz="2" w:space="0" w:color="auto"/>
              <w:right w:val="single" w:sz="2" w:space="0" w:color="auto"/>
            </w:tcBorders>
            <w:vAlign w:val="center"/>
          </w:tcPr>
          <w:p w:rsidR="00E47414" w:rsidRDefault="00E47414" w:rsidP="007B7D25">
            <w:pPr>
              <w:jc w:val="center"/>
              <w:rPr>
                <w:szCs w:val="21"/>
              </w:rPr>
            </w:pPr>
          </w:p>
        </w:tc>
        <w:tc>
          <w:tcPr>
            <w:tcW w:w="290" w:type="pct"/>
            <w:tcBorders>
              <w:top w:val="single" w:sz="2" w:space="0" w:color="auto"/>
              <w:left w:val="single" w:sz="2" w:space="0" w:color="auto"/>
              <w:bottom w:val="single" w:sz="2" w:space="0" w:color="auto"/>
              <w:right w:val="single" w:sz="2" w:space="0" w:color="auto"/>
            </w:tcBorders>
            <w:vAlign w:val="center"/>
          </w:tcPr>
          <w:p w:rsidR="00E47414" w:rsidRDefault="00E47414" w:rsidP="007B7D25">
            <w:pPr>
              <w:jc w:val="center"/>
              <w:rPr>
                <w:szCs w:val="21"/>
              </w:rPr>
            </w:pPr>
          </w:p>
        </w:tc>
        <w:tc>
          <w:tcPr>
            <w:tcW w:w="276" w:type="pct"/>
            <w:tcBorders>
              <w:top w:val="single" w:sz="2" w:space="0" w:color="auto"/>
              <w:left w:val="single" w:sz="2" w:space="0" w:color="auto"/>
              <w:bottom w:val="single" w:sz="2" w:space="0" w:color="auto"/>
              <w:right w:val="single" w:sz="2" w:space="0" w:color="auto"/>
            </w:tcBorders>
          </w:tcPr>
          <w:p w:rsidR="00E47414" w:rsidRDefault="00E47414" w:rsidP="007B7D25">
            <w:pPr>
              <w:jc w:val="center"/>
              <w:rPr>
                <w:szCs w:val="21"/>
              </w:rPr>
            </w:pPr>
          </w:p>
        </w:tc>
        <w:tc>
          <w:tcPr>
            <w:tcW w:w="292" w:type="pct"/>
            <w:tcBorders>
              <w:top w:val="single" w:sz="2" w:space="0" w:color="auto"/>
              <w:left w:val="single" w:sz="2" w:space="0" w:color="auto"/>
              <w:bottom w:val="single" w:sz="2" w:space="0" w:color="auto"/>
              <w:right w:val="single" w:sz="2" w:space="0" w:color="auto"/>
            </w:tcBorders>
          </w:tcPr>
          <w:p w:rsidR="00E47414" w:rsidRDefault="00E47414">
            <w:pPr>
              <w:jc w:val="center"/>
              <w:rPr>
                <w:szCs w:val="21"/>
              </w:rPr>
            </w:pPr>
          </w:p>
        </w:tc>
      </w:tr>
      <w:tr w:rsidR="004E5152" w:rsidTr="004E5152">
        <w:trPr>
          <w:trHeight w:hRule="exact" w:val="406"/>
          <w:jc w:val="center"/>
        </w:trPr>
        <w:tc>
          <w:tcPr>
            <w:tcW w:w="1070" w:type="pct"/>
            <w:tcBorders>
              <w:top w:val="nil"/>
              <w:left w:val="single" w:sz="4" w:space="0" w:color="auto"/>
              <w:bottom w:val="single" w:sz="4" w:space="0" w:color="auto"/>
              <w:right w:val="single" w:sz="4" w:space="0" w:color="auto"/>
            </w:tcBorders>
            <w:vAlign w:val="center"/>
            <w:hideMark/>
          </w:tcPr>
          <w:p w:rsidR="00E47414" w:rsidRDefault="00E47414">
            <w:pPr>
              <w:rPr>
                <w:szCs w:val="21"/>
              </w:rPr>
            </w:pPr>
            <w:r>
              <w:rPr>
                <w:rFonts w:hint="eastAsia"/>
                <w:szCs w:val="21"/>
              </w:rPr>
              <w:t>入住前询问</w:t>
            </w:r>
          </w:p>
        </w:tc>
        <w:tc>
          <w:tcPr>
            <w:tcW w:w="457" w:type="pct"/>
            <w:tcBorders>
              <w:top w:val="nil"/>
              <w:left w:val="nil"/>
              <w:bottom w:val="single" w:sz="4" w:space="0" w:color="auto"/>
              <w:right w:val="single" w:sz="12" w:space="0" w:color="auto"/>
            </w:tcBorders>
            <w:vAlign w:val="center"/>
          </w:tcPr>
          <w:p w:rsidR="00E47414" w:rsidRDefault="00E47414">
            <w:pPr>
              <w:jc w:val="center"/>
              <w:rPr>
                <w:szCs w:val="21"/>
              </w:rPr>
            </w:pPr>
          </w:p>
        </w:tc>
        <w:tc>
          <w:tcPr>
            <w:tcW w:w="307" w:type="pct"/>
            <w:tcBorders>
              <w:top w:val="single" w:sz="4" w:space="0" w:color="auto"/>
              <w:left w:val="single" w:sz="12" w:space="0" w:color="auto"/>
              <w:bottom w:val="single" w:sz="4" w:space="0" w:color="auto"/>
              <w:right w:val="single" w:sz="4" w:space="0" w:color="auto"/>
            </w:tcBorders>
            <w:vAlign w:val="center"/>
            <w:hideMark/>
          </w:tcPr>
          <w:p w:rsidR="00E47414" w:rsidRDefault="00E47414">
            <w:pPr>
              <w:jc w:val="center"/>
              <w:rPr>
                <w:szCs w:val="21"/>
              </w:rPr>
            </w:pPr>
            <w:r>
              <w:rPr>
                <w:szCs w:val="21"/>
              </w:rPr>
              <w:t>X</w:t>
            </w:r>
          </w:p>
        </w:tc>
        <w:tc>
          <w:tcPr>
            <w:tcW w:w="323" w:type="pct"/>
            <w:tcBorders>
              <w:top w:val="single" w:sz="4" w:space="0" w:color="auto"/>
              <w:left w:val="single" w:sz="4" w:space="0" w:color="auto"/>
              <w:bottom w:val="single" w:sz="4" w:space="0" w:color="auto"/>
              <w:right w:val="single" w:sz="4" w:space="0" w:color="auto"/>
            </w:tcBorders>
            <w:vAlign w:val="center"/>
          </w:tcPr>
          <w:p w:rsidR="00E47414" w:rsidRDefault="00E47414">
            <w:pPr>
              <w:jc w:val="center"/>
              <w:rPr>
                <w:szCs w:val="21"/>
              </w:rPr>
            </w:pPr>
          </w:p>
        </w:tc>
        <w:tc>
          <w:tcPr>
            <w:tcW w:w="301" w:type="pct"/>
            <w:tcBorders>
              <w:top w:val="nil"/>
              <w:left w:val="single" w:sz="4" w:space="0" w:color="auto"/>
              <w:bottom w:val="single" w:sz="4" w:space="0" w:color="auto"/>
              <w:right w:val="single" w:sz="12" w:space="0" w:color="auto"/>
            </w:tcBorders>
            <w:vAlign w:val="center"/>
          </w:tcPr>
          <w:p w:rsidR="00E47414" w:rsidRDefault="00E47414">
            <w:pPr>
              <w:jc w:val="center"/>
              <w:rPr>
                <w:szCs w:val="21"/>
              </w:rPr>
            </w:pPr>
          </w:p>
        </w:tc>
        <w:tc>
          <w:tcPr>
            <w:tcW w:w="337" w:type="pct"/>
            <w:tcBorders>
              <w:top w:val="single" w:sz="2" w:space="0" w:color="auto"/>
              <w:left w:val="single" w:sz="12" w:space="0" w:color="auto"/>
              <w:bottom w:val="single" w:sz="2" w:space="0" w:color="auto"/>
              <w:right w:val="single" w:sz="12" w:space="0" w:color="auto"/>
            </w:tcBorders>
          </w:tcPr>
          <w:p w:rsidR="00E47414" w:rsidRDefault="00E47414">
            <w:pPr>
              <w:jc w:val="center"/>
              <w:rPr>
                <w:szCs w:val="21"/>
              </w:rPr>
            </w:pPr>
          </w:p>
        </w:tc>
        <w:tc>
          <w:tcPr>
            <w:tcW w:w="337" w:type="pct"/>
            <w:tcBorders>
              <w:top w:val="single" w:sz="2" w:space="0" w:color="auto"/>
              <w:left w:val="single" w:sz="12" w:space="0" w:color="auto"/>
              <w:bottom w:val="single" w:sz="2" w:space="0" w:color="auto"/>
              <w:right w:val="single" w:sz="12" w:space="0" w:color="auto"/>
            </w:tcBorders>
          </w:tcPr>
          <w:p w:rsidR="00E47414" w:rsidRDefault="00E47414">
            <w:pPr>
              <w:jc w:val="center"/>
              <w:rPr>
                <w:szCs w:val="21"/>
              </w:rPr>
            </w:pPr>
          </w:p>
        </w:tc>
        <w:tc>
          <w:tcPr>
            <w:tcW w:w="430" w:type="pct"/>
            <w:tcBorders>
              <w:top w:val="single" w:sz="2" w:space="0" w:color="auto"/>
              <w:left w:val="single" w:sz="12" w:space="0" w:color="auto"/>
              <w:bottom w:val="single" w:sz="2" w:space="0" w:color="auto"/>
              <w:right w:val="single" w:sz="12" w:space="0" w:color="auto"/>
            </w:tcBorders>
          </w:tcPr>
          <w:p w:rsidR="00E47414" w:rsidRDefault="00E47414">
            <w:pPr>
              <w:jc w:val="center"/>
              <w:rPr>
                <w:szCs w:val="21"/>
              </w:rPr>
            </w:pPr>
          </w:p>
        </w:tc>
        <w:tc>
          <w:tcPr>
            <w:tcW w:w="310" w:type="pct"/>
            <w:tcBorders>
              <w:top w:val="single" w:sz="2" w:space="0" w:color="auto"/>
              <w:left w:val="single" w:sz="12" w:space="0" w:color="auto"/>
              <w:bottom w:val="single" w:sz="2" w:space="0" w:color="auto"/>
              <w:right w:val="single" w:sz="12" w:space="0" w:color="auto"/>
            </w:tcBorders>
            <w:vAlign w:val="center"/>
          </w:tcPr>
          <w:p w:rsidR="00E47414" w:rsidRDefault="00E47414" w:rsidP="007B7D25">
            <w:pPr>
              <w:jc w:val="center"/>
              <w:rPr>
                <w:szCs w:val="21"/>
              </w:rPr>
            </w:pPr>
            <w:r>
              <w:rPr>
                <w:szCs w:val="21"/>
              </w:rPr>
              <w:t>X</w:t>
            </w:r>
          </w:p>
        </w:tc>
        <w:tc>
          <w:tcPr>
            <w:tcW w:w="271" w:type="pct"/>
            <w:tcBorders>
              <w:top w:val="single" w:sz="2" w:space="0" w:color="auto"/>
              <w:left w:val="single" w:sz="12" w:space="0" w:color="auto"/>
              <w:bottom w:val="single" w:sz="2" w:space="0" w:color="auto"/>
              <w:right w:val="single" w:sz="2" w:space="0" w:color="auto"/>
            </w:tcBorders>
            <w:vAlign w:val="center"/>
          </w:tcPr>
          <w:p w:rsidR="00E47414" w:rsidRDefault="00E47414" w:rsidP="007B7D25">
            <w:pPr>
              <w:jc w:val="center"/>
              <w:rPr>
                <w:szCs w:val="21"/>
              </w:rPr>
            </w:pPr>
          </w:p>
        </w:tc>
        <w:tc>
          <w:tcPr>
            <w:tcW w:w="290" w:type="pct"/>
            <w:tcBorders>
              <w:top w:val="single" w:sz="2" w:space="0" w:color="auto"/>
              <w:left w:val="single" w:sz="2" w:space="0" w:color="auto"/>
              <w:bottom w:val="single" w:sz="2" w:space="0" w:color="auto"/>
              <w:right w:val="single" w:sz="2" w:space="0" w:color="auto"/>
            </w:tcBorders>
            <w:vAlign w:val="center"/>
          </w:tcPr>
          <w:p w:rsidR="00E47414" w:rsidRDefault="00E47414" w:rsidP="007B7D25">
            <w:pPr>
              <w:jc w:val="center"/>
              <w:rPr>
                <w:szCs w:val="21"/>
              </w:rPr>
            </w:pPr>
          </w:p>
        </w:tc>
        <w:tc>
          <w:tcPr>
            <w:tcW w:w="276" w:type="pct"/>
            <w:tcBorders>
              <w:top w:val="single" w:sz="2" w:space="0" w:color="auto"/>
              <w:left w:val="single" w:sz="2" w:space="0" w:color="auto"/>
              <w:bottom w:val="single" w:sz="2" w:space="0" w:color="auto"/>
              <w:right w:val="single" w:sz="2" w:space="0" w:color="auto"/>
            </w:tcBorders>
          </w:tcPr>
          <w:p w:rsidR="00E47414" w:rsidRDefault="00E47414" w:rsidP="007B7D25">
            <w:pPr>
              <w:jc w:val="center"/>
              <w:rPr>
                <w:szCs w:val="21"/>
              </w:rPr>
            </w:pPr>
          </w:p>
        </w:tc>
        <w:tc>
          <w:tcPr>
            <w:tcW w:w="292" w:type="pct"/>
            <w:tcBorders>
              <w:top w:val="single" w:sz="2" w:space="0" w:color="auto"/>
              <w:left w:val="single" w:sz="2" w:space="0" w:color="auto"/>
              <w:bottom w:val="single" w:sz="2" w:space="0" w:color="auto"/>
              <w:right w:val="single" w:sz="2" w:space="0" w:color="auto"/>
            </w:tcBorders>
          </w:tcPr>
          <w:p w:rsidR="00E47414" w:rsidRDefault="00E47414">
            <w:pPr>
              <w:jc w:val="center"/>
              <w:rPr>
                <w:szCs w:val="21"/>
              </w:rPr>
            </w:pPr>
          </w:p>
        </w:tc>
      </w:tr>
      <w:tr w:rsidR="004E5152" w:rsidTr="004E5152">
        <w:trPr>
          <w:trHeight w:hRule="exact" w:val="406"/>
          <w:jc w:val="center"/>
        </w:trPr>
        <w:tc>
          <w:tcPr>
            <w:tcW w:w="1070" w:type="pct"/>
            <w:tcBorders>
              <w:top w:val="nil"/>
              <w:left w:val="single" w:sz="4" w:space="0" w:color="auto"/>
              <w:bottom w:val="single" w:sz="4" w:space="0" w:color="auto"/>
              <w:right w:val="single" w:sz="4" w:space="0" w:color="auto"/>
            </w:tcBorders>
            <w:vAlign w:val="center"/>
            <w:hideMark/>
          </w:tcPr>
          <w:p w:rsidR="00E47414" w:rsidRDefault="00E47414">
            <w:pPr>
              <w:rPr>
                <w:szCs w:val="21"/>
              </w:rPr>
            </w:pPr>
            <w:r>
              <w:rPr>
                <w:rFonts w:hint="eastAsia"/>
                <w:szCs w:val="21"/>
              </w:rPr>
              <w:t>酒精检查</w:t>
            </w:r>
          </w:p>
        </w:tc>
        <w:tc>
          <w:tcPr>
            <w:tcW w:w="457" w:type="pct"/>
            <w:tcBorders>
              <w:top w:val="nil"/>
              <w:left w:val="nil"/>
              <w:bottom w:val="single" w:sz="4" w:space="0" w:color="auto"/>
              <w:right w:val="single" w:sz="12" w:space="0" w:color="auto"/>
            </w:tcBorders>
            <w:vAlign w:val="center"/>
          </w:tcPr>
          <w:p w:rsidR="00E47414" w:rsidRDefault="00E47414">
            <w:pPr>
              <w:jc w:val="center"/>
              <w:rPr>
                <w:szCs w:val="21"/>
              </w:rPr>
            </w:pPr>
          </w:p>
        </w:tc>
        <w:tc>
          <w:tcPr>
            <w:tcW w:w="307" w:type="pct"/>
            <w:tcBorders>
              <w:top w:val="single" w:sz="4" w:space="0" w:color="auto"/>
              <w:left w:val="single" w:sz="12" w:space="0" w:color="auto"/>
              <w:bottom w:val="single" w:sz="4" w:space="0" w:color="auto"/>
              <w:right w:val="single" w:sz="4" w:space="0" w:color="auto"/>
            </w:tcBorders>
            <w:vAlign w:val="center"/>
            <w:hideMark/>
          </w:tcPr>
          <w:p w:rsidR="00E47414" w:rsidRDefault="00E47414">
            <w:pPr>
              <w:jc w:val="center"/>
              <w:rPr>
                <w:szCs w:val="21"/>
              </w:rPr>
            </w:pPr>
            <w:r>
              <w:rPr>
                <w:szCs w:val="21"/>
              </w:rPr>
              <w:t>X</w:t>
            </w:r>
          </w:p>
        </w:tc>
        <w:tc>
          <w:tcPr>
            <w:tcW w:w="323" w:type="pct"/>
            <w:tcBorders>
              <w:top w:val="single" w:sz="4" w:space="0" w:color="auto"/>
              <w:left w:val="single" w:sz="4" w:space="0" w:color="auto"/>
              <w:bottom w:val="single" w:sz="4" w:space="0" w:color="auto"/>
              <w:right w:val="single" w:sz="4" w:space="0" w:color="auto"/>
            </w:tcBorders>
            <w:vAlign w:val="center"/>
          </w:tcPr>
          <w:p w:rsidR="00E47414" w:rsidRDefault="00E47414">
            <w:pPr>
              <w:jc w:val="center"/>
              <w:rPr>
                <w:szCs w:val="21"/>
              </w:rPr>
            </w:pPr>
          </w:p>
        </w:tc>
        <w:tc>
          <w:tcPr>
            <w:tcW w:w="301" w:type="pct"/>
            <w:tcBorders>
              <w:top w:val="nil"/>
              <w:left w:val="single" w:sz="4" w:space="0" w:color="auto"/>
              <w:bottom w:val="single" w:sz="4" w:space="0" w:color="auto"/>
              <w:right w:val="single" w:sz="12" w:space="0" w:color="auto"/>
            </w:tcBorders>
            <w:vAlign w:val="center"/>
          </w:tcPr>
          <w:p w:rsidR="00E47414" w:rsidRDefault="00E47414">
            <w:pPr>
              <w:jc w:val="center"/>
              <w:rPr>
                <w:szCs w:val="21"/>
              </w:rPr>
            </w:pPr>
          </w:p>
        </w:tc>
        <w:tc>
          <w:tcPr>
            <w:tcW w:w="337" w:type="pct"/>
            <w:tcBorders>
              <w:top w:val="single" w:sz="2" w:space="0" w:color="auto"/>
              <w:left w:val="single" w:sz="12" w:space="0" w:color="auto"/>
              <w:bottom w:val="single" w:sz="2" w:space="0" w:color="auto"/>
              <w:right w:val="single" w:sz="12" w:space="0" w:color="auto"/>
            </w:tcBorders>
          </w:tcPr>
          <w:p w:rsidR="00E47414" w:rsidRDefault="00E47414">
            <w:pPr>
              <w:jc w:val="center"/>
              <w:rPr>
                <w:szCs w:val="21"/>
              </w:rPr>
            </w:pPr>
          </w:p>
        </w:tc>
        <w:tc>
          <w:tcPr>
            <w:tcW w:w="337" w:type="pct"/>
            <w:tcBorders>
              <w:top w:val="single" w:sz="2" w:space="0" w:color="auto"/>
              <w:left w:val="single" w:sz="12" w:space="0" w:color="auto"/>
              <w:bottom w:val="single" w:sz="2" w:space="0" w:color="auto"/>
              <w:right w:val="single" w:sz="12" w:space="0" w:color="auto"/>
            </w:tcBorders>
          </w:tcPr>
          <w:p w:rsidR="00E47414" w:rsidRDefault="00E47414">
            <w:pPr>
              <w:jc w:val="center"/>
              <w:rPr>
                <w:szCs w:val="21"/>
              </w:rPr>
            </w:pPr>
          </w:p>
        </w:tc>
        <w:tc>
          <w:tcPr>
            <w:tcW w:w="430" w:type="pct"/>
            <w:tcBorders>
              <w:top w:val="single" w:sz="2" w:space="0" w:color="auto"/>
              <w:left w:val="single" w:sz="12" w:space="0" w:color="auto"/>
              <w:bottom w:val="single" w:sz="2" w:space="0" w:color="auto"/>
              <w:right w:val="single" w:sz="12" w:space="0" w:color="auto"/>
            </w:tcBorders>
          </w:tcPr>
          <w:p w:rsidR="00E47414" w:rsidRDefault="00E47414">
            <w:pPr>
              <w:jc w:val="center"/>
              <w:rPr>
                <w:szCs w:val="21"/>
              </w:rPr>
            </w:pPr>
          </w:p>
        </w:tc>
        <w:tc>
          <w:tcPr>
            <w:tcW w:w="310" w:type="pct"/>
            <w:tcBorders>
              <w:top w:val="single" w:sz="2" w:space="0" w:color="auto"/>
              <w:left w:val="single" w:sz="12" w:space="0" w:color="auto"/>
              <w:bottom w:val="single" w:sz="2" w:space="0" w:color="auto"/>
              <w:right w:val="single" w:sz="12" w:space="0" w:color="auto"/>
            </w:tcBorders>
            <w:vAlign w:val="center"/>
          </w:tcPr>
          <w:p w:rsidR="00E47414" w:rsidRDefault="00E47414" w:rsidP="007B7D25">
            <w:pPr>
              <w:jc w:val="center"/>
              <w:rPr>
                <w:szCs w:val="21"/>
              </w:rPr>
            </w:pPr>
            <w:r>
              <w:rPr>
                <w:szCs w:val="21"/>
              </w:rPr>
              <w:t>X</w:t>
            </w:r>
          </w:p>
        </w:tc>
        <w:tc>
          <w:tcPr>
            <w:tcW w:w="271" w:type="pct"/>
            <w:tcBorders>
              <w:top w:val="single" w:sz="2" w:space="0" w:color="auto"/>
              <w:left w:val="single" w:sz="12" w:space="0" w:color="auto"/>
              <w:bottom w:val="single" w:sz="2" w:space="0" w:color="auto"/>
              <w:right w:val="single" w:sz="2" w:space="0" w:color="auto"/>
            </w:tcBorders>
            <w:vAlign w:val="center"/>
          </w:tcPr>
          <w:p w:rsidR="00E47414" w:rsidRDefault="00E47414" w:rsidP="007B7D25">
            <w:pPr>
              <w:jc w:val="center"/>
              <w:rPr>
                <w:szCs w:val="21"/>
              </w:rPr>
            </w:pPr>
          </w:p>
        </w:tc>
        <w:tc>
          <w:tcPr>
            <w:tcW w:w="290" w:type="pct"/>
            <w:tcBorders>
              <w:top w:val="single" w:sz="2" w:space="0" w:color="auto"/>
              <w:left w:val="single" w:sz="2" w:space="0" w:color="auto"/>
              <w:bottom w:val="single" w:sz="2" w:space="0" w:color="auto"/>
              <w:right w:val="single" w:sz="2" w:space="0" w:color="auto"/>
            </w:tcBorders>
            <w:vAlign w:val="center"/>
          </w:tcPr>
          <w:p w:rsidR="00E47414" w:rsidRDefault="00E47414" w:rsidP="007B7D25">
            <w:pPr>
              <w:jc w:val="center"/>
              <w:rPr>
                <w:szCs w:val="21"/>
              </w:rPr>
            </w:pPr>
          </w:p>
        </w:tc>
        <w:tc>
          <w:tcPr>
            <w:tcW w:w="276" w:type="pct"/>
            <w:tcBorders>
              <w:top w:val="single" w:sz="2" w:space="0" w:color="auto"/>
              <w:left w:val="single" w:sz="2" w:space="0" w:color="auto"/>
              <w:bottom w:val="single" w:sz="2" w:space="0" w:color="auto"/>
              <w:right w:val="single" w:sz="2" w:space="0" w:color="auto"/>
            </w:tcBorders>
          </w:tcPr>
          <w:p w:rsidR="00E47414" w:rsidRDefault="00E47414" w:rsidP="007B7D25">
            <w:pPr>
              <w:jc w:val="center"/>
              <w:rPr>
                <w:szCs w:val="21"/>
              </w:rPr>
            </w:pPr>
          </w:p>
        </w:tc>
        <w:tc>
          <w:tcPr>
            <w:tcW w:w="292" w:type="pct"/>
            <w:tcBorders>
              <w:top w:val="single" w:sz="2" w:space="0" w:color="auto"/>
              <w:left w:val="single" w:sz="2" w:space="0" w:color="auto"/>
              <w:bottom w:val="single" w:sz="2" w:space="0" w:color="auto"/>
              <w:right w:val="single" w:sz="2" w:space="0" w:color="auto"/>
            </w:tcBorders>
          </w:tcPr>
          <w:p w:rsidR="00E47414" w:rsidRDefault="00E47414">
            <w:pPr>
              <w:jc w:val="center"/>
              <w:rPr>
                <w:szCs w:val="21"/>
              </w:rPr>
            </w:pPr>
          </w:p>
        </w:tc>
      </w:tr>
      <w:tr w:rsidR="004E5152" w:rsidTr="004E5152">
        <w:trPr>
          <w:trHeight w:hRule="exact" w:val="406"/>
          <w:jc w:val="center"/>
        </w:trPr>
        <w:tc>
          <w:tcPr>
            <w:tcW w:w="1070" w:type="pct"/>
            <w:tcBorders>
              <w:top w:val="single" w:sz="4" w:space="0" w:color="auto"/>
              <w:left w:val="single" w:sz="4" w:space="0" w:color="auto"/>
              <w:bottom w:val="single" w:sz="4" w:space="0" w:color="auto"/>
              <w:right w:val="single" w:sz="4" w:space="0" w:color="auto"/>
            </w:tcBorders>
            <w:vAlign w:val="center"/>
            <w:hideMark/>
          </w:tcPr>
          <w:p w:rsidR="004E5152" w:rsidRDefault="004E5152" w:rsidP="00E47414">
            <w:pPr>
              <w:rPr>
                <w:szCs w:val="21"/>
              </w:rPr>
            </w:pPr>
            <w:r>
              <w:rPr>
                <w:rFonts w:hint="eastAsia"/>
                <w:szCs w:val="21"/>
              </w:rPr>
              <w:t>生命体征监测</w:t>
            </w:r>
          </w:p>
        </w:tc>
        <w:tc>
          <w:tcPr>
            <w:tcW w:w="457" w:type="pct"/>
            <w:tcBorders>
              <w:top w:val="single" w:sz="4" w:space="0" w:color="auto"/>
              <w:left w:val="nil"/>
              <w:bottom w:val="single" w:sz="4" w:space="0" w:color="auto"/>
              <w:right w:val="single" w:sz="12" w:space="0" w:color="auto"/>
            </w:tcBorders>
            <w:vAlign w:val="center"/>
          </w:tcPr>
          <w:p w:rsidR="004E5152" w:rsidRDefault="004E5152">
            <w:pPr>
              <w:jc w:val="center"/>
              <w:rPr>
                <w:szCs w:val="21"/>
              </w:rPr>
            </w:pPr>
          </w:p>
        </w:tc>
        <w:tc>
          <w:tcPr>
            <w:tcW w:w="307" w:type="pct"/>
            <w:tcBorders>
              <w:top w:val="single" w:sz="4" w:space="0" w:color="auto"/>
              <w:left w:val="single" w:sz="12" w:space="0" w:color="auto"/>
              <w:bottom w:val="single" w:sz="4" w:space="0" w:color="auto"/>
              <w:right w:val="single" w:sz="4" w:space="0" w:color="auto"/>
            </w:tcBorders>
            <w:vAlign w:val="center"/>
          </w:tcPr>
          <w:p w:rsidR="004E5152" w:rsidRDefault="004E5152">
            <w:pPr>
              <w:jc w:val="center"/>
              <w:rPr>
                <w:szCs w:val="21"/>
              </w:rPr>
            </w:pPr>
          </w:p>
        </w:tc>
        <w:tc>
          <w:tcPr>
            <w:tcW w:w="323" w:type="pct"/>
            <w:tcBorders>
              <w:top w:val="single" w:sz="4" w:space="0" w:color="auto"/>
              <w:left w:val="single" w:sz="4" w:space="0" w:color="auto"/>
              <w:bottom w:val="single" w:sz="4" w:space="0" w:color="auto"/>
              <w:right w:val="single" w:sz="4" w:space="0" w:color="auto"/>
            </w:tcBorders>
            <w:vAlign w:val="center"/>
            <w:hideMark/>
          </w:tcPr>
          <w:p w:rsidR="004E5152" w:rsidRDefault="004E5152">
            <w:pPr>
              <w:jc w:val="center"/>
              <w:rPr>
                <w:szCs w:val="21"/>
              </w:rPr>
            </w:pPr>
            <w:r>
              <w:rPr>
                <w:szCs w:val="21"/>
              </w:rPr>
              <w:t>X</w:t>
            </w:r>
          </w:p>
        </w:tc>
        <w:tc>
          <w:tcPr>
            <w:tcW w:w="301" w:type="pct"/>
            <w:tcBorders>
              <w:top w:val="single" w:sz="4" w:space="0" w:color="auto"/>
              <w:left w:val="single" w:sz="4" w:space="0" w:color="auto"/>
              <w:bottom w:val="single" w:sz="4" w:space="0" w:color="auto"/>
              <w:right w:val="single" w:sz="12" w:space="0" w:color="auto"/>
            </w:tcBorders>
            <w:vAlign w:val="center"/>
            <w:hideMark/>
          </w:tcPr>
          <w:p w:rsidR="004E5152" w:rsidRDefault="004E5152">
            <w:pPr>
              <w:jc w:val="center"/>
              <w:rPr>
                <w:szCs w:val="21"/>
              </w:rPr>
            </w:pPr>
            <w:r>
              <w:rPr>
                <w:szCs w:val="21"/>
              </w:rPr>
              <w:t>X</w:t>
            </w:r>
          </w:p>
        </w:tc>
        <w:tc>
          <w:tcPr>
            <w:tcW w:w="337" w:type="pct"/>
            <w:tcBorders>
              <w:top w:val="single" w:sz="2" w:space="0" w:color="auto"/>
              <w:left w:val="single" w:sz="12" w:space="0" w:color="auto"/>
              <w:bottom w:val="single" w:sz="2" w:space="0" w:color="auto"/>
              <w:right w:val="single" w:sz="12" w:space="0" w:color="auto"/>
            </w:tcBorders>
            <w:vAlign w:val="center"/>
          </w:tcPr>
          <w:p w:rsidR="004E5152" w:rsidRDefault="004E5152" w:rsidP="007B7D25">
            <w:pPr>
              <w:jc w:val="center"/>
              <w:rPr>
                <w:szCs w:val="21"/>
              </w:rPr>
            </w:pPr>
            <w:r>
              <w:rPr>
                <w:szCs w:val="21"/>
              </w:rPr>
              <w:t>X</w:t>
            </w:r>
          </w:p>
        </w:tc>
        <w:tc>
          <w:tcPr>
            <w:tcW w:w="337" w:type="pct"/>
            <w:tcBorders>
              <w:top w:val="single" w:sz="2" w:space="0" w:color="auto"/>
              <w:left w:val="single" w:sz="12" w:space="0" w:color="auto"/>
              <w:bottom w:val="single" w:sz="2" w:space="0" w:color="auto"/>
              <w:right w:val="single" w:sz="12" w:space="0" w:color="auto"/>
            </w:tcBorders>
            <w:vAlign w:val="center"/>
          </w:tcPr>
          <w:p w:rsidR="004E5152" w:rsidRDefault="004E5152" w:rsidP="007B7D25">
            <w:pPr>
              <w:jc w:val="center"/>
              <w:rPr>
                <w:szCs w:val="21"/>
              </w:rPr>
            </w:pPr>
            <w:r>
              <w:rPr>
                <w:szCs w:val="21"/>
              </w:rPr>
              <w:t>X</w:t>
            </w:r>
          </w:p>
        </w:tc>
        <w:tc>
          <w:tcPr>
            <w:tcW w:w="430" w:type="pct"/>
            <w:tcBorders>
              <w:top w:val="single" w:sz="2" w:space="0" w:color="auto"/>
              <w:left w:val="single" w:sz="12" w:space="0" w:color="auto"/>
              <w:bottom w:val="single" w:sz="2" w:space="0" w:color="auto"/>
              <w:right w:val="single" w:sz="12" w:space="0" w:color="auto"/>
            </w:tcBorders>
          </w:tcPr>
          <w:p w:rsidR="004E5152" w:rsidRDefault="004E5152">
            <w:pPr>
              <w:jc w:val="center"/>
              <w:rPr>
                <w:szCs w:val="21"/>
              </w:rPr>
            </w:pPr>
          </w:p>
        </w:tc>
        <w:tc>
          <w:tcPr>
            <w:tcW w:w="310" w:type="pct"/>
            <w:tcBorders>
              <w:top w:val="single" w:sz="2" w:space="0" w:color="auto"/>
              <w:left w:val="single" w:sz="12" w:space="0" w:color="auto"/>
              <w:bottom w:val="single" w:sz="2" w:space="0" w:color="auto"/>
              <w:right w:val="single" w:sz="12" w:space="0" w:color="auto"/>
            </w:tcBorders>
            <w:vAlign w:val="center"/>
          </w:tcPr>
          <w:p w:rsidR="004E5152" w:rsidRDefault="004E5152" w:rsidP="007B7D25">
            <w:pPr>
              <w:jc w:val="center"/>
              <w:rPr>
                <w:szCs w:val="21"/>
              </w:rPr>
            </w:pPr>
          </w:p>
        </w:tc>
        <w:tc>
          <w:tcPr>
            <w:tcW w:w="271" w:type="pct"/>
            <w:tcBorders>
              <w:top w:val="single" w:sz="2" w:space="0" w:color="auto"/>
              <w:left w:val="single" w:sz="12" w:space="0" w:color="auto"/>
              <w:bottom w:val="single" w:sz="2" w:space="0" w:color="auto"/>
              <w:right w:val="single" w:sz="2" w:space="0" w:color="auto"/>
            </w:tcBorders>
            <w:vAlign w:val="center"/>
          </w:tcPr>
          <w:p w:rsidR="004E5152" w:rsidRDefault="004E5152" w:rsidP="007B7D25">
            <w:pPr>
              <w:jc w:val="center"/>
              <w:rPr>
                <w:szCs w:val="21"/>
              </w:rPr>
            </w:pPr>
            <w:r>
              <w:rPr>
                <w:szCs w:val="21"/>
              </w:rPr>
              <w:t>X</w:t>
            </w:r>
          </w:p>
        </w:tc>
        <w:tc>
          <w:tcPr>
            <w:tcW w:w="290" w:type="pct"/>
            <w:tcBorders>
              <w:top w:val="single" w:sz="2" w:space="0" w:color="auto"/>
              <w:left w:val="single" w:sz="2" w:space="0" w:color="auto"/>
              <w:bottom w:val="single" w:sz="2" w:space="0" w:color="auto"/>
              <w:right w:val="single" w:sz="2" w:space="0" w:color="auto"/>
            </w:tcBorders>
            <w:vAlign w:val="center"/>
          </w:tcPr>
          <w:p w:rsidR="004E5152" w:rsidRDefault="004E5152" w:rsidP="007B7D25">
            <w:pPr>
              <w:jc w:val="center"/>
              <w:rPr>
                <w:szCs w:val="21"/>
              </w:rPr>
            </w:pPr>
            <w:r>
              <w:rPr>
                <w:szCs w:val="21"/>
              </w:rPr>
              <w:t>X</w:t>
            </w:r>
          </w:p>
        </w:tc>
        <w:tc>
          <w:tcPr>
            <w:tcW w:w="276" w:type="pct"/>
            <w:tcBorders>
              <w:top w:val="single" w:sz="2" w:space="0" w:color="auto"/>
              <w:left w:val="single" w:sz="2" w:space="0" w:color="auto"/>
              <w:bottom w:val="single" w:sz="2" w:space="0" w:color="auto"/>
              <w:right w:val="single" w:sz="2" w:space="0" w:color="auto"/>
            </w:tcBorders>
            <w:vAlign w:val="center"/>
          </w:tcPr>
          <w:p w:rsidR="004E5152" w:rsidRDefault="004E5152" w:rsidP="007B7D25">
            <w:pPr>
              <w:jc w:val="center"/>
              <w:rPr>
                <w:szCs w:val="21"/>
              </w:rPr>
            </w:pPr>
            <w:r>
              <w:rPr>
                <w:szCs w:val="21"/>
              </w:rPr>
              <w:t>X</w:t>
            </w:r>
          </w:p>
        </w:tc>
        <w:tc>
          <w:tcPr>
            <w:tcW w:w="292" w:type="pct"/>
            <w:tcBorders>
              <w:top w:val="single" w:sz="2" w:space="0" w:color="auto"/>
              <w:left w:val="single" w:sz="2" w:space="0" w:color="auto"/>
              <w:bottom w:val="single" w:sz="2" w:space="0" w:color="auto"/>
              <w:right w:val="single" w:sz="2" w:space="0" w:color="auto"/>
            </w:tcBorders>
            <w:vAlign w:val="center"/>
          </w:tcPr>
          <w:p w:rsidR="004E5152" w:rsidRDefault="004E5152" w:rsidP="007B7D25">
            <w:pPr>
              <w:jc w:val="center"/>
              <w:rPr>
                <w:szCs w:val="21"/>
              </w:rPr>
            </w:pPr>
            <w:r>
              <w:rPr>
                <w:szCs w:val="21"/>
              </w:rPr>
              <w:t>X</w:t>
            </w:r>
          </w:p>
        </w:tc>
      </w:tr>
      <w:tr w:rsidR="004E5152" w:rsidTr="004E5152">
        <w:trPr>
          <w:trHeight w:hRule="exact" w:val="406"/>
          <w:jc w:val="center"/>
        </w:trPr>
        <w:tc>
          <w:tcPr>
            <w:tcW w:w="1070" w:type="pct"/>
            <w:tcBorders>
              <w:top w:val="nil"/>
              <w:left w:val="single" w:sz="4" w:space="0" w:color="auto"/>
              <w:bottom w:val="single" w:sz="4" w:space="0" w:color="auto"/>
              <w:right w:val="single" w:sz="4" w:space="0" w:color="auto"/>
            </w:tcBorders>
            <w:vAlign w:val="center"/>
            <w:hideMark/>
          </w:tcPr>
          <w:p w:rsidR="004E5152" w:rsidRDefault="004E5152">
            <w:pPr>
              <w:rPr>
                <w:szCs w:val="21"/>
              </w:rPr>
            </w:pPr>
            <w:r>
              <w:rPr>
                <w:rFonts w:hint="eastAsia"/>
                <w:szCs w:val="21"/>
              </w:rPr>
              <w:t>采集血样</w:t>
            </w:r>
          </w:p>
        </w:tc>
        <w:tc>
          <w:tcPr>
            <w:tcW w:w="457" w:type="pct"/>
            <w:tcBorders>
              <w:top w:val="nil"/>
              <w:left w:val="nil"/>
              <w:bottom w:val="single" w:sz="4" w:space="0" w:color="auto"/>
              <w:right w:val="single" w:sz="12" w:space="0" w:color="auto"/>
            </w:tcBorders>
            <w:vAlign w:val="center"/>
          </w:tcPr>
          <w:p w:rsidR="004E5152" w:rsidRDefault="004E5152">
            <w:pPr>
              <w:jc w:val="center"/>
              <w:rPr>
                <w:szCs w:val="21"/>
              </w:rPr>
            </w:pPr>
          </w:p>
        </w:tc>
        <w:tc>
          <w:tcPr>
            <w:tcW w:w="307" w:type="pct"/>
            <w:tcBorders>
              <w:top w:val="single" w:sz="4" w:space="0" w:color="auto"/>
              <w:left w:val="single" w:sz="12" w:space="0" w:color="auto"/>
              <w:bottom w:val="single" w:sz="4" w:space="0" w:color="auto"/>
              <w:right w:val="single" w:sz="4" w:space="0" w:color="auto"/>
            </w:tcBorders>
            <w:vAlign w:val="center"/>
          </w:tcPr>
          <w:p w:rsidR="004E5152" w:rsidRDefault="004E5152">
            <w:pPr>
              <w:jc w:val="center"/>
              <w:rPr>
                <w:szCs w:val="21"/>
              </w:rPr>
            </w:pPr>
          </w:p>
        </w:tc>
        <w:tc>
          <w:tcPr>
            <w:tcW w:w="323" w:type="pct"/>
            <w:tcBorders>
              <w:top w:val="single" w:sz="4" w:space="0" w:color="auto"/>
              <w:left w:val="single" w:sz="4" w:space="0" w:color="auto"/>
              <w:bottom w:val="single" w:sz="4" w:space="0" w:color="auto"/>
              <w:right w:val="single" w:sz="4" w:space="0" w:color="auto"/>
            </w:tcBorders>
            <w:vAlign w:val="center"/>
            <w:hideMark/>
          </w:tcPr>
          <w:p w:rsidR="004E5152" w:rsidRDefault="004E5152">
            <w:pPr>
              <w:jc w:val="center"/>
              <w:rPr>
                <w:szCs w:val="21"/>
              </w:rPr>
            </w:pPr>
            <w:r>
              <w:rPr>
                <w:szCs w:val="21"/>
              </w:rPr>
              <w:t>X</w:t>
            </w:r>
          </w:p>
        </w:tc>
        <w:tc>
          <w:tcPr>
            <w:tcW w:w="301" w:type="pct"/>
            <w:tcBorders>
              <w:top w:val="nil"/>
              <w:left w:val="single" w:sz="4" w:space="0" w:color="auto"/>
              <w:bottom w:val="single" w:sz="4" w:space="0" w:color="auto"/>
              <w:right w:val="single" w:sz="12" w:space="0" w:color="auto"/>
            </w:tcBorders>
            <w:vAlign w:val="center"/>
            <w:hideMark/>
          </w:tcPr>
          <w:p w:rsidR="004E5152" w:rsidRDefault="004E5152">
            <w:pPr>
              <w:jc w:val="center"/>
              <w:rPr>
                <w:szCs w:val="21"/>
              </w:rPr>
            </w:pPr>
            <w:r>
              <w:rPr>
                <w:szCs w:val="21"/>
              </w:rPr>
              <w:t>X</w:t>
            </w:r>
          </w:p>
        </w:tc>
        <w:tc>
          <w:tcPr>
            <w:tcW w:w="337" w:type="pct"/>
            <w:tcBorders>
              <w:top w:val="single" w:sz="2" w:space="0" w:color="auto"/>
              <w:left w:val="single" w:sz="12" w:space="0" w:color="auto"/>
              <w:bottom w:val="single" w:sz="2" w:space="0" w:color="auto"/>
              <w:right w:val="single" w:sz="12" w:space="0" w:color="auto"/>
            </w:tcBorders>
            <w:vAlign w:val="center"/>
          </w:tcPr>
          <w:p w:rsidR="004E5152" w:rsidRDefault="004E5152" w:rsidP="007B7D25">
            <w:pPr>
              <w:jc w:val="center"/>
              <w:rPr>
                <w:szCs w:val="21"/>
              </w:rPr>
            </w:pPr>
            <w:r>
              <w:rPr>
                <w:szCs w:val="21"/>
              </w:rPr>
              <w:t>X</w:t>
            </w:r>
          </w:p>
        </w:tc>
        <w:tc>
          <w:tcPr>
            <w:tcW w:w="337" w:type="pct"/>
            <w:tcBorders>
              <w:top w:val="single" w:sz="2" w:space="0" w:color="auto"/>
              <w:left w:val="single" w:sz="12" w:space="0" w:color="auto"/>
              <w:bottom w:val="single" w:sz="2" w:space="0" w:color="auto"/>
              <w:right w:val="single" w:sz="12" w:space="0" w:color="auto"/>
            </w:tcBorders>
            <w:vAlign w:val="center"/>
          </w:tcPr>
          <w:p w:rsidR="004E5152" w:rsidRDefault="004E5152" w:rsidP="007B7D25">
            <w:pPr>
              <w:jc w:val="center"/>
              <w:rPr>
                <w:szCs w:val="21"/>
              </w:rPr>
            </w:pPr>
            <w:r>
              <w:rPr>
                <w:szCs w:val="21"/>
              </w:rPr>
              <w:t>X</w:t>
            </w:r>
          </w:p>
        </w:tc>
        <w:tc>
          <w:tcPr>
            <w:tcW w:w="430" w:type="pct"/>
            <w:tcBorders>
              <w:top w:val="single" w:sz="2" w:space="0" w:color="auto"/>
              <w:left w:val="single" w:sz="12" w:space="0" w:color="auto"/>
              <w:bottom w:val="single" w:sz="2" w:space="0" w:color="auto"/>
              <w:right w:val="single" w:sz="12" w:space="0" w:color="auto"/>
            </w:tcBorders>
          </w:tcPr>
          <w:p w:rsidR="004E5152" w:rsidRDefault="004E5152">
            <w:pPr>
              <w:jc w:val="center"/>
              <w:rPr>
                <w:szCs w:val="21"/>
              </w:rPr>
            </w:pPr>
          </w:p>
        </w:tc>
        <w:tc>
          <w:tcPr>
            <w:tcW w:w="310" w:type="pct"/>
            <w:tcBorders>
              <w:top w:val="single" w:sz="2" w:space="0" w:color="auto"/>
              <w:left w:val="single" w:sz="12" w:space="0" w:color="auto"/>
              <w:bottom w:val="single" w:sz="2" w:space="0" w:color="auto"/>
              <w:right w:val="single" w:sz="12" w:space="0" w:color="auto"/>
            </w:tcBorders>
            <w:vAlign w:val="center"/>
          </w:tcPr>
          <w:p w:rsidR="004E5152" w:rsidRDefault="004E5152" w:rsidP="007B7D25">
            <w:pPr>
              <w:jc w:val="center"/>
              <w:rPr>
                <w:szCs w:val="21"/>
              </w:rPr>
            </w:pPr>
          </w:p>
        </w:tc>
        <w:tc>
          <w:tcPr>
            <w:tcW w:w="271" w:type="pct"/>
            <w:tcBorders>
              <w:top w:val="single" w:sz="2" w:space="0" w:color="auto"/>
              <w:left w:val="single" w:sz="12" w:space="0" w:color="auto"/>
              <w:bottom w:val="single" w:sz="2" w:space="0" w:color="auto"/>
              <w:right w:val="single" w:sz="2" w:space="0" w:color="auto"/>
            </w:tcBorders>
            <w:vAlign w:val="center"/>
          </w:tcPr>
          <w:p w:rsidR="004E5152" w:rsidRDefault="004E5152" w:rsidP="007B7D25">
            <w:pPr>
              <w:jc w:val="center"/>
              <w:rPr>
                <w:szCs w:val="21"/>
              </w:rPr>
            </w:pPr>
            <w:r>
              <w:rPr>
                <w:szCs w:val="21"/>
              </w:rPr>
              <w:t>X</w:t>
            </w:r>
          </w:p>
        </w:tc>
        <w:tc>
          <w:tcPr>
            <w:tcW w:w="290" w:type="pct"/>
            <w:tcBorders>
              <w:top w:val="single" w:sz="2" w:space="0" w:color="auto"/>
              <w:left w:val="single" w:sz="2" w:space="0" w:color="auto"/>
              <w:bottom w:val="single" w:sz="2" w:space="0" w:color="auto"/>
              <w:right w:val="single" w:sz="2" w:space="0" w:color="auto"/>
            </w:tcBorders>
            <w:vAlign w:val="center"/>
          </w:tcPr>
          <w:p w:rsidR="004E5152" w:rsidRDefault="004E5152" w:rsidP="007B7D25">
            <w:pPr>
              <w:jc w:val="center"/>
              <w:rPr>
                <w:szCs w:val="21"/>
              </w:rPr>
            </w:pPr>
            <w:r>
              <w:rPr>
                <w:szCs w:val="21"/>
              </w:rPr>
              <w:t>X</w:t>
            </w:r>
          </w:p>
        </w:tc>
        <w:tc>
          <w:tcPr>
            <w:tcW w:w="276" w:type="pct"/>
            <w:tcBorders>
              <w:top w:val="single" w:sz="2" w:space="0" w:color="auto"/>
              <w:left w:val="single" w:sz="2" w:space="0" w:color="auto"/>
              <w:bottom w:val="single" w:sz="2" w:space="0" w:color="auto"/>
              <w:right w:val="single" w:sz="2" w:space="0" w:color="auto"/>
            </w:tcBorders>
            <w:vAlign w:val="center"/>
          </w:tcPr>
          <w:p w:rsidR="004E5152" w:rsidRDefault="004E5152" w:rsidP="007B7D25">
            <w:pPr>
              <w:jc w:val="center"/>
              <w:rPr>
                <w:szCs w:val="21"/>
              </w:rPr>
            </w:pPr>
            <w:r>
              <w:rPr>
                <w:szCs w:val="21"/>
              </w:rPr>
              <w:t>X</w:t>
            </w:r>
          </w:p>
        </w:tc>
        <w:tc>
          <w:tcPr>
            <w:tcW w:w="292" w:type="pct"/>
            <w:tcBorders>
              <w:top w:val="single" w:sz="2" w:space="0" w:color="auto"/>
              <w:left w:val="single" w:sz="2" w:space="0" w:color="auto"/>
              <w:bottom w:val="single" w:sz="2" w:space="0" w:color="auto"/>
              <w:right w:val="single" w:sz="2" w:space="0" w:color="auto"/>
            </w:tcBorders>
            <w:vAlign w:val="center"/>
          </w:tcPr>
          <w:p w:rsidR="004E5152" w:rsidRDefault="004E5152" w:rsidP="007B7D25">
            <w:pPr>
              <w:jc w:val="center"/>
              <w:rPr>
                <w:szCs w:val="21"/>
              </w:rPr>
            </w:pPr>
            <w:r>
              <w:rPr>
                <w:szCs w:val="21"/>
              </w:rPr>
              <w:t>X</w:t>
            </w:r>
          </w:p>
        </w:tc>
      </w:tr>
      <w:tr w:rsidR="004E5152" w:rsidTr="004E5152">
        <w:trPr>
          <w:trHeight w:hRule="exact" w:val="406"/>
          <w:jc w:val="center"/>
        </w:trPr>
        <w:tc>
          <w:tcPr>
            <w:tcW w:w="1070" w:type="pct"/>
            <w:tcBorders>
              <w:top w:val="single" w:sz="4" w:space="0" w:color="auto"/>
              <w:left w:val="single" w:sz="4" w:space="0" w:color="auto"/>
              <w:bottom w:val="single" w:sz="4" w:space="0" w:color="auto"/>
              <w:right w:val="single" w:sz="4" w:space="0" w:color="auto"/>
            </w:tcBorders>
            <w:vAlign w:val="center"/>
            <w:hideMark/>
          </w:tcPr>
          <w:p w:rsidR="00E47414" w:rsidRDefault="00E47414">
            <w:pPr>
              <w:rPr>
                <w:szCs w:val="21"/>
              </w:rPr>
            </w:pPr>
            <w:r>
              <w:rPr>
                <w:rFonts w:hint="eastAsia"/>
                <w:szCs w:val="21"/>
              </w:rPr>
              <w:t>给药</w:t>
            </w:r>
          </w:p>
        </w:tc>
        <w:tc>
          <w:tcPr>
            <w:tcW w:w="457" w:type="pct"/>
            <w:tcBorders>
              <w:top w:val="single" w:sz="4" w:space="0" w:color="auto"/>
              <w:left w:val="nil"/>
              <w:bottom w:val="single" w:sz="4" w:space="0" w:color="auto"/>
              <w:right w:val="single" w:sz="12" w:space="0" w:color="auto"/>
            </w:tcBorders>
            <w:vAlign w:val="center"/>
          </w:tcPr>
          <w:p w:rsidR="00E47414" w:rsidRDefault="00E47414">
            <w:pPr>
              <w:jc w:val="center"/>
              <w:rPr>
                <w:szCs w:val="21"/>
              </w:rPr>
            </w:pPr>
          </w:p>
        </w:tc>
        <w:tc>
          <w:tcPr>
            <w:tcW w:w="307" w:type="pct"/>
            <w:tcBorders>
              <w:top w:val="single" w:sz="4" w:space="0" w:color="auto"/>
              <w:left w:val="single" w:sz="12" w:space="0" w:color="auto"/>
              <w:bottom w:val="single" w:sz="4" w:space="0" w:color="auto"/>
              <w:right w:val="single" w:sz="4" w:space="0" w:color="auto"/>
            </w:tcBorders>
            <w:vAlign w:val="center"/>
          </w:tcPr>
          <w:p w:rsidR="00E47414" w:rsidRDefault="00E47414">
            <w:pPr>
              <w:jc w:val="center"/>
              <w:rPr>
                <w:szCs w:val="21"/>
              </w:rPr>
            </w:pPr>
          </w:p>
        </w:tc>
        <w:tc>
          <w:tcPr>
            <w:tcW w:w="323" w:type="pct"/>
            <w:tcBorders>
              <w:top w:val="single" w:sz="4" w:space="0" w:color="auto"/>
              <w:left w:val="single" w:sz="4" w:space="0" w:color="auto"/>
              <w:bottom w:val="single" w:sz="4" w:space="0" w:color="auto"/>
              <w:right w:val="single" w:sz="4" w:space="0" w:color="auto"/>
            </w:tcBorders>
            <w:vAlign w:val="center"/>
            <w:hideMark/>
          </w:tcPr>
          <w:p w:rsidR="00E47414" w:rsidRDefault="00E47414">
            <w:pPr>
              <w:jc w:val="center"/>
              <w:rPr>
                <w:szCs w:val="21"/>
              </w:rPr>
            </w:pPr>
            <w:r>
              <w:rPr>
                <w:szCs w:val="21"/>
              </w:rPr>
              <w:t>X</w:t>
            </w:r>
          </w:p>
        </w:tc>
        <w:tc>
          <w:tcPr>
            <w:tcW w:w="301" w:type="pct"/>
            <w:tcBorders>
              <w:top w:val="single" w:sz="4" w:space="0" w:color="auto"/>
              <w:left w:val="single" w:sz="4" w:space="0" w:color="auto"/>
              <w:bottom w:val="single" w:sz="4" w:space="0" w:color="auto"/>
              <w:right w:val="single" w:sz="12" w:space="0" w:color="auto"/>
            </w:tcBorders>
            <w:vAlign w:val="center"/>
          </w:tcPr>
          <w:p w:rsidR="00E47414" w:rsidRDefault="00E47414">
            <w:pPr>
              <w:jc w:val="center"/>
              <w:rPr>
                <w:szCs w:val="21"/>
              </w:rPr>
            </w:pPr>
          </w:p>
        </w:tc>
        <w:tc>
          <w:tcPr>
            <w:tcW w:w="337" w:type="pct"/>
            <w:tcBorders>
              <w:top w:val="single" w:sz="2" w:space="0" w:color="auto"/>
              <w:left w:val="single" w:sz="12" w:space="0" w:color="auto"/>
              <w:bottom w:val="single" w:sz="2" w:space="0" w:color="auto"/>
              <w:right w:val="single" w:sz="12" w:space="0" w:color="auto"/>
            </w:tcBorders>
          </w:tcPr>
          <w:p w:rsidR="00E47414" w:rsidRDefault="00E47414">
            <w:pPr>
              <w:jc w:val="center"/>
              <w:rPr>
                <w:szCs w:val="21"/>
              </w:rPr>
            </w:pPr>
          </w:p>
        </w:tc>
        <w:tc>
          <w:tcPr>
            <w:tcW w:w="337" w:type="pct"/>
            <w:tcBorders>
              <w:top w:val="single" w:sz="2" w:space="0" w:color="auto"/>
              <w:left w:val="single" w:sz="12" w:space="0" w:color="auto"/>
              <w:bottom w:val="single" w:sz="2" w:space="0" w:color="auto"/>
              <w:right w:val="single" w:sz="12" w:space="0" w:color="auto"/>
            </w:tcBorders>
          </w:tcPr>
          <w:p w:rsidR="00E47414" w:rsidRDefault="00E47414">
            <w:pPr>
              <w:jc w:val="center"/>
              <w:rPr>
                <w:szCs w:val="21"/>
              </w:rPr>
            </w:pPr>
          </w:p>
        </w:tc>
        <w:tc>
          <w:tcPr>
            <w:tcW w:w="430" w:type="pct"/>
            <w:tcBorders>
              <w:top w:val="single" w:sz="2" w:space="0" w:color="auto"/>
              <w:left w:val="single" w:sz="12" w:space="0" w:color="auto"/>
              <w:bottom w:val="single" w:sz="2" w:space="0" w:color="auto"/>
              <w:right w:val="single" w:sz="12" w:space="0" w:color="auto"/>
            </w:tcBorders>
          </w:tcPr>
          <w:p w:rsidR="00E47414" w:rsidRDefault="00E47414">
            <w:pPr>
              <w:jc w:val="center"/>
              <w:rPr>
                <w:szCs w:val="21"/>
              </w:rPr>
            </w:pPr>
          </w:p>
        </w:tc>
        <w:tc>
          <w:tcPr>
            <w:tcW w:w="310" w:type="pct"/>
            <w:tcBorders>
              <w:top w:val="single" w:sz="2" w:space="0" w:color="auto"/>
              <w:left w:val="single" w:sz="12" w:space="0" w:color="auto"/>
              <w:bottom w:val="single" w:sz="2" w:space="0" w:color="auto"/>
              <w:right w:val="single" w:sz="12" w:space="0" w:color="auto"/>
            </w:tcBorders>
            <w:vAlign w:val="center"/>
          </w:tcPr>
          <w:p w:rsidR="00E47414" w:rsidRDefault="00E47414" w:rsidP="007B7D25">
            <w:pPr>
              <w:jc w:val="center"/>
              <w:rPr>
                <w:szCs w:val="21"/>
              </w:rPr>
            </w:pPr>
          </w:p>
        </w:tc>
        <w:tc>
          <w:tcPr>
            <w:tcW w:w="271" w:type="pct"/>
            <w:tcBorders>
              <w:top w:val="single" w:sz="2" w:space="0" w:color="auto"/>
              <w:left w:val="single" w:sz="12" w:space="0" w:color="auto"/>
              <w:bottom w:val="single" w:sz="2" w:space="0" w:color="auto"/>
              <w:right w:val="single" w:sz="2" w:space="0" w:color="auto"/>
            </w:tcBorders>
            <w:vAlign w:val="center"/>
          </w:tcPr>
          <w:p w:rsidR="00E47414" w:rsidRDefault="00E47414" w:rsidP="007B7D25">
            <w:pPr>
              <w:jc w:val="center"/>
              <w:rPr>
                <w:szCs w:val="21"/>
              </w:rPr>
            </w:pPr>
            <w:r>
              <w:rPr>
                <w:szCs w:val="21"/>
              </w:rPr>
              <w:t>X</w:t>
            </w:r>
          </w:p>
        </w:tc>
        <w:tc>
          <w:tcPr>
            <w:tcW w:w="290" w:type="pct"/>
            <w:tcBorders>
              <w:top w:val="single" w:sz="2" w:space="0" w:color="auto"/>
              <w:left w:val="single" w:sz="2" w:space="0" w:color="auto"/>
              <w:bottom w:val="single" w:sz="2" w:space="0" w:color="auto"/>
              <w:right w:val="single" w:sz="2" w:space="0" w:color="auto"/>
            </w:tcBorders>
            <w:vAlign w:val="center"/>
          </w:tcPr>
          <w:p w:rsidR="00E47414" w:rsidRDefault="00E47414" w:rsidP="007B7D25">
            <w:pPr>
              <w:jc w:val="center"/>
              <w:rPr>
                <w:szCs w:val="21"/>
              </w:rPr>
            </w:pPr>
          </w:p>
        </w:tc>
        <w:tc>
          <w:tcPr>
            <w:tcW w:w="276" w:type="pct"/>
            <w:tcBorders>
              <w:top w:val="single" w:sz="2" w:space="0" w:color="auto"/>
              <w:left w:val="single" w:sz="2" w:space="0" w:color="auto"/>
              <w:bottom w:val="single" w:sz="2" w:space="0" w:color="auto"/>
              <w:right w:val="single" w:sz="2" w:space="0" w:color="auto"/>
            </w:tcBorders>
          </w:tcPr>
          <w:p w:rsidR="00E47414" w:rsidRDefault="00E47414" w:rsidP="007B7D25">
            <w:pPr>
              <w:jc w:val="center"/>
              <w:rPr>
                <w:szCs w:val="21"/>
              </w:rPr>
            </w:pPr>
          </w:p>
        </w:tc>
        <w:tc>
          <w:tcPr>
            <w:tcW w:w="292" w:type="pct"/>
            <w:tcBorders>
              <w:top w:val="single" w:sz="2" w:space="0" w:color="auto"/>
              <w:left w:val="single" w:sz="2" w:space="0" w:color="auto"/>
              <w:bottom w:val="single" w:sz="2" w:space="0" w:color="auto"/>
              <w:right w:val="single" w:sz="2" w:space="0" w:color="auto"/>
            </w:tcBorders>
          </w:tcPr>
          <w:p w:rsidR="00E47414" w:rsidRDefault="00E47414">
            <w:pPr>
              <w:jc w:val="center"/>
              <w:rPr>
                <w:szCs w:val="21"/>
              </w:rPr>
            </w:pPr>
          </w:p>
        </w:tc>
      </w:tr>
      <w:tr w:rsidR="004E5152" w:rsidTr="004E5152">
        <w:trPr>
          <w:trHeight w:hRule="exact" w:val="406"/>
          <w:jc w:val="center"/>
        </w:trPr>
        <w:tc>
          <w:tcPr>
            <w:tcW w:w="1070" w:type="pct"/>
            <w:tcBorders>
              <w:top w:val="nil"/>
              <w:left w:val="single" w:sz="4" w:space="0" w:color="auto"/>
              <w:bottom w:val="single" w:sz="4" w:space="0" w:color="auto"/>
              <w:right w:val="single" w:sz="4" w:space="0" w:color="auto"/>
            </w:tcBorders>
            <w:vAlign w:val="center"/>
            <w:hideMark/>
          </w:tcPr>
          <w:p w:rsidR="004E5152" w:rsidRDefault="004E5152">
            <w:pPr>
              <w:rPr>
                <w:szCs w:val="21"/>
              </w:rPr>
            </w:pPr>
            <w:r>
              <w:rPr>
                <w:rFonts w:hint="eastAsia"/>
                <w:szCs w:val="21"/>
              </w:rPr>
              <w:t>离开试验病房</w:t>
            </w:r>
          </w:p>
        </w:tc>
        <w:tc>
          <w:tcPr>
            <w:tcW w:w="457" w:type="pct"/>
            <w:tcBorders>
              <w:top w:val="nil"/>
              <w:left w:val="nil"/>
              <w:bottom w:val="single" w:sz="4" w:space="0" w:color="auto"/>
              <w:right w:val="single" w:sz="12" w:space="0" w:color="auto"/>
            </w:tcBorders>
            <w:vAlign w:val="center"/>
          </w:tcPr>
          <w:p w:rsidR="004E5152" w:rsidRDefault="004E5152">
            <w:pPr>
              <w:jc w:val="center"/>
              <w:rPr>
                <w:szCs w:val="21"/>
              </w:rPr>
            </w:pPr>
          </w:p>
        </w:tc>
        <w:tc>
          <w:tcPr>
            <w:tcW w:w="307" w:type="pct"/>
            <w:tcBorders>
              <w:top w:val="single" w:sz="4" w:space="0" w:color="auto"/>
              <w:left w:val="single" w:sz="12" w:space="0" w:color="auto"/>
              <w:bottom w:val="single" w:sz="4" w:space="0" w:color="auto"/>
              <w:right w:val="single" w:sz="4" w:space="0" w:color="auto"/>
            </w:tcBorders>
            <w:vAlign w:val="center"/>
          </w:tcPr>
          <w:p w:rsidR="004E5152" w:rsidRDefault="004E5152">
            <w:pPr>
              <w:jc w:val="center"/>
              <w:rPr>
                <w:szCs w:val="21"/>
              </w:rPr>
            </w:pPr>
          </w:p>
        </w:tc>
        <w:tc>
          <w:tcPr>
            <w:tcW w:w="323" w:type="pct"/>
            <w:tcBorders>
              <w:top w:val="single" w:sz="4" w:space="0" w:color="auto"/>
              <w:left w:val="single" w:sz="4" w:space="0" w:color="auto"/>
              <w:bottom w:val="single" w:sz="4" w:space="0" w:color="auto"/>
              <w:right w:val="single" w:sz="4" w:space="0" w:color="auto"/>
            </w:tcBorders>
            <w:vAlign w:val="center"/>
          </w:tcPr>
          <w:p w:rsidR="004E5152" w:rsidRDefault="004E5152">
            <w:pPr>
              <w:jc w:val="center"/>
              <w:rPr>
                <w:szCs w:val="21"/>
              </w:rPr>
            </w:pPr>
          </w:p>
        </w:tc>
        <w:tc>
          <w:tcPr>
            <w:tcW w:w="301" w:type="pct"/>
            <w:tcBorders>
              <w:top w:val="nil"/>
              <w:left w:val="single" w:sz="4" w:space="0" w:color="auto"/>
              <w:bottom w:val="single" w:sz="4" w:space="0" w:color="auto"/>
              <w:right w:val="single" w:sz="12" w:space="0" w:color="auto"/>
            </w:tcBorders>
            <w:vAlign w:val="center"/>
          </w:tcPr>
          <w:p w:rsidR="004E5152" w:rsidRDefault="004E5152">
            <w:pPr>
              <w:jc w:val="center"/>
              <w:rPr>
                <w:szCs w:val="21"/>
              </w:rPr>
            </w:pPr>
          </w:p>
        </w:tc>
        <w:tc>
          <w:tcPr>
            <w:tcW w:w="337" w:type="pct"/>
            <w:tcBorders>
              <w:top w:val="single" w:sz="2" w:space="0" w:color="auto"/>
              <w:left w:val="single" w:sz="12" w:space="0" w:color="auto"/>
              <w:bottom w:val="single" w:sz="2" w:space="0" w:color="auto"/>
              <w:right w:val="single" w:sz="12" w:space="0" w:color="auto"/>
            </w:tcBorders>
          </w:tcPr>
          <w:p w:rsidR="004E5152" w:rsidRDefault="004E5152">
            <w:pPr>
              <w:jc w:val="center"/>
              <w:rPr>
                <w:szCs w:val="21"/>
              </w:rPr>
            </w:pPr>
          </w:p>
        </w:tc>
        <w:tc>
          <w:tcPr>
            <w:tcW w:w="337" w:type="pct"/>
            <w:tcBorders>
              <w:top w:val="single" w:sz="2" w:space="0" w:color="auto"/>
              <w:left w:val="single" w:sz="12" w:space="0" w:color="auto"/>
              <w:bottom w:val="single" w:sz="2" w:space="0" w:color="auto"/>
              <w:right w:val="single" w:sz="12" w:space="0" w:color="auto"/>
            </w:tcBorders>
          </w:tcPr>
          <w:p w:rsidR="004E5152" w:rsidRDefault="004E5152" w:rsidP="007B7D25">
            <w:pPr>
              <w:jc w:val="center"/>
              <w:rPr>
                <w:szCs w:val="21"/>
              </w:rPr>
            </w:pPr>
            <w:r>
              <w:rPr>
                <w:szCs w:val="21"/>
              </w:rPr>
              <w:t>X</w:t>
            </w:r>
          </w:p>
        </w:tc>
        <w:tc>
          <w:tcPr>
            <w:tcW w:w="430" w:type="pct"/>
            <w:tcBorders>
              <w:top w:val="single" w:sz="2" w:space="0" w:color="auto"/>
              <w:left w:val="single" w:sz="12" w:space="0" w:color="auto"/>
              <w:bottom w:val="single" w:sz="2" w:space="0" w:color="auto"/>
              <w:right w:val="single" w:sz="12" w:space="0" w:color="auto"/>
            </w:tcBorders>
          </w:tcPr>
          <w:p w:rsidR="004E5152" w:rsidRDefault="004E5152">
            <w:pPr>
              <w:jc w:val="center"/>
              <w:rPr>
                <w:szCs w:val="21"/>
              </w:rPr>
            </w:pPr>
          </w:p>
        </w:tc>
        <w:tc>
          <w:tcPr>
            <w:tcW w:w="310" w:type="pct"/>
            <w:tcBorders>
              <w:top w:val="single" w:sz="2" w:space="0" w:color="auto"/>
              <w:left w:val="single" w:sz="12" w:space="0" w:color="auto"/>
              <w:bottom w:val="single" w:sz="2" w:space="0" w:color="auto"/>
              <w:right w:val="single" w:sz="12" w:space="0" w:color="auto"/>
            </w:tcBorders>
            <w:vAlign w:val="center"/>
          </w:tcPr>
          <w:p w:rsidR="004E5152" w:rsidRDefault="004E5152" w:rsidP="007B7D25">
            <w:pPr>
              <w:jc w:val="center"/>
              <w:rPr>
                <w:szCs w:val="21"/>
              </w:rPr>
            </w:pPr>
          </w:p>
        </w:tc>
        <w:tc>
          <w:tcPr>
            <w:tcW w:w="271" w:type="pct"/>
            <w:tcBorders>
              <w:top w:val="single" w:sz="2" w:space="0" w:color="auto"/>
              <w:left w:val="single" w:sz="12" w:space="0" w:color="auto"/>
              <w:bottom w:val="single" w:sz="2" w:space="0" w:color="auto"/>
              <w:right w:val="single" w:sz="2" w:space="0" w:color="auto"/>
            </w:tcBorders>
            <w:vAlign w:val="center"/>
          </w:tcPr>
          <w:p w:rsidR="004E5152" w:rsidRDefault="004E5152" w:rsidP="007B7D25">
            <w:pPr>
              <w:jc w:val="center"/>
              <w:rPr>
                <w:szCs w:val="21"/>
              </w:rPr>
            </w:pPr>
          </w:p>
        </w:tc>
        <w:tc>
          <w:tcPr>
            <w:tcW w:w="290" w:type="pct"/>
            <w:tcBorders>
              <w:top w:val="single" w:sz="2" w:space="0" w:color="auto"/>
              <w:left w:val="single" w:sz="2" w:space="0" w:color="auto"/>
              <w:bottom w:val="single" w:sz="2" w:space="0" w:color="auto"/>
              <w:right w:val="single" w:sz="2" w:space="0" w:color="auto"/>
            </w:tcBorders>
            <w:vAlign w:val="center"/>
          </w:tcPr>
          <w:p w:rsidR="004E5152" w:rsidRDefault="004E5152" w:rsidP="007B7D25">
            <w:pPr>
              <w:jc w:val="center"/>
              <w:rPr>
                <w:szCs w:val="21"/>
              </w:rPr>
            </w:pPr>
          </w:p>
        </w:tc>
        <w:tc>
          <w:tcPr>
            <w:tcW w:w="276" w:type="pct"/>
            <w:tcBorders>
              <w:top w:val="single" w:sz="2" w:space="0" w:color="auto"/>
              <w:left w:val="single" w:sz="2" w:space="0" w:color="auto"/>
              <w:bottom w:val="single" w:sz="2" w:space="0" w:color="auto"/>
              <w:right w:val="single" w:sz="2" w:space="0" w:color="auto"/>
            </w:tcBorders>
          </w:tcPr>
          <w:p w:rsidR="004E5152" w:rsidRDefault="004E5152" w:rsidP="007B7D25">
            <w:pPr>
              <w:jc w:val="center"/>
              <w:rPr>
                <w:szCs w:val="21"/>
              </w:rPr>
            </w:pPr>
          </w:p>
        </w:tc>
        <w:tc>
          <w:tcPr>
            <w:tcW w:w="292" w:type="pct"/>
            <w:tcBorders>
              <w:top w:val="single" w:sz="2" w:space="0" w:color="auto"/>
              <w:left w:val="single" w:sz="2" w:space="0" w:color="auto"/>
              <w:bottom w:val="single" w:sz="2" w:space="0" w:color="auto"/>
              <w:right w:val="single" w:sz="2" w:space="0" w:color="auto"/>
            </w:tcBorders>
          </w:tcPr>
          <w:p w:rsidR="004E5152" w:rsidRDefault="004E5152" w:rsidP="007B7D25">
            <w:pPr>
              <w:jc w:val="center"/>
              <w:rPr>
                <w:szCs w:val="21"/>
              </w:rPr>
            </w:pPr>
            <w:r>
              <w:rPr>
                <w:szCs w:val="21"/>
              </w:rPr>
              <w:t>X</w:t>
            </w:r>
          </w:p>
        </w:tc>
      </w:tr>
      <w:tr w:rsidR="00E47414" w:rsidTr="004E5152">
        <w:trPr>
          <w:trHeight w:hRule="exact" w:val="406"/>
          <w:jc w:val="center"/>
        </w:trPr>
        <w:tc>
          <w:tcPr>
            <w:tcW w:w="1070" w:type="pct"/>
            <w:tcBorders>
              <w:top w:val="single" w:sz="4" w:space="0" w:color="auto"/>
              <w:left w:val="single" w:sz="4" w:space="0" w:color="auto"/>
              <w:bottom w:val="single" w:sz="4" w:space="0" w:color="auto"/>
              <w:right w:val="single" w:sz="4" w:space="0" w:color="auto"/>
            </w:tcBorders>
            <w:vAlign w:val="center"/>
            <w:hideMark/>
          </w:tcPr>
          <w:p w:rsidR="00E47414" w:rsidRDefault="00E47414">
            <w:pPr>
              <w:rPr>
                <w:szCs w:val="21"/>
              </w:rPr>
            </w:pPr>
            <w:r>
              <w:rPr>
                <w:rFonts w:hint="eastAsia"/>
                <w:szCs w:val="21"/>
              </w:rPr>
              <w:t>不良事件监测</w:t>
            </w:r>
          </w:p>
        </w:tc>
        <w:tc>
          <w:tcPr>
            <w:tcW w:w="457" w:type="pct"/>
            <w:tcBorders>
              <w:top w:val="single" w:sz="4" w:space="0" w:color="auto"/>
              <w:left w:val="nil"/>
              <w:bottom w:val="single" w:sz="4" w:space="0" w:color="auto"/>
              <w:right w:val="single" w:sz="12" w:space="0" w:color="auto"/>
            </w:tcBorders>
            <w:vAlign w:val="center"/>
            <w:hideMark/>
          </w:tcPr>
          <w:p w:rsidR="00E47414" w:rsidRDefault="00E47414">
            <w:pPr>
              <w:jc w:val="center"/>
              <w:rPr>
                <w:szCs w:val="21"/>
              </w:rPr>
            </w:pPr>
            <w:r>
              <w:rPr>
                <w:szCs w:val="21"/>
              </w:rPr>
              <w:t>X</w:t>
            </w:r>
          </w:p>
        </w:tc>
        <w:tc>
          <w:tcPr>
            <w:tcW w:w="3473" w:type="pct"/>
            <w:gridSpan w:val="11"/>
            <w:tcBorders>
              <w:top w:val="single" w:sz="4" w:space="0" w:color="auto"/>
              <w:left w:val="single" w:sz="12" w:space="0" w:color="auto"/>
              <w:bottom w:val="single" w:sz="4" w:space="0" w:color="auto"/>
              <w:right w:val="single" w:sz="2" w:space="0" w:color="auto"/>
            </w:tcBorders>
            <w:vAlign w:val="center"/>
            <w:hideMark/>
          </w:tcPr>
          <w:p w:rsidR="00E47414" w:rsidRDefault="00E47414">
            <w:pPr>
              <w:jc w:val="center"/>
              <w:rPr>
                <w:szCs w:val="21"/>
              </w:rPr>
            </w:pPr>
            <w:r>
              <w:rPr>
                <w:szCs w:val="21"/>
              </w:rPr>
              <w:t>X</w:t>
            </w:r>
          </w:p>
          <w:p w:rsidR="00E47414" w:rsidRDefault="00E47414">
            <w:pPr>
              <w:jc w:val="center"/>
              <w:rPr>
                <w:szCs w:val="21"/>
              </w:rPr>
            </w:pPr>
            <w:r>
              <w:rPr>
                <w:szCs w:val="21"/>
              </w:rPr>
              <w:t>X</w:t>
            </w:r>
          </w:p>
          <w:p w:rsidR="00E47414" w:rsidRDefault="00E47414">
            <w:pPr>
              <w:jc w:val="center"/>
              <w:rPr>
                <w:szCs w:val="21"/>
              </w:rPr>
            </w:pPr>
            <w:r>
              <w:rPr>
                <w:szCs w:val="21"/>
              </w:rPr>
              <w:t>X</w:t>
            </w:r>
          </w:p>
          <w:p w:rsidR="00E47414" w:rsidRDefault="00E47414">
            <w:pPr>
              <w:jc w:val="center"/>
              <w:rPr>
                <w:szCs w:val="21"/>
              </w:rPr>
            </w:pPr>
          </w:p>
        </w:tc>
      </w:tr>
      <w:tr w:rsidR="00E47414" w:rsidTr="004E5152">
        <w:trPr>
          <w:trHeight w:hRule="exact" w:val="406"/>
          <w:jc w:val="center"/>
        </w:trPr>
        <w:tc>
          <w:tcPr>
            <w:tcW w:w="1070" w:type="pct"/>
            <w:tcBorders>
              <w:top w:val="single" w:sz="4" w:space="0" w:color="auto"/>
              <w:left w:val="single" w:sz="4" w:space="0" w:color="auto"/>
              <w:bottom w:val="single" w:sz="4" w:space="0" w:color="auto"/>
              <w:right w:val="single" w:sz="4" w:space="0" w:color="auto"/>
            </w:tcBorders>
            <w:vAlign w:val="center"/>
            <w:hideMark/>
          </w:tcPr>
          <w:p w:rsidR="00E47414" w:rsidRDefault="00E47414">
            <w:pPr>
              <w:rPr>
                <w:szCs w:val="21"/>
              </w:rPr>
            </w:pPr>
            <w:r>
              <w:rPr>
                <w:rFonts w:hint="eastAsia"/>
                <w:szCs w:val="21"/>
              </w:rPr>
              <w:t>合并用药记录</w:t>
            </w:r>
          </w:p>
        </w:tc>
        <w:tc>
          <w:tcPr>
            <w:tcW w:w="457" w:type="pct"/>
            <w:tcBorders>
              <w:top w:val="single" w:sz="4" w:space="0" w:color="auto"/>
              <w:left w:val="nil"/>
              <w:bottom w:val="single" w:sz="4" w:space="0" w:color="auto"/>
              <w:right w:val="single" w:sz="12" w:space="0" w:color="auto"/>
            </w:tcBorders>
            <w:vAlign w:val="center"/>
            <w:hideMark/>
          </w:tcPr>
          <w:p w:rsidR="00E47414" w:rsidRDefault="00E47414">
            <w:pPr>
              <w:jc w:val="center"/>
              <w:rPr>
                <w:szCs w:val="21"/>
              </w:rPr>
            </w:pPr>
            <w:r>
              <w:rPr>
                <w:szCs w:val="21"/>
              </w:rPr>
              <w:t>X</w:t>
            </w:r>
          </w:p>
        </w:tc>
        <w:tc>
          <w:tcPr>
            <w:tcW w:w="3473" w:type="pct"/>
            <w:gridSpan w:val="11"/>
            <w:tcBorders>
              <w:top w:val="single" w:sz="4" w:space="0" w:color="auto"/>
              <w:left w:val="single" w:sz="12" w:space="0" w:color="auto"/>
              <w:bottom w:val="single" w:sz="4" w:space="0" w:color="auto"/>
              <w:right w:val="single" w:sz="2" w:space="0" w:color="auto"/>
            </w:tcBorders>
            <w:vAlign w:val="center"/>
            <w:hideMark/>
          </w:tcPr>
          <w:p w:rsidR="00E47414" w:rsidRDefault="00E47414">
            <w:pPr>
              <w:jc w:val="center"/>
              <w:rPr>
                <w:szCs w:val="21"/>
              </w:rPr>
            </w:pPr>
            <w:r>
              <w:rPr>
                <w:szCs w:val="21"/>
              </w:rPr>
              <w:t>X</w:t>
            </w:r>
          </w:p>
          <w:p w:rsidR="00E47414" w:rsidRDefault="00E47414">
            <w:pPr>
              <w:jc w:val="center"/>
              <w:rPr>
                <w:szCs w:val="21"/>
              </w:rPr>
            </w:pPr>
            <w:r>
              <w:rPr>
                <w:szCs w:val="21"/>
              </w:rPr>
              <w:t>X</w:t>
            </w:r>
          </w:p>
          <w:p w:rsidR="00E47414" w:rsidRDefault="00E47414">
            <w:pPr>
              <w:jc w:val="center"/>
              <w:rPr>
                <w:szCs w:val="21"/>
              </w:rPr>
            </w:pPr>
            <w:r>
              <w:rPr>
                <w:szCs w:val="21"/>
              </w:rPr>
              <w:t>X</w:t>
            </w:r>
          </w:p>
          <w:p w:rsidR="00E47414" w:rsidRDefault="00E47414">
            <w:pPr>
              <w:jc w:val="center"/>
              <w:rPr>
                <w:szCs w:val="21"/>
              </w:rPr>
            </w:pPr>
          </w:p>
        </w:tc>
      </w:tr>
    </w:tbl>
    <w:p w:rsidR="006046F9" w:rsidRDefault="006046F9" w:rsidP="006046F9">
      <w:pPr>
        <w:pStyle w:val="ListParagraph"/>
        <w:numPr>
          <w:ilvl w:val="1"/>
          <w:numId w:val="1"/>
        </w:numPr>
        <w:spacing w:line="360" w:lineRule="auto"/>
        <w:ind w:firstLineChars="0"/>
        <w:rPr>
          <w:rFonts w:hint="eastAsia"/>
          <w:b/>
          <w:sz w:val="24"/>
          <w:szCs w:val="24"/>
        </w:rPr>
      </w:pPr>
      <w:r>
        <w:rPr>
          <w:rFonts w:hint="eastAsia"/>
          <w:b/>
          <w:sz w:val="24"/>
          <w:szCs w:val="24"/>
        </w:rPr>
        <w:t>实施要点</w:t>
      </w:r>
    </w:p>
    <w:p w:rsidR="004E5152" w:rsidRPr="00C74148" w:rsidRDefault="00C74148" w:rsidP="00C74148">
      <w:pPr>
        <w:spacing w:line="360" w:lineRule="auto"/>
        <w:ind w:firstLineChars="200" w:firstLine="480"/>
        <w:rPr>
          <w:rFonts w:hint="eastAsia"/>
          <w:sz w:val="24"/>
          <w:szCs w:val="24"/>
        </w:rPr>
      </w:pPr>
      <w:r w:rsidRPr="00C74148">
        <w:rPr>
          <w:rFonts w:hint="eastAsia"/>
          <w:sz w:val="24"/>
          <w:szCs w:val="24"/>
        </w:rPr>
        <w:t>试验</w:t>
      </w:r>
      <w:r>
        <w:rPr>
          <w:rFonts w:hint="eastAsia"/>
          <w:sz w:val="24"/>
          <w:szCs w:val="24"/>
        </w:rPr>
        <w:t>实施过程中，要确保受试者服药、饮食、饮水的依从性。严格执行方案</w:t>
      </w:r>
      <w:r>
        <w:rPr>
          <w:rFonts w:hint="eastAsia"/>
          <w:sz w:val="24"/>
          <w:szCs w:val="24"/>
        </w:rPr>
        <w:lastRenderedPageBreak/>
        <w:t>设计的采血时间，制定血样采集记录表。样本处理、储存、运输过程严格按照事先制定的</w:t>
      </w:r>
      <w:r>
        <w:rPr>
          <w:rFonts w:hint="eastAsia"/>
          <w:sz w:val="24"/>
          <w:szCs w:val="24"/>
        </w:rPr>
        <w:t>SOP</w:t>
      </w:r>
      <w:r>
        <w:rPr>
          <w:rFonts w:hint="eastAsia"/>
          <w:sz w:val="24"/>
          <w:szCs w:val="24"/>
        </w:rPr>
        <w:t>进行。</w:t>
      </w:r>
    </w:p>
    <w:p w:rsidR="006046F9" w:rsidRDefault="006046F9" w:rsidP="006046F9">
      <w:pPr>
        <w:pStyle w:val="ListParagraph"/>
        <w:numPr>
          <w:ilvl w:val="1"/>
          <w:numId w:val="1"/>
        </w:numPr>
        <w:spacing w:line="360" w:lineRule="auto"/>
        <w:ind w:firstLineChars="0"/>
        <w:rPr>
          <w:rFonts w:hint="eastAsia"/>
          <w:b/>
          <w:sz w:val="24"/>
          <w:szCs w:val="24"/>
        </w:rPr>
      </w:pPr>
      <w:r>
        <w:rPr>
          <w:rFonts w:hint="eastAsia"/>
          <w:b/>
          <w:sz w:val="24"/>
          <w:szCs w:val="24"/>
        </w:rPr>
        <w:t>质量标准</w:t>
      </w:r>
    </w:p>
    <w:p w:rsidR="00C74148" w:rsidRDefault="00C63436" w:rsidP="00C74148">
      <w:pPr>
        <w:spacing w:line="360" w:lineRule="auto"/>
        <w:ind w:left="360"/>
        <w:rPr>
          <w:rFonts w:hint="eastAsia"/>
          <w:sz w:val="24"/>
          <w:szCs w:val="24"/>
        </w:rPr>
      </w:pPr>
      <w:r w:rsidRPr="00C63436">
        <w:rPr>
          <w:rFonts w:hint="eastAsia"/>
          <w:sz w:val="24"/>
          <w:szCs w:val="24"/>
        </w:rPr>
        <w:t>本项目研究</w:t>
      </w:r>
      <w:r w:rsidR="00F723FC">
        <w:rPr>
          <w:rFonts w:hint="eastAsia"/>
          <w:sz w:val="24"/>
          <w:szCs w:val="24"/>
        </w:rPr>
        <w:t>参考</w:t>
      </w:r>
      <w:r w:rsidR="00A02B33">
        <w:rPr>
          <w:rFonts w:hint="eastAsia"/>
          <w:sz w:val="24"/>
          <w:szCs w:val="24"/>
        </w:rPr>
        <w:t>标准包括但不仅限于</w:t>
      </w:r>
      <w:r w:rsidRPr="00C63436">
        <w:rPr>
          <w:rFonts w:hint="eastAsia"/>
          <w:sz w:val="24"/>
          <w:szCs w:val="24"/>
        </w:rPr>
        <w:t>：</w:t>
      </w:r>
    </w:p>
    <w:p w:rsidR="00A02B33" w:rsidRDefault="00A02B33" w:rsidP="00C74148">
      <w:pPr>
        <w:spacing w:line="360" w:lineRule="auto"/>
        <w:ind w:left="360"/>
        <w:rPr>
          <w:rFonts w:hint="eastAsia"/>
          <w:sz w:val="24"/>
          <w:szCs w:val="24"/>
        </w:rPr>
      </w:pPr>
      <w:r w:rsidRPr="00A02B33">
        <w:rPr>
          <w:rFonts w:hint="eastAsia"/>
          <w:sz w:val="24"/>
          <w:szCs w:val="24"/>
        </w:rPr>
        <w:t>《药物临床试验质量管理规范》</w:t>
      </w:r>
    </w:p>
    <w:p w:rsidR="00F723FC" w:rsidRDefault="00F723FC" w:rsidP="00C74148">
      <w:pPr>
        <w:spacing w:line="360" w:lineRule="auto"/>
        <w:ind w:left="360"/>
        <w:rPr>
          <w:rFonts w:hint="eastAsia"/>
          <w:sz w:val="24"/>
          <w:szCs w:val="24"/>
        </w:rPr>
      </w:pPr>
      <w:r>
        <w:rPr>
          <w:rFonts w:hint="eastAsia"/>
          <w:sz w:val="24"/>
          <w:szCs w:val="24"/>
        </w:rPr>
        <w:t>《以药动学参数为终点评价指标的化学药物仿制药人体生物等效性研究技术指导原则》；</w:t>
      </w:r>
    </w:p>
    <w:p w:rsidR="00C06288" w:rsidRDefault="00C06288" w:rsidP="00C74148">
      <w:pPr>
        <w:spacing w:line="360" w:lineRule="auto"/>
        <w:ind w:left="360"/>
        <w:rPr>
          <w:rFonts w:hint="eastAsia"/>
          <w:sz w:val="24"/>
          <w:szCs w:val="24"/>
        </w:rPr>
      </w:pPr>
      <w:r>
        <w:rPr>
          <w:rFonts w:hint="eastAsia"/>
          <w:sz w:val="24"/>
          <w:szCs w:val="24"/>
        </w:rPr>
        <w:t>《药物制剂人体生物利用度和生物等效性试验指导原则》；</w:t>
      </w:r>
    </w:p>
    <w:p w:rsidR="00F723FC" w:rsidRDefault="00F723FC" w:rsidP="00C74148">
      <w:pPr>
        <w:spacing w:line="360" w:lineRule="auto"/>
        <w:ind w:left="360"/>
        <w:rPr>
          <w:rFonts w:hint="eastAsia"/>
          <w:sz w:val="24"/>
          <w:szCs w:val="24"/>
        </w:rPr>
      </w:pPr>
      <w:r>
        <w:rPr>
          <w:rFonts w:hint="eastAsia"/>
          <w:sz w:val="24"/>
          <w:szCs w:val="24"/>
        </w:rPr>
        <w:t>《化学药物临床药代动力学研究技术指导原则》</w:t>
      </w:r>
      <w:r w:rsidR="00A02B33">
        <w:rPr>
          <w:rFonts w:hint="eastAsia"/>
          <w:sz w:val="24"/>
          <w:szCs w:val="24"/>
        </w:rPr>
        <w:t>；</w:t>
      </w:r>
    </w:p>
    <w:p w:rsidR="00F723FC" w:rsidRDefault="00F723FC" w:rsidP="00C74148">
      <w:pPr>
        <w:spacing w:line="360" w:lineRule="auto"/>
        <w:ind w:left="360"/>
        <w:rPr>
          <w:rFonts w:hint="eastAsia"/>
          <w:sz w:val="24"/>
          <w:szCs w:val="24"/>
        </w:rPr>
      </w:pPr>
      <w:r>
        <w:rPr>
          <w:rFonts w:hint="eastAsia"/>
          <w:sz w:val="24"/>
          <w:szCs w:val="24"/>
        </w:rPr>
        <w:t>《</w:t>
      </w:r>
      <w:r w:rsidRPr="00F723FC">
        <w:rPr>
          <w:rFonts w:hint="eastAsia"/>
          <w:sz w:val="24"/>
          <w:szCs w:val="24"/>
        </w:rPr>
        <w:t>药物临床试验的生物统计学指导原则</w:t>
      </w:r>
      <w:r>
        <w:rPr>
          <w:rFonts w:hint="eastAsia"/>
          <w:sz w:val="24"/>
          <w:szCs w:val="24"/>
        </w:rPr>
        <w:t>》</w:t>
      </w:r>
      <w:r w:rsidR="00A02B33">
        <w:rPr>
          <w:rFonts w:hint="eastAsia"/>
          <w:sz w:val="24"/>
          <w:szCs w:val="24"/>
        </w:rPr>
        <w:t>；</w:t>
      </w:r>
    </w:p>
    <w:p w:rsidR="00A02B33" w:rsidRPr="00F723FC" w:rsidRDefault="00A02B33" w:rsidP="00A02B33">
      <w:pPr>
        <w:spacing w:line="360" w:lineRule="auto"/>
        <w:ind w:left="360"/>
        <w:rPr>
          <w:rFonts w:hint="eastAsia"/>
          <w:sz w:val="24"/>
          <w:szCs w:val="24"/>
        </w:rPr>
      </w:pPr>
      <w:r>
        <w:rPr>
          <w:rFonts w:hint="eastAsia"/>
          <w:sz w:val="24"/>
          <w:szCs w:val="24"/>
        </w:rPr>
        <w:t>《</w:t>
      </w:r>
      <w:r w:rsidRPr="00A02B33">
        <w:rPr>
          <w:rFonts w:hint="eastAsia"/>
          <w:sz w:val="24"/>
          <w:szCs w:val="24"/>
        </w:rPr>
        <w:t>药物临床试验数据管理与统计分析的计划和报告指导原则</w:t>
      </w:r>
      <w:r>
        <w:rPr>
          <w:rFonts w:hint="eastAsia"/>
          <w:sz w:val="24"/>
          <w:szCs w:val="24"/>
        </w:rPr>
        <w:t>》</w:t>
      </w:r>
    </w:p>
    <w:p w:rsidR="003D4D61" w:rsidRDefault="003D4D61" w:rsidP="003D4D61">
      <w:pPr>
        <w:pStyle w:val="ListParagraph"/>
        <w:numPr>
          <w:ilvl w:val="0"/>
          <w:numId w:val="1"/>
        </w:numPr>
        <w:spacing w:beforeLines="100" w:before="312" w:line="360" w:lineRule="auto"/>
        <w:ind w:firstLineChars="0"/>
        <w:rPr>
          <w:rFonts w:hint="eastAsia"/>
          <w:b/>
          <w:sz w:val="24"/>
          <w:szCs w:val="24"/>
        </w:rPr>
      </w:pPr>
      <w:r w:rsidRPr="003D4D61">
        <w:rPr>
          <w:rFonts w:hint="eastAsia"/>
          <w:b/>
          <w:sz w:val="24"/>
          <w:szCs w:val="24"/>
        </w:rPr>
        <w:t>恩替卡韦预</w:t>
      </w:r>
      <w:r w:rsidRPr="003D4D61">
        <w:rPr>
          <w:rFonts w:hint="eastAsia"/>
          <w:b/>
          <w:sz w:val="24"/>
          <w:szCs w:val="24"/>
        </w:rPr>
        <w:t>BE</w:t>
      </w:r>
      <w:r w:rsidRPr="003D4D61">
        <w:rPr>
          <w:rFonts w:hint="eastAsia"/>
          <w:b/>
          <w:sz w:val="24"/>
          <w:szCs w:val="24"/>
        </w:rPr>
        <w:t>及正式</w:t>
      </w:r>
      <w:r w:rsidRPr="003D4D61">
        <w:rPr>
          <w:rFonts w:hint="eastAsia"/>
          <w:b/>
          <w:sz w:val="24"/>
          <w:szCs w:val="24"/>
        </w:rPr>
        <w:t>BE</w:t>
      </w:r>
      <w:r w:rsidRPr="003D4D61">
        <w:rPr>
          <w:rFonts w:hint="eastAsia"/>
          <w:b/>
          <w:sz w:val="24"/>
          <w:szCs w:val="24"/>
        </w:rPr>
        <w:t>试验方案及具体的难点、关键点</w:t>
      </w:r>
    </w:p>
    <w:p w:rsidR="006046F9" w:rsidRDefault="006046F9" w:rsidP="006046F9">
      <w:pPr>
        <w:pStyle w:val="ListParagraph"/>
        <w:numPr>
          <w:ilvl w:val="1"/>
          <w:numId w:val="1"/>
        </w:numPr>
        <w:spacing w:line="360" w:lineRule="auto"/>
        <w:ind w:firstLineChars="0"/>
        <w:rPr>
          <w:rFonts w:hint="eastAsia"/>
          <w:b/>
          <w:sz w:val="24"/>
          <w:szCs w:val="24"/>
        </w:rPr>
      </w:pPr>
      <w:r w:rsidRPr="006046F9">
        <w:rPr>
          <w:rFonts w:hint="eastAsia"/>
          <w:b/>
          <w:sz w:val="24"/>
          <w:szCs w:val="24"/>
        </w:rPr>
        <w:t>试验方案设计及依据</w:t>
      </w:r>
    </w:p>
    <w:p w:rsidR="008642AD" w:rsidRDefault="008C338A" w:rsidP="008C338A">
      <w:pPr>
        <w:spacing w:line="360" w:lineRule="auto"/>
        <w:ind w:firstLineChars="200" w:firstLine="480"/>
        <w:rPr>
          <w:rFonts w:hint="eastAsia"/>
          <w:sz w:val="24"/>
          <w:szCs w:val="24"/>
        </w:rPr>
      </w:pPr>
      <w:r w:rsidRPr="008C338A">
        <w:rPr>
          <w:rFonts w:hint="eastAsia"/>
          <w:sz w:val="24"/>
          <w:szCs w:val="24"/>
        </w:rPr>
        <w:t>采用开</w:t>
      </w:r>
      <w:r w:rsidR="00C53F4C">
        <w:rPr>
          <w:rFonts w:hint="eastAsia"/>
          <w:sz w:val="24"/>
        </w:rPr>
        <w:t>单中心、两制剂、单次给药、双周期交叉</w:t>
      </w:r>
      <w:r w:rsidRPr="008C338A">
        <w:rPr>
          <w:rFonts w:hint="eastAsia"/>
          <w:sz w:val="24"/>
          <w:szCs w:val="24"/>
        </w:rPr>
        <w:t>试验设计。</w:t>
      </w:r>
    </w:p>
    <w:p w:rsidR="008C338A" w:rsidRDefault="008642AD" w:rsidP="008C338A">
      <w:pPr>
        <w:spacing w:line="360" w:lineRule="auto"/>
        <w:ind w:firstLineChars="200" w:firstLine="480"/>
        <w:rPr>
          <w:rFonts w:hint="eastAsia"/>
          <w:sz w:val="24"/>
          <w:szCs w:val="24"/>
        </w:rPr>
      </w:pPr>
      <w:r>
        <w:rPr>
          <w:rFonts w:hint="eastAsia"/>
          <w:sz w:val="24"/>
          <w:szCs w:val="24"/>
        </w:rPr>
        <w:t>恩替卡韦说明书指出，食物会导致本品的吸收轻微延迟，</w:t>
      </w:r>
      <w:proofErr w:type="spellStart"/>
      <w:r>
        <w:rPr>
          <w:rFonts w:hint="eastAsia"/>
          <w:sz w:val="24"/>
          <w:szCs w:val="24"/>
        </w:rPr>
        <w:t>C</w:t>
      </w:r>
      <w:r w:rsidRPr="008642AD">
        <w:rPr>
          <w:rFonts w:hint="eastAsia"/>
          <w:sz w:val="24"/>
          <w:szCs w:val="24"/>
          <w:vertAlign w:val="subscript"/>
        </w:rPr>
        <w:t>max</w:t>
      </w:r>
      <w:proofErr w:type="spellEnd"/>
      <w:r>
        <w:rPr>
          <w:rFonts w:hint="eastAsia"/>
          <w:sz w:val="24"/>
          <w:szCs w:val="24"/>
        </w:rPr>
        <w:t>降低</w:t>
      </w:r>
      <w:r>
        <w:rPr>
          <w:rFonts w:hint="eastAsia"/>
          <w:sz w:val="24"/>
          <w:szCs w:val="24"/>
        </w:rPr>
        <w:t>44-46%</w:t>
      </w:r>
      <w:r>
        <w:rPr>
          <w:rFonts w:hint="eastAsia"/>
          <w:sz w:val="24"/>
          <w:szCs w:val="24"/>
        </w:rPr>
        <w:t>，</w:t>
      </w:r>
      <w:r>
        <w:rPr>
          <w:rFonts w:hint="eastAsia"/>
          <w:sz w:val="24"/>
          <w:szCs w:val="24"/>
        </w:rPr>
        <w:t>AUC</w:t>
      </w:r>
      <w:r>
        <w:rPr>
          <w:rFonts w:hint="eastAsia"/>
          <w:sz w:val="24"/>
          <w:szCs w:val="24"/>
        </w:rPr>
        <w:t>降低</w:t>
      </w:r>
      <w:r>
        <w:rPr>
          <w:rFonts w:hint="eastAsia"/>
          <w:sz w:val="24"/>
          <w:szCs w:val="24"/>
        </w:rPr>
        <w:t>18-20%</w:t>
      </w:r>
      <w:r>
        <w:rPr>
          <w:rFonts w:hint="eastAsia"/>
          <w:sz w:val="24"/>
          <w:szCs w:val="24"/>
        </w:rPr>
        <w:t>，因此本品应空腹服用。</w:t>
      </w:r>
      <w:r w:rsidR="00C53F4C">
        <w:rPr>
          <w:rFonts w:hint="eastAsia"/>
          <w:sz w:val="24"/>
          <w:szCs w:val="24"/>
        </w:rPr>
        <w:t>根据《以药动学参数为终点评价指标的化学药物仿制药人体生物等效性研究技术指导原则》中对餐后</w:t>
      </w:r>
      <w:r w:rsidR="00C53F4C">
        <w:rPr>
          <w:rFonts w:hint="eastAsia"/>
          <w:sz w:val="24"/>
          <w:szCs w:val="24"/>
        </w:rPr>
        <w:t>BE</w:t>
      </w:r>
      <w:r w:rsidR="00C53F4C">
        <w:rPr>
          <w:rFonts w:hint="eastAsia"/>
          <w:sz w:val="24"/>
          <w:szCs w:val="24"/>
        </w:rPr>
        <w:t>的豁免条件，同时参考</w:t>
      </w:r>
      <w:r w:rsidR="00C53F4C">
        <w:rPr>
          <w:rFonts w:hint="eastAsia"/>
          <w:sz w:val="24"/>
          <w:szCs w:val="24"/>
        </w:rPr>
        <w:t>FDA</w:t>
      </w:r>
      <w:r w:rsidR="00C53F4C">
        <w:rPr>
          <w:rFonts w:hint="eastAsia"/>
          <w:sz w:val="24"/>
          <w:szCs w:val="24"/>
        </w:rPr>
        <w:t>关于恩替卡韦生物等效性研究的指导</w:t>
      </w:r>
      <w:r>
        <w:rPr>
          <w:rFonts w:hint="eastAsia"/>
          <w:sz w:val="24"/>
          <w:szCs w:val="24"/>
        </w:rPr>
        <w:t>原则</w:t>
      </w:r>
      <w:r w:rsidR="00C53F4C">
        <w:rPr>
          <w:rFonts w:hint="eastAsia"/>
          <w:sz w:val="24"/>
          <w:szCs w:val="24"/>
        </w:rPr>
        <w:t>（</w:t>
      </w:r>
      <w:r w:rsidR="00C53F4C" w:rsidRPr="00C53F4C">
        <w:rPr>
          <w:sz w:val="24"/>
          <w:szCs w:val="24"/>
        </w:rPr>
        <w:t xml:space="preserve">Guidance on </w:t>
      </w:r>
      <w:proofErr w:type="spellStart"/>
      <w:r w:rsidR="00C53F4C" w:rsidRPr="00C53F4C">
        <w:rPr>
          <w:sz w:val="24"/>
          <w:szCs w:val="24"/>
        </w:rPr>
        <w:t>Entecavir</w:t>
      </w:r>
      <w:proofErr w:type="spellEnd"/>
      <w:r w:rsidR="00C53F4C">
        <w:rPr>
          <w:sz w:val="24"/>
          <w:szCs w:val="24"/>
        </w:rPr>
        <w:t>）</w:t>
      </w:r>
      <w:r>
        <w:rPr>
          <w:sz w:val="24"/>
          <w:szCs w:val="24"/>
        </w:rPr>
        <w:t>，</w:t>
      </w:r>
      <w:r>
        <w:rPr>
          <w:rFonts w:hint="eastAsia"/>
          <w:sz w:val="24"/>
          <w:szCs w:val="24"/>
        </w:rPr>
        <w:t>本品仅进行空腹生物等效性研究。</w:t>
      </w:r>
    </w:p>
    <w:p w:rsidR="00430BEF" w:rsidRPr="00430BEF" w:rsidRDefault="00430BEF" w:rsidP="00430BEF">
      <w:pPr>
        <w:spacing w:line="360" w:lineRule="auto"/>
        <w:ind w:firstLineChars="200" w:firstLine="482"/>
        <w:rPr>
          <w:rFonts w:hint="eastAsia"/>
          <w:b/>
          <w:sz w:val="24"/>
          <w:szCs w:val="24"/>
        </w:rPr>
      </w:pPr>
      <w:r w:rsidRPr="00430BEF">
        <w:rPr>
          <w:rFonts w:hint="eastAsia"/>
          <w:b/>
          <w:sz w:val="24"/>
          <w:szCs w:val="24"/>
        </w:rPr>
        <w:t>参比制剂选择</w:t>
      </w:r>
      <w:bookmarkStart w:id="0" w:name="_GoBack"/>
      <w:bookmarkEnd w:id="0"/>
    </w:p>
    <w:p w:rsidR="00430BEF" w:rsidRPr="008C338A" w:rsidRDefault="00430BEF" w:rsidP="008C338A">
      <w:pPr>
        <w:spacing w:line="360" w:lineRule="auto"/>
        <w:ind w:firstLineChars="200" w:firstLine="480"/>
        <w:rPr>
          <w:rFonts w:hint="eastAsia"/>
          <w:sz w:val="24"/>
          <w:szCs w:val="24"/>
        </w:rPr>
      </w:pPr>
      <w:r>
        <w:rPr>
          <w:rFonts w:hint="eastAsia"/>
          <w:sz w:val="24"/>
          <w:szCs w:val="24"/>
        </w:rPr>
        <w:t>根据《普通口服固体制剂参比制剂选择和确定指导原则》中选择原则三：若原研药品和国际公认的同种药物均未在国内上市，可选择在欧盟、美国、日本上市并被列为参比制剂</w:t>
      </w:r>
      <w:r w:rsidR="008F6361">
        <w:rPr>
          <w:rFonts w:hint="eastAsia"/>
          <w:sz w:val="24"/>
          <w:szCs w:val="24"/>
        </w:rPr>
        <w:t>的药品。</w:t>
      </w:r>
      <w:r w:rsidR="008F6361" w:rsidRPr="00C27BCF">
        <w:rPr>
          <w:sz w:val="24"/>
          <w:szCs w:val="24"/>
        </w:rPr>
        <w:t>BRISTOL MYERS SQUIBB</w:t>
      </w:r>
      <w:r w:rsidR="008F6361">
        <w:rPr>
          <w:rFonts w:hint="eastAsia"/>
          <w:sz w:val="24"/>
          <w:szCs w:val="24"/>
        </w:rPr>
        <w:t>生产的恩替卡韦片被美国橙皮书收载为参比制剂，故本项目的参比制剂选择为</w:t>
      </w:r>
      <w:r w:rsidR="008F6361" w:rsidRPr="00C27BCF">
        <w:rPr>
          <w:sz w:val="24"/>
          <w:szCs w:val="24"/>
        </w:rPr>
        <w:t>BRISTOL MYERS SQUIBB</w:t>
      </w:r>
      <w:r w:rsidR="008F6361">
        <w:rPr>
          <w:rFonts w:hint="eastAsia"/>
          <w:sz w:val="24"/>
          <w:szCs w:val="24"/>
        </w:rPr>
        <w:t>生产的恩替卡韦片。</w:t>
      </w:r>
    </w:p>
    <w:p w:rsidR="008C338A" w:rsidRPr="00C53F4C" w:rsidRDefault="008C338A" w:rsidP="00C53F4C">
      <w:pPr>
        <w:pStyle w:val="ListParagraph"/>
        <w:spacing w:line="360" w:lineRule="auto"/>
        <w:ind w:firstLine="482"/>
        <w:rPr>
          <w:rFonts w:hint="eastAsia"/>
          <w:b/>
          <w:sz w:val="24"/>
          <w:szCs w:val="24"/>
        </w:rPr>
      </w:pPr>
      <w:r w:rsidRPr="00C53F4C">
        <w:rPr>
          <w:rFonts w:hint="eastAsia"/>
          <w:b/>
          <w:sz w:val="24"/>
          <w:szCs w:val="24"/>
        </w:rPr>
        <w:t>受试者选择</w:t>
      </w:r>
    </w:p>
    <w:p w:rsidR="008C338A" w:rsidRDefault="008C338A" w:rsidP="008C338A">
      <w:pPr>
        <w:pStyle w:val="ListParagraph"/>
        <w:spacing w:line="360" w:lineRule="auto"/>
        <w:ind w:firstLine="480"/>
        <w:rPr>
          <w:rFonts w:hint="eastAsia"/>
          <w:sz w:val="24"/>
          <w:szCs w:val="24"/>
        </w:rPr>
      </w:pPr>
      <w:r w:rsidRPr="008C338A">
        <w:rPr>
          <w:rFonts w:hint="eastAsia"/>
          <w:sz w:val="24"/>
          <w:szCs w:val="24"/>
        </w:rPr>
        <w:t>根据《以药动学参数为终点评价指标的化学药物仿制药人体生物等效性研究技术指导原则》中的要求：受试者的选择一般应符合以下要求：人群选择年龄在</w:t>
      </w:r>
      <w:r w:rsidRPr="008C338A">
        <w:rPr>
          <w:rFonts w:hint="eastAsia"/>
          <w:sz w:val="24"/>
          <w:szCs w:val="24"/>
        </w:rPr>
        <w:t xml:space="preserve"> 18 </w:t>
      </w:r>
      <w:r w:rsidRPr="008C338A">
        <w:rPr>
          <w:rFonts w:hint="eastAsia"/>
          <w:sz w:val="24"/>
          <w:szCs w:val="24"/>
        </w:rPr>
        <w:t>周岁及以上；应涵盖一般人群的特征，包括年龄、性别等；应有适当的性别</w:t>
      </w:r>
      <w:r w:rsidRPr="008C338A">
        <w:rPr>
          <w:rFonts w:hint="eastAsia"/>
          <w:sz w:val="24"/>
          <w:szCs w:val="24"/>
        </w:rPr>
        <w:lastRenderedPageBreak/>
        <w:t>比例。根据《药物制剂人体生物利用度和生物等效性试验指导原则》，体重指数</w:t>
      </w:r>
      <w:r w:rsidRPr="008C338A">
        <w:rPr>
          <w:rFonts w:hint="eastAsia"/>
          <w:sz w:val="24"/>
          <w:szCs w:val="24"/>
        </w:rPr>
        <w:t>BMI</w:t>
      </w:r>
      <w:r w:rsidR="00175E94">
        <w:rPr>
          <w:rFonts w:hint="eastAsia"/>
          <w:sz w:val="24"/>
          <w:szCs w:val="24"/>
        </w:rPr>
        <w:t>一般在</w:t>
      </w:r>
      <w:r w:rsidRPr="008C338A">
        <w:rPr>
          <w:rFonts w:hint="eastAsia"/>
          <w:sz w:val="24"/>
          <w:szCs w:val="24"/>
        </w:rPr>
        <w:t>19~26kg/m</w:t>
      </w:r>
      <w:r w:rsidRPr="00175E94">
        <w:rPr>
          <w:rFonts w:hint="eastAsia"/>
          <w:sz w:val="24"/>
          <w:szCs w:val="24"/>
          <w:vertAlign w:val="superscript"/>
        </w:rPr>
        <w:t>2</w:t>
      </w:r>
      <w:r w:rsidRPr="008C338A">
        <w:rPr>
          <w:rFonts w:hint="eastAsia"/>
          <w:sz w:val="24"/>
          <w:szCs w:val="24"/>
        </w:rPr>
        <w:t>。</w:t>
      </w:r>
    </w:p>
    <w:p w:rsidR="00175E94" w:rsidRDefault="00175E94" w:rsidP="008C338A">
      <w:pPr>
        <w:pStyle w:val="ListParagraph"/>
        <w:spacing w:line="360" w:lineRule="auto"/>
        <w:ind w:firstLine="480"/>
        <w:rPr>
          <w:rFonts w:hint="eastAsia"/>
          <w:sz w:val="24"/>
          <w:szCs w:val="24"/>
        </w:rPr>
      </w:pPr>
      <w:r>
        <w:rPr>
          <w:rFonts w:hint="eastAsia"/>
          <w:sz w:val="24"/>
          <w:szCs w:val="24"/>
        </w:rPr>
        <w:t>故，本项目受试者选择为：年龄</w:t>
      </w:r>
      <w:r>
        <w:rPr>
          <w:rFonts w:hint="eastAsia"/>
          <w:sz w:val="24"/>
          <w:szCs w:val="24"/>
        </w:rPr>
        <w:t>18-65</w:t>
      </w:r>
      <w:r>
        <w:rPr>
          <w:rFonts w:hint="eastAsia"/>
          <w:sz w:val="24"/>
          <w:szCs w:val="24"/>
        </w:rPr>
        <w:t>周岁的健康受试者，男女比例适当；体重男性</w:t>
      </w:r>
      <w:r w:rsidRPr="00175E94">
        <w:rPr>
          <w:rFonts w:hint="eastAsia"/>
          <w:sz w:val="24"/>
          <w:szCs w:val="24"/>
        </w:rPr>
        <w:t>≥</w:t>
      </w:r>
      <w:r>
        <w:rPr>
          <w:rFonts w:hint="eastAsia"/>
          <w:sz w:val="24"/>
          <w:szCs w:val="24"/>
        </w:rPr>
        <w:t>50 kg</w:t>
      </w:r>
      <w:r>
        <w:rPr>
          <w:rFonts w:hint="eastAsia"/>
          <w:sz w:val="24"/>
          <w:szCs w:val="24"/>
        </w:rPr>
        <w:t>，女性</w:t>
      </w:r>
      <w:r w:rsidRPr="00175E94">
        <w:rPr>
          <w:rFonts w:hint="eastAsia"/>
          <w:sz w:val="24"/>
          <w:szCs w:val="24"/>
        </w:rPr>
        <w:t>≥</w:t>
      </w:r>
      <w:r>
        <w:rPr>
          <w:rFonts w:hint="eastAsia"/>
          <w:sz w:val="24"/>
          <w:szCs w:val="24"/>
        </w:rPr>
        <w:t>45 kg</w:t>
      </w:r>
      <w:r>
        <w:rPr>
          <w:rFonts w:hint="eastAsia"/>
          <w:sz w:val="24"/>
          <w:szCs w:val="24"/>
        </w:rPr>
        <w:t>，</w:t>
      </w:r>
      <w:r>
        <w:rPr>
          <w:rFonts w:hint="eastAsia"/>
          <w:sz w:val="24"/>
          <w:szCs w:val="24"/>
        </w:rPr>
        <w:t>BMI</w:t>
      </w:r>
      <w:r>
        <w:rPr>
          <w:rFonts w:hint="eastAsia"/>
          <w:sz w:val="24"/>
          <w:szCs w:val="24"/>
        </w:rPr>
        <w:t>在</w:t>
      </w:r>
      <w:r w:rsidR="005249E3" w:rsidRPr="008C338A">
        <w:rPr>
          <w:rFonts w:hint="eastAsia"/>
          <w:sz w:val="24"/>
          <w:szCs w:val="24"/>
        </w:rPr>
        <w:t>19~26kg/m</w:t>
      </w:r>
      <w:r w:rsidR="005249E3" w:rsidRPr="00175E94">
        <w:rPr>
          <w:rFonts w:hint="eastAsia"/>
          <w:sz w:val="24"/>
          <w:szCs w:val="24"/>
          <w:vertAlign w:val="superscript"/>
        </w:rPr>
        <w:t>2</w:t>
      </w:r>
      <w:r w:rsidR="005249E3">
        <w:rPr>
          <w:rFonts w:hint="eastAsia"/>
          <w:sz w:val="24"/>
          <w:szCs w:val="24"/>
        </w:rPr>
        <w:t>（包含临界值）。</w:t>
      </w:r>
    </w:p>
    <w:p w:rsidR="005249E3" w:rsidRPr="00E568D6" w:rsidRDefault="005249E3" w:rsidP="00E568D6">
      <w:pPr>
        <w:pStyle w:val="ListParagraph"/>
        <w:spacing w:line="360" w:lineRule="auto"/>
        <w:ind w:firstLine="482"/>
        <w:rPr>
          <w:rFonts w:hint="eastAsia"/>
          <w:b/>
          <w:sz w:val="24"/>
          <w:szCs w:val="24"/>
        </w:rPr>
      </w:pPr>
      <w:r w:rsidRPr="00E568D6">
        <w:rPr>
          <w:rFonts w:hint="eastAsia"/>
          <w:b/>
          <w:sz w:val="24"/>
          <w:szCs w:val="24"/>
        </w:rPr>
        <w:t>受试者例数确定</w:t>
      </w:r>
    </w:p>
    <w:p w:rsidR="005249E3" w:rsidRDefault="005249E3" w:rsidP="008C338A">
      <w:pPr>
        <w:pStyle w:val="ListParagraph"/>
        <w:spacing w:line="360" w:lineRule="auto"/>
        <w:ind w:firstLine="480"/>
        <w:rPr>
          <w:rFonts w:asciiTheme="minorEastAsia" w:hAnsiTheme="minorEastAsia" w:hint="eastAsia"/>
          <w:sz w:val="24"/>
          <w:szCs w:val="24"/>
        </w:rPr>
      </w:pPr>
      <w:r>
        <w:rPr>
          <w:rFonts w:hint="eastAsia"/>
          <w:sz w:val="24"/>
          <w:szCs w:val="24"/>
        </w:rPr>
        <w:t>根据欧洲恩替卡韦仿制药审评报告资料中一项生物等效性试验结果，本品的</w:t>
      </w:r>
      <w:proofErr w:type="spellStart"/>
      <w:r>
        <w:rPr>
          <w:rFonts w:hint="eastAsia"/>
          <w:sz w:val="24"/>
          <w:szCs w:val="24"/>
        </w:rPr>
        <w:t>C</w:t>
      </w:r>
      <w:r w:rsidRPr="005249E3">
        <w:rPr>
          <w:rFonts w:hint="eastAsia"/>
          <w:sz w:val="24"/>
          <w:szCs w:val="24"/>
          <w:vertAlign w:val="subscript"/>
        </w:rPr>
        <w:t>max</w:t>
      </w:r>
      <w:proofErr w:type="spellEnd"/>
      <w:r>
        <w:rPr>
          <w:rFonts w:hint="eastAsia"/>
          <w:sz w:val="24"/>
          <w:szCs w:val="24"/>
        </w:rPr>
        <w:t>个体内变异系数为</w:t>
      </w:r>
      <w:r>
        <w:rPr>
          <w:rFonts w:hint="eastAsia"/>
          <w:sz w:val="24"/>
          <w:szCs w:val="24"/>
        </w:rPr>
        <w:t>17.2%</w:t>
      </w:r>
      <w:r>
        <w:rPr>
          <w:rFonts w:hint="eastAsia"/>
          <w:sz w:val="24"/>
          <w:szCs w:val="24"/>
        </w:rPr>
        <w:t>，推测本品为低变异品种。本研究以药动学参数</w:t>
      </w:r>
      <w:proofErr w:type="spellStart"/>
      <w:r>
        <w:rPr>
          <w:rFonts w:hint="eastAsia"/>
          <w:sz w:val="24"/>
          <w:szCs w:val="24"/>
        </w:rPr>
        <w:t>C</w:t>
      </w:r>
      <w:r w:rsidRPr="005249E3">
        <w:rPr>
          <w:rFonts w:hint="eastAsia"/>
          <w:sz w:val="24"/>
          <w:szCs w:val="24"/>
          <w:vertAlign w:val="subscript"/>
        </w:rPr>
        <w:t>max</w:t>
      </w:r>
      <w:proofErr w:type="spellEnd"/>
      <w:r>
        <w:rPr>
          <w:rFonts w:hint="eastAsia"/>
          <w:sz w:val="24"/>
          <w:szCs w:val="24"/>
        </w:rPr>
        <w:t>和</w:t>
      </w:r>
      <w:r>
        <w:rPr>
          <w:rFonts w:hint="eastAsia"/>
          <w:sz w:val="24"/>
          <w:szCs w:val="24"/>
        </w:rPr>
        <w:t>AUC</w:t>
      </w:r>
      <w:r>
        <w:rPr>
          <w:rFonts w:hint="eastAsia"/>
          <w:sz w:val="24"/>
          <w:szCs w:val="24"/>
        </w:rPr>
        <w:t>为主要评价指标，等效性区间设定为</w:t>
      </w:r>
      <w:r>
        <w:rPr>
          <w:rFonts w:hint="eastAsia"/>
          <w:sz w:val="24"/>
          <w:szCs w:val="24"/>
        </w:rPr>
        <w:t>80%~125%</w:t>
      </w:r>
      <w:r>
        <w:rPr>
          <w:rFonts w:hint="eastAsia"/>
          <w:sz w:val="24"/>
          <w:szCs w:val="24"/>
        </w:rPr>
        <w:t>，假设单侧</w:t>
      </w:r>
      <w:r w:rsidR="00E568D6">
        <w:rPr>
          <w:rFonts w:ascii="宋体" w:eastAsia="宋体" w:hAnsi="宋体" w:hint="eastAsia"/>
          <w:sz w:val="24"/>
          <w:szCs w:val="24"/>
        </w:rPr>
        <w:t>α=0.05，把握度1-</w:t>
      </w:r>
      <w:r w:rsidR="00E568D6">
        <w:rPr>
          <w:rFonts w:asciiTheme="minorEastAsia" w:hAnsiTheme="minorEastAsia" w:hint="eastAsia"/>
          <w:sz w:val="24"/>
          <w:szCs w:val="24"/>
        </w:rPr>
        <w:t>β=80%，个体内变异系数（Intra-CV）=20%，受试制剂与参比制剂的均值比为0.95~1.05，通过PASS 11.0软件计算，得出最低样本量19例，考虑一定的脱落率最终确定样本量为24例。</w:t>
      </w:r>
    </w:p>
    <w:p w:rsidR="00E568D6" w:rsidRPr="00430BEF" w:rsidRDefault="00E568D6" w:rsidP="00430BEF">
      <w:pPr>
        <w:pStyle w:val="ListParagraph"/>
        <w:spacing w:line="360" w:lineRule="auto"/>
        <w:ind w:firstLine="482"/>
        <w:rPr>
          <w:rFonts w:asciiTheme="minorEastAsia" w:hAnsiTheme="minorEastAsia" w:hint="eastAsia"/>
          <w:b/>
          <w:sz w:val="24"/>
          <w:szCs w:val="24"/>
        </w:rPr>
      </w:pPr>
      <w:r w:rsidRPr="00430BEF">
        <w:rPr>
          <w:rFonts w:asciiTheme="minorEastAsia" w:hAnsiTheme="minorEastAsia" w:hint="eastAsia"/>
          <w:b/>
          <w:sz w:val="24"/>
          <w:szCs w:val="24"/>
        </w:rPr>
        <w:t>清洗期设定</w:t>
      </w:r>
    </w:p>
    <w:p w:rsidR="00023578" w:rsidRDefault="00E568D6" w:rsidP="008C338A">
      <w:pPr>
        <w:pStyle w:val="ListParagraph"/>
        <w:spacing w:line="360" w:lineRule="auto"/>
        <w:ind w:firstLine="480"/>
        <w:rPr>
          <w:rFonts w:hint="eastAsia"/>
          <w:sz w:val="24"/>
          <w:szCs w:val="24"/>
        </w:rPr>
      </w:pPr>
      <w:r>
        <w:rPr>
          <w:rFonts w:asciiTheme="minorEastAsia" w:hAnsiTheme="minorEastAsia" w:hint="eastAsia"/>
          <w:sz w:val="24"/>
          <w:szCs w:val="24"/>
        </w:rPr>
        <w:t>本项目</w:t>
      </w:r>
      <w:r w:rsidR="004F037B">
        <w:rPr>
          <w:rFonts w:asciiTheme="minorEastAsia" w:hAnsiTheme="minorEastAsia" w:hint="eastAsia"/>
          <w:sz w:val="24"/>
          <w:szCs w:val="24"/>
        </w:rPr>
        <w:t>清洗期设定为14天。</w:t>
      </w:r>
      <w:r w:rsidR="008F6361">
        <w:rPr>
          <w:rFonts w:asciiTheme="minorEastAsia" w:hAnsiTheme="minorEastAsia" w:hint="eastAsia"/>
          <w:sz w:val="24"/>
          <w:szCs w:val="24"/>
        </w:rPr>
        <w:t>设定清洗期的目的是为了消除制剂间的相互干扰。根据</w:t>
      </w:r>
      <w:r w:rsidR="008F6361">
        <w:rPr>
          <w:rFonts w:hint="eastAsia"/>
          <w:sz w:val="24"/>
          <w:szCs w:val="24"/>
        </w:rPr>
        <w:t>《以药动学参数为终点评价指标的化学药物仿制药人体生物等效性研究技术指导原则》，清洗期应不少于</w:t>
      </w:r>
      <w:r w:rsidR="008F6361">
        <w:rPr>
          <w:rFonts w:hint="eastAsia"/>
          <w:sz w:val="24"/>
          <w:szCs w:val="24"/>
        </w:rPr>
        <w:t>7</w:t>
      </w:r>
      <w:r w:rsidR="008F6361">
        <w:rPr>
          <w:rFonts w:hint="eastAsia"/>
          <w:sz w:val="24"/>
          <w:szCs w:val="24"/>
        </w:rPr>
        <w:t>个消除半衰期。恩替卡韦的终末消除半衰期为</w:t>
      </w:r>
      <w:r w:rsidR="008F6361">
        <w:rPr>
          <w:rFonts w:hint="eastAsia"/>
          <w:sz w:val="24"/>
          <w:szCs w:val="24"/>
        </w:rPr>
        <w:t>128~149h</w:t>
      </w:r>
      <w:r w:rsidR="00023578">
        <w:rPr>
          <w:rFonts w:hint="eastAsia"/>
          <w:sz w:val="24"/>
          <w:szCs w:val="24"/>
        </w:rPr>
        <w:t>，但考虑本品</w:t>
      </w:r>
      <w:r w:rsidR="00843A97">
        <w:rPr>
          <w:rFonts w:hint="eastAsia"/>
          <w:sz w:val="24"/>
          <w:szCs w:val="24"/>
        </w:rPr>
        <w:t>代谢</w:t>
      </w:r>
      <w:r w:rsidR="00023578">
        <w:rPr>
          <w:rFonts w:hint="eastAsia"/>
          <w:sz w:val="24"/>
          <w:szCs w:val="24"/>
        </w:rPr>
        <w:t>为双相消除</w:t>
      </w:r>
      <w:r w:rsidR="00843A97">
        <w:rPr>
          <w:rFonts w:hint="eastAsia"/>
          <w:sz w:val="24"/>
          <w:szCs w:val="24"/>
        </w:rPr>
        <w:t>，参考文献报道在中国健康人体内本品的血浆半衰期为</w:t>
      </w:r>
      <w:r w:rsidR="00843A97">
        <w:rPr>
          <w:rFonts w:hint="eastAsia"/>
          <w:sz w:val="24"/>
          <w:szCs w:val="24"/>
        </w:rPr>
        <w:t>11.1~19.1h</w:t>
      </w:r>
      <w:r w:rsidR="00843A97">
        <w:rPr>
          <w:rFonts w:hint="eastAsia"/>
          <w:sz w:val="24"/>
          <w:szCs w:val="24"/>
        </w:rPr>
        <w:t>，故设定清洗期为</w:t>
      </w:r>
      <w:r w:rsidR="00843A97">
        <w:rPr>
          <w:rFonts w:hint="eastAsia"/>
          <w:sz w:val="24"/>
          <w:szCs w:val="24"/>
        </w:rPr>
        <w:t>14</w:t>
      </w:r>
      <w:r w:rsidR="00843A97">
        <w:rPr>
          <w:rFonts w:hint="eastAsia"/>
          <w:sz w:val="24"/>
          <w:szCs w:val="24"/>
        </w:rPr>
        <w:t>天。</w:t>
      </w:r>
    </w:p>
    <w:p w:rsidR="00843A97" w:rsidRPr="003A6B60" w:rsidRDefault="00843A97" w:rsidP="003A6B60">
      <w:pPr>
        <w:pStyle w:val="ListParagraph"/>
        <w:spacing w:line="360" w:lineRule="auto"/>
        <w:ind w:firstLine="482"/>
        <w:rPr>
          <w:rFonts w:hint="eastAsia"/>
          <w:b/>
          <w:sz w:val="24"/>
          <w:szCs w:val="24"/>
        </w:rPr>
      </w:pPr>
      <w:r w:rsidRPr="003A6B60">
        <w:rPr>
          <w:rFonts w:hint="eastAsia"/>
          <w:b/>
          <w:sz w:val="24"/>
          <w:szCs w:val="24"/>
        </w:rPr>
        <w:t>采样周期</w:t>
      </w:r>
    </w:p>
    <w:p w:rsidR="00E568D6" w:rsidRDefault="003A6B60" w:rsidP="008C338A">
      <w:pPr>
        <w:pStyle w:val="ListParagraph"/>
        <w:spacing w:line="360" w:lineRule="auto"/>
        <w:ind w:firstLine="480"/>
        <w:rPr>
          <w:rFonts w:hint="eastAsia"/>
          <w:sz w:val="24"/>
          <w:szCs w:val="24"/>
        </w:rPr>
      </w:pPr>
      <w:r>
        <w:rPr>
          <w:rFonts w:hint="eastAsia"/>
          <w:sz w:val="24"/>
          <w:szCs w:val="24"/>
        </w:rPr>
        <w:t>根据生物等效性指导原则，</w:t>
      </w:r>
      <w:r w:rsidRPr="003A6B60">
        <w:rPr>
          <w:rFonts w:hint="eastAsia"/>
          <w:sz w:val="24"/>
          <w:szCs w:val="24"/>
        </w:rPr>
        <w:t>采样时间不短于</w:t>
      </w:r>
      <w:r w:rsidRPr="003A6B60">
        <w:rPr>
          <w:rFonts w:hint="eastAsia"/>
          <w:sz w:val="24"/>
          <w:szCs w:val="24"/>
        </w:rPr>
        <w:t>3</w:t>
      </w:r>
      <w:r w:rsidRPr="003A6B60">
        <w:rPr>
          <w:rFonts w:hint="eastAsia"/>
          <w:sz w:val="24"/>
          <w:szCs w:val="24"/>
        </w:rPr>
        <w:t>个末端消除半衰期。</w:t>
      </w:r>
      <w:r>
        <w:rPr>
          <w:rFonts w:hint="eastAsia"/>
          <w:sz w:val="24"/>
          <w:szCs w:val="24"/>
        </w:rPr>
        <w:t>但考虑</w:t>
      </w:r>
      <w:r w:rsidR="00023578">
        <w:rPr>
          <w:rFonts w:hint="eastAsia"/>
          <w:sz w:val="24"/>
          <w:szCs w:val="24"/>
        </w:rPr>
        <w:t>本品为低变异</w:t>
      </w:r>
      <w:r>
        <w:rPr>
          <w:rFonts w:hint="eastAsia"/>
          <w:sz w:val="24"/>
          <w:szCs w:val="24"/>
        </w:rPr>
        <w:t>长半衰期</w:t>
      </w:r>
      <w:r w:rsidR="00023578">
        <w:rPr>
          <w:rFonts w:hint="eastAsia"/>
          <w:sz w:val="24"/>
          <w:szCs w:val="24"/>
        </w:rPr>
        <w:t>药物，指导原则</w:t>
      </w:r>
      <w:r>
        <w:rPr>
          <w:rFonts w:hint="eastAsia"/>
          <w:sz w:val="24"/>
          <w:szCs w:val="24"/>
        </w:rPr>
        <w:t>指出对于长半衰期药物，</w:t>
      </w:r>
      <w:r w:rsidR="00023578">
        <w:rPr>
          <w:rFonts w:hint="eastAsia"/>
          <w:sz w:val="24"/>
          <w:szCs w:val="24"/>
        </w:rPr>
        <w:t>“</w:t>
      </w:r>
      <w:r w:rsidR="00023578" w:rsidRPr="00023578">
        <w:rPr>
          <w:rFonts w:hint="eastAsia"/>
          <w:sz w:val="24"/>
          <w:szCs w:val="24"/>
        </w:rPr>
        <w:t>如对于药物分布和清除个体内变异较小的药物，可用</w:t>
      </w:r>
      <w:r w:rsidR="00023578">
        <w:rPr>
          <w:rFonts w:hint="eastAsia"/>
          <w:sz w:val="24"/>
          <w:szCs w:val="24"/>
        </w:rPr>
        <w:t>AUC</w:t>
      </w:r>
      <w:r w:rsidR="00023578" w:rsidRPr="00023578">
        <w:rPr>
          <w:rFonts w:hint="eastAsia"/>
          <w:sz w:val="24"/>
          <w:szCs w:val="24"/>
          <w:vertAlign w:val="subscript"/>
        </w:rPr>
        <w:t>0-72hr</w:t>
      </w:r>
      <w:r w:rsidR="00023578" w:rsidRPr="00023578">
        <w:rPr>
          <w:rFonts w:hint="eastAsia"/>
          <w:sz w:val="24"/>
          <w:szCs w:val="24"/>
        </w:rPr>
        <w:t>来代替</w:t>
      </w:r>
      <w:r w:rsidR="00023578" w:rsidRPr="00023578">
        <w:rPr>
          <w:rFonts w:hint="eastAsia"/>
          <w:sz w:val="24"/>
          <w:szCs w:val="24"/>
        </w:rPr>
        <w:t>AUC</w:t>
      </w:r>
      <w:r w:rsidR="00023578" w:rsidRPr="00023578">
        <w:rPr>
          <w:rFonts w:hint="eastAsia"/>
          <w:sz w:val="24"/>
          <w:szCs w:val="24"/>
          <w:vertAlign w:val="subscript"/>
        </w:rPr>
        <w:t>0-t</w:t>
      </w:r>
      <w:r w:rsidR="00023578" w:rsidRPr="00023578">
        <w:rPr>
          <w:rFonts w:hint="eastAsia"/>
          <w:sz w:val="24"/>
          <w:szCs w:val="24"/>
        </w:rPr>
        <w:t>或</w:t>
      </w:r>
      <w:r w:rsidR="00023578" w:rsidRPr="00023578">
        <w:rPr>
          <w:rFonts w:hint="eastAsia"/>
          <w:sz w:val="24"/>
          <w:szCs w:val="24"/>
        </w:rPr>
        <w:t>AUC</w:t>
      </w:r>
      <w:r w:rsidR="00023578" w:rsidRPr="00023578">
        <w:rPr>
          <w:rFonts w:hint="eastAsia"/>
          <w:sz w:val="24"/>
          <w:szCs w:val="24"/>
          <w:vertAlign w:val="subscript"/>
        </w:rPr>
        <w:t>0-</w:t>
      </w:r>
      <w:r w:rsidR="00023578" w:rsidRPr="00023578">
        <w:rPr>
          <w:rFonts w:hint="eastAsia"/>
          <w:sz w:val="24"/>
          <w:szCs w:val="24"/>
          <w:vertAlign w:val="subscript"/>
        </w:rPr>
        <w:t>∞</w:t>
      </w:r>
      <w:r w:rsidR="00023578">
        <w:rPr>
          <w:rFonts w:hint="eastAsia"/>
          <w:sz w:val="24"/>
          <w:szCs w:val="24"/>
        </w:rPr>
        <w:t>”，故本项目结合临床实际可行性，采样周期设定为</w:t>
      </w:r>
      <w:r w:rsidR="00023578">
        <w:rPr>
          <w:rFonts w:hint="eastAsia"/>
          <w:sz w:val="24"/>
          <w:szCs w:val="24"/>
        </w:rPr>
        <w:t>72h</w:t>
      </w:r>
      <w:r w:rsidR="00023578">
        <w:rPr>
          <w:rFonts w:hint="eastAsia"/>
          <w:sz w:val="24"/>
          <w:szCs w:val="24"/>
        </w:rPr>
        <w:t>。</w:t>
      </w:r>
    </w:p>
    <w:p w:rsidR="008F6361" w:rsidRPr="007B7D25" w:rsidRDefault="003A6B60" w:rsidP="007B7D25">
      <w:pPr>
        <w:pStyle w:val="ListParagraph"/>
        <w:spacing w:line="360" w:lineRule="auto"/>
        <w:ind w:firstLine="482"/>
        <w:rPr>
          <w:rFonts w:hint="eastAsia"/>
          <w:b/>
          <w:sz w:val="24"/>
          <w:szCs w:val="24"/>
        </w:rPr>
      </w:pPr>
      <w:r w:rsidRPr="007B7D25">
        <w:rPr>
          <w:rFonts w:hint="eastAsia"/>
          <w:b/>
          <w:sz w:val="24"/>
          <w:szCs w:val="24"/>
        </w:rPr>
        <w:t>采样点</w:t>
      </w:r>
    </w:p>
    <w:p w:rsidR="003A6B60" w:rsidRPr="007B7D25" w:rsidRDefault="003A6B60" w:rsidP="008C338A">
      <w:pPr>
        <w:pStyle w:val="ListParagraph"/>
        <w:spacing w:line="360" w:lineRule="auto"/>
        <w:ind w:firstLine="480"/>
        <w:rPr>
          <w:rFonts w:hint="eastAsia"/>
          <w:sz w:val="24"/>
          <w:szCs w:val="24"/>
        </w:rPr>
      </w:pPr>
      <w:r>
        <w:rPr>
          <w:rFonts w:hint="eastAsia"/>
          <w:sz w:val="24"/>
          <w:szCs w:val="24"/>
        </w:rPr>
        <w:t>恩替卡韦的达峰时间在</w:t>
      </w:r>
      <w:r>
        <w:rPr>
          <w:rFonts w:hint="eastAsia"/>
          <w:sz w:val="24"/>
          <w:szCs w:val="24"/>
        </w:rPr>
        <w:t>0.5~1.5h</w:t>
      </w:r>
      <w:r>
        <w:rPr>
          <w:rFonts w:hint="eastAsia"/>
          <w:sz w:val="24"/>
          <w:szCs w:val="24"/>
        </w:rPr>
        <w:t>，</w:t>
      </w:r>
      <w:r w:rsidR="007B7D25">
        <w:rPr>
          <w:rFonts w:hint="eastAsia"/>
          <w:sz w:val="24"/>
          <w:szCs w:val="24"/>
        </w:rPr>
        <w:t>根据《化学药物临床药代动力学研究技术指导原则》，</w:t>
      </w:r>
      <w:r w:rsidR="007B7D25" w:rsidRPr="007B7D25">
        <w:rPr>
          <w:rFonts w:hint="eastAsia"/>
          <w:sz w:val="24"/>
          <w:szCs w:val="24"/>
        </w:rPr>
        <w:t>一个完整的血药浓度</w:t>
      </w:r>
      <w:r w:rsidR="007B7D25" w:rsidRPr="007B7D25">
        <w:rPr>
          <w:rFonts w:hint="eastAsia"/>
          <w:sz w:val="24"/>
          <w:szCs w:val="24"/>
        </w:rPr>
        <w:t>-</w:t>
      </w:r>
      <w:r w:rsidR="007B7D25">
        <w:rPr>
          <w:rFonts w:hint="eastAsia"/>
          <w:sz w:val="24"/>
          <w:szCs w:val="24"/>
        </w:rPr>
        <w:t>时间曲线</w:t>
      </w:r>
      <w:r w:rsidR="007B7D25" w:rsidRPr="007B7D25">
        <w:rPr>
          <w:rFonts w:hint="eastAsia"/>
          <w:sz w:val="24"/>
          <w:szCs w:val="24"/>
        </w:rPr>
        <w:t>应包括药物各时相的采样点，即采样点应包括给药后的吸收相、峰浓度附近和消除相。一般在吸收相至少需要</w:t>
      </w:r>
      <w:r w:rsidR="007B7D25" w:rsidRPr="007B7D25">
        <w:rPr>
          <w:rFonts w:hint="eastAsia"/>
          <w:sz w:val="24"/>
          <w:szCs w:val="24"/>
        </w:rPr>
        <w:t xml:space="preserve"> 2</w:t>
      </w:r>
      <w:r w:rsidR="007B7D25">
        <w:rPr>
          <w:rFonts w:hint="eastAsia"/>
          <w:sz w:val="24"/>
          <w:szCs w:val="24"/>
        </w:rPr>
        <w:t>~</w:t>
      </w:r>
      <w:r w:rsidR="007B7D25" w:rsidRPr="007B7D25">
        <w:rPr>
          <w:rFonts w:hint="eastAsia"/>
          <w:sz w:val="24"/>
          <w:szCs w:val="24"/>
        </w:rPr>
        <w:t>3</w:t>
      </w:r>
      <w:r w:rsidR="007B7D25" w:rsidRPr="007B7D25">
        <w:rPr>
          <w:rFonts w:hint="eastAsia"/>
          <w:sz w:val="24"/>
          <w:szCs w:val="24"/>
        </w:rPr>
        <w:t>个采样点，峰浓度附近至少需要</w:t>
      </w:r>
      <w:r w:rsidR="007B7D25" w:rsidRPr="007B7D25">
        <w:rPr>
          <w:rFonts w:hint="eastAsia"/>
          <w:sz w:val="24"/>
          <w:szCs w:val="24"/>
        </w:rPr>
        <w:t>3</w:t>
      </w:r>
      <w:r w:rsidR="007B7D25" w:rsidRPr="007B7D25">
        <w:rPr>
          <w:rFonts w:hint="eastAsia"/>
          <w:sz w:val="24"/>
          <w:szCs w:val="24"/>
        </w:rPr>
        <w:t>个采样点，消除相至少需要</w:t>
      </w:r>
      <w:r w:rsidR="007B7D25" w:rsidRPr="007B7D25">
        <w:rPr>
          <w:rFonts w:hint="eastAsia"/>
          <w:sz w:val="24"/>
          <w:szCs w:val="24"/>
        </w:rPr>
        <w:t>3~5</w:t>
      </w:r>
      <w:r w:rsidR="007B7D25" w:rsidRPr="007B7D25">
        <w:rPr>
          <w:rFonts w:hint="eastAsia"/>
          <w:sz w:val="24"/>
          <w:szCs w:val="24"/>
        </w:rPr>
        <w:t>个采样点。</w:t>
      </w:r>
      <w:r w:rsidR="007B7D25">
        <w:rPr>
          <w:rFonts w:hint="eastAsia"/>
          <w:sz w:val="24"/>
          <w:szCs w:val="24"/>
        </w:rPr>
        <w:t>基于以上原则，同时保证采样点充分覆盖峰浓度范围以获取准确的峰浓度，本项目采样点设计为：</w:t>
      </w:r>
      <w:r w:rsidR="007B7D25">
        <w:rPr>
          <w:rFonts w:hint="eastAsia"/>
          <w:sz w:val="24"/>
          <w:szCs w:val="24"/>
        </w:rPr>
        <w:t>0</w:t>
      </w:r>
      <w:r w:rsidR="007B7D25">
        <w:rPr>
          <w:rFonts w:hint="eastAsia"/>
          <w:sz w:val="24"/>
          <w:szCs w:val="24"/>
        </w:rPr>
        <w:t>，</w:t>
      </w:r>
      <w:r w:rsidR="007B7D25">
        <w:rPr>
          <w:rFonts w:hint="eastAsia"/>
          <w:sz w:val="24"/>
          <w:szCs w:val="24"/>
        </w:rPr>
        <w:t>10min</w:t>
      </w:r>
      <w:r w:rsidR="007B7D25">
        <w:rPr>
          <w:rFonts w:hint="eastAsia"/>
          <w:sz w:val="24"/>
          <w:szCs w:val="24"/>
        </w:rPr>
        <w:t>，</w:t>
      </w:r>
      <w:r w:rsidR="007B7D25">
        <w:rPr>
          <w:rFonts w:hint="eastAsia"/>
          <w:sz w:val="24"/>
          <w:szCs w:val="24"/>
        </w:rPr>
        <w:t>20min</w:t>
      </w:r>
      <w:r w:rsidR="007B7D25">
        <w:rPr>
          <w:rFonts w:hint="eastAsia"/>
          <w:sz w:val="24"/>
          <w:szCs w:val="24"/>
        </w:rPr>
        <w:t>，</w:t>
      </w:r>
      <w:r w:rsidR="007B7D25">
        <w:rPr>
          <w:rFonts w:hint="eastAsia"/>
          <w:sz w:val="24"/>
          <w:szCs w:val="24"/>
        </w:rPr>
        <w:t>30min</w:t>
      </w:r>
      <w:r w:rsidR="007B7D25">
        <w:rPr>
          <w:rFonts w:hint="eastAsia"/>
          <w:sz w:val="24"/>
          <w:szCs w:val="24"/>
        </w:rPr>
        <w:t>，</w:t>
      </w:r>
      <w:r w:rsidR="007B7D25">
        <w:rPr>
          <w:rFonts w:hint="eastAsia"/>
          <w:sz w:val="24"/>
          <w:szCs w:val="24"/>
        </w:rPr>
        <w:t>40min</w:t>
      </w:r>
      <w:r w:rsidR="007B7D25">
        <w:rPr>
          <w:rFonts w:hint="eastAsia"/>
          <w:sz w:val="24"/>
          <w:szCs w:val="24"/>
        </w:rPr>
        <w:t>，</w:t>
      </w:r>
      <w:r w:rsidR="007B7D25">
        <w:rPr>
          <w:rFonts w:hint="eastAsia"/>
          <w:sz w:val="24"/>
          <w:szCs w:val="24"/>
        </w:rPr>
        <w:t>50min</w:t>
      </w:r>
      <w:r w:rsidR="007B7D25">
        <w:rPr>
          <w:rFonts w:hint="eastAsia"/>
          <w:sz w:val="24"/>
          <w:szCs w:val="24"/>
        </w:rPr>
        <w:t>，</w:t>
      </w:r>
      <w:r w:rsidR="007B7D25">
        <w:rPr>
          <w:rFonts w:hint="eastAsia"/>
          <w:sz w:val="24"/>
          <w:szCs w:val="24"/>
        </w:rPr>
        <w:t>1h</w:t>
      </w:r>
      <w:r w:rsidR="007B7D25">
        <w:rPr>
          <w:rFonts w:hint="eastAsia"/>
          <w:sz w:val="24"/>
          <w:szCs w:val="24"/>
        </w:rPr>
        <w:t>，</w:t>
      </w:r>
      <w:r w:rsidR="007B7D25">
        <w:rPr>
          <w:rFonts w:hint="eastAsia"/>
          <w:sz w:val="24"/>
          <w:szCs w:val="24"/>
        </w:rPr>
        <w:t>1.25h</w:t>
      </w:r>
      <w:r w:rsidR="007B7D25">
        <w:rPr>
          <w:rFonts w:hint="eastAsia"/>
          <w:sz w:val="24"/>
          <w:szCs w:val="24"/>
        </w:rPr>
        <w:t>，</w:t>
      </w:r>
      <w:r w:rsidR="007B7D25">
        <w:rPr>
          <w:rFonts w:hint="eastAsia"/>
          <w:sz w:val="24"/>
          <w:szCs w:val="24"/>
        </w:rPr>
        <w:t>1.5h</w:t>
      </w:r>
      <w:r w:rsidR="007B7D25">
        <w:rPr>
          <w:rFonts w:hint="eastAsia"/>
          <w:sz w:val="24"/>
          <w:szCs w:val="24"/>
        </w:rPr>
        <w:t>，</w:t>
      </w:r>
      <w:r w:rsidR="007B7D25">
        <w:rPr>
          <w:rFonts w:hint="eastAsia"/>
          <w:sz w:val="24"/>
          <w:szCs w:val="24"/>
        </w:rPr>
        <w:lastRenderedPageBreak/>
        <w:t>1.75h</w:t>
      </w:r>
      <w:r w:rsidR="007B7D25">
        <w:rPr>
          <w:rFonts w:hint="eastAsia"/>
          <w:sz w:val="24"/>
          <w:szCs w:val="24"/>
        </w:rPr>
        <w:t>，</w:t>
      </w:r>
      <w:r w:rsidR="007B7D25">
        <w:rPr>
          <w:rFonts w:hint="eastAsia"/>
          <w:sz w:val="24"/>
          <w:szCs w:val="24"/>
        </w:rPr>
        <w:t>2h</w:t>
      </w:r>
      <w:r w:rsidR="007B7D25">
        <w:rPr>
          <w:rFonts w:hint="eastAsia"/>
          <w:sz w:val="24"/>
          <w:szCs w:val="24"/>
        </w:rPr>
        <w:t>，</w:t>
      </w:r>
      <w:r w:rsidR="007B7D25">
        <w:rPr>
          <w:rFonts w:hint="eastAsia"/>
          <w:sz w:val="24"/>
          <w:szCs w:val="24"/>
        </w:rPr>
        <w:t>2.5h</w:t>
      </w:r>
      <w:r w:rsidR="007B7D25">
        <w:rPr>
          <w:rFonts w:hint="eastAsia"/>
          <w:sz w:val="24"/>
          <w:szCs w:val="24"/>
        </w:rPr>
        <w:t>，</w:t>
      </w:r>
      <w:r w:rsidR="007B7D25">
        <w:rPr>
          <w:rFonts w:hint="eastAsia"/>
          <w:sz w:val="24"/>
          <w:szCs w:val="24"/>
        </w:rPr>
        <w:t>3h</w:t>
      </w:r>
      <w:r w:rsidR="007B7D25">
        <w:rPr>
          <w:rFonts w:hint="eastAsia"/>
          <w:sz w:val="24"/>
          <w:szCs w:val="24"/>
        </w:rPr>
        <w:t>，</w:t>
      </w:r>
      <w:r w:rsidR="007B7D25">
        <w:rPr>
          <w:rFonts w:hint="eastAsia"/>
          <w:sz w:val="24"/>
          <w:szCs w:val="24"/>
        </w:rPr>
        <w:t>4h</w:t>
      </w:r>
      <w:r w:rsidR="007B7D25">
        <w:rPr>
          <w:rFonts w:hint="eastAsia"/>
          <w:sz w:val="24"/>
          <w:szCs w:val="24"/>
        </w:rPr>
        <w:t>，</w:t>
      </w:r>
      <w:r w:rsidR="007B7D25">
        <w:rPr>
          <w:rFonts w:hint="eastAsia"/>
          <w:sz w:val="24"/>
          <w:szCs w:val="24"/>
        </w:rPr>
        <w:t>6h</w:t>
      </w:r>
      <w:r w:rsidR="007B7D25">
        <w:rPr>
          <w:rFonts w:hint="eastAsia"/>
          <w:sz w:val="24"/>
          <w:szCs w:val="24"/>
        </w:rPr>
        <w:t>，</w:t>
      </w:r>
      <w:r w:rsidR="007B7D25">
        <w:rPr>
          <w:rFonts w:hint="eastAsia"/>
          <w:sz w:val="24"/>
          <w:szCs w:val="24"/>
        </w:rPr>
        <w:t>8h</w:t>
      </w:r>
      <w:r w:rsidR="007B7D25">
        <w:rPr>
          <w:rFonts w:hint="eastAsia"/>
          <w:sz w:val="24"/>
          <w:szCs w:val="24"/>
        </w:rPr>
        <w:t>，</w:t>
      </w:r>
      <w:r w:rsidR="007B7D25">
        <w:rPr>
          <w:rFonts w:hint="eastAsia"/>
          <w:sz w:val="24"/>
          <w:szCs w:val="24"/>
        </w:rPr>
        <w:t>12h</w:t>
      </w:r>
      <w:r w:rsidR="007B7D25">
        <w:rPr>
          <w:rFonts w:hint="eastAsia"/>
          <w:sz w:val="24"/>
          <w:szCs w:val="24"/>
        </w:rPr>
        <w:t>，</w:t>
      </w:r>
      <w:r w:rsidR="007B7D25">
        <w:rPr>
          <w:rFonts w:hint="eastAsia"/>
          <w:sz w:val="24"/>
          <w:szCs w:val="24"/>
        </w:rPr>
        <w:t>24h</w:t>
      </w:r>
      <w:r w:rsidR="007B7D25">
        <w:rPr>
          <w:rFonts w:hint="eastAsia"/>
          <w:sz w:val="24"/>
          <w:szCs w:val="24"/>
        </w:rPr>
        <w:t>，</w:t>
      </w:r>
      <w:r w:rsidR="007B7D25">
        <w:rPr>
          <w:rFonts w:hint="eastAsia"/>
          <w:sz w:val="24"/>
          <w:szCs w:val="24"/>
        </w:rPr>
        <w:t>48h</w:t>
      </w:r>
      <w:r w:rsidR="007B7D25">
        <w:rPr>
          <w:rFonts w:hint="eastAsia"/>
          <w:sz w:val="24"/>
          <w:szCs w:val="24"/>
        </w:rPr>
        <w:t>，</w:t>
      </w:r>
      <w:r w:rsidR="007B7D25">
        <w:rPr>
          <w:rFonts w:hint="eastAsia"/>
          <w:sz w:val="24"/>
          <w:szCs w:val="24"/>
        </w:rPr>
        <w:t>72h</w:t>
      </w:r>
      <w:r w:rsidR="007B7D25">
        <w:rPr>
          <w:rFonts w:hint="eastAsia"/>
          <w:sz w:val="24"/>
          <w:szCs w:val="24"/>
        </w:rPr>
        <w:t>。正式试验可根据预试验结果做进一步调整。</w:t>
      </w:r>
    </w:p>
    <w:p w:rsidR="006046F9" w:rsidRPr="006D6E89" w:rsidRDefault="006046F9" w:rsidP="006D6E89">
      <w:pPr>
        <w:pStyle w:val="ListParagraph"/>
        <w:numPr>
          <w:ilvl w:val="1"/>
          <w:numId w:val="1"/>
        </w:numPr>
        <w:spacing w:line="360" w:lineRule="auto"/>
        <w:ind w:firstLineChars="0"/>
        <w:rPr>
          <w:rFonts w:hint="eastAsia"/>
          <w:b/>
          <w:sz w:val="24"/>
          <w:szCs w:val="24"/>
        </w:rPr>
      </w:pPr>
      <w:r w:rsidRPr="006D6E89">
        <w:rPr>
          <w:rFonts w:hint="eastAsia"/>
          <w:b/>
          <w:sz w:val="24"/>
          <w:szCs w:val="24"/>
        </w:rPr>
        <w:t>具体难点及关键点</w:t>
      </w:r>
    </w:p>
    <w:p w:rsidR="006D6E89" w:rsidRPr="006D6E89" w:rsidRDefault="006D6E89" w:rsidP="006D6E89">
      <w:pPr>
        <w:pStyle w:val="ListParagraph"/>
        <w:spacing w:line="360" w:lineRule="auto"/>
        <w:ind w:firstLine="480"/>
        <w:rPr>
          <w:rFonts w:hint="eastAsia"/>
          <w:sz w:val="24"/>
          <w:szCs w:val="24"/>
        </w:rPr>
      </w:pPr>
      <w:r w:rsidRPr="006D6E89">
        <w:rPr>
          <w:rFonts w:hint="eastAsia"/>
          <w:sz w:val="24"/>
          <w:szCs w:val="24"/>
        </w:rPr>
        <w:t>在整个研究过程中，研究者要对受试者进行严格的管理。在研究期间受试者必须遵守研究方案的规定，进食统一中餐、晚餐，给药当日受试者应严格禁食（统一试验餐除外），饮水要按照方案规定要求</w:t>
      </w:r>
      <w:r>
        <w:rPr>
          <w:rFonts w:hint="eastAsia"/>
          <w:sz w:val="24"/>
          <w:szCs w:val="24"/>
        </w:rPr>
        <w:t>，确保受试者服药、饮食、饮水的依从性</w:t>
      </w:r>
      <w:r w:rsidRPr="006D6E89">
        <w:rPr>
          <w:rFonts w:hint="eastAsia"/>
          <w:sz w:val="24"/>
          <w:szCs w:val="24"/>
        </w:rPr>
        <w:t>。整个试验期间严禁吸烟、不得饮酒或含酒精的饮料、不得摄取葡萄柚、巧克力及任何含咖啡因（如咖啡、浓茶等）的饮料，未经医生同意不得随便使用试验药物以外的任何药物。在采血期间不能离开</w:t>
      </w:r>
      <w:r w:rsidRPr="006D6E89">
        <w:rPr>
          <w:rFonts w:hint="eastAsia"/>
          <w:sz w:val="24"/>
          <w:szCs w:val="24"/>
        </w:rPr>
        <w:t>I</w:t>
      </w:r>
      <w:r w:rsidRPr="006D6E89">
        <w:rPr>
          <w:rFonts w:hint="eastAsia"/>
          <w:sz w:val="24"/>
          <w:szCs w:val="24"/>
        </w:rPr>
        <w:t>期病房。如出现特殊情况，应如实记录，如符合剔除标准或中止标准者则按</w:t>
      </w:r>
      <w:r>
        <w:rPr>
          <w:rFonts w:hint="eastAsia"/>
          <w:sz w:val="24"/>
          <w:szCs w:val="24"/>
        </w:rPr>
        <w:t>方案设定标准</w:t>
      </w:r>
      <w:r w:rsidRPr="006D6E89">
        <w:rPr>
          <w:rFonts w:hint="eastAsia"/>
          <w:sz w:val="24"/>
          <w:szCs w:val="24"/>
        </w:rPr>
        <w:t>处理</w:t>
      </w:r>
      <w:r>
        <w:rPr>
          <w:rFonts w:hint="eastAsia"/>
          <w:sz w:val="24"/>
          <w:szCs w:val="24"/>
        </w:rPr>
        <w:t>。</w:t>
      </w:r>
    </w:p>
    <w:p w:rsidR="006D6E89" w:rsidRPr="006D6E89" w:rsidRDefault="006D6E89" w:rsidP="006D6E89">
      <w:pPr>
        <w:pStyle w:val="ListParagraph"/>
        <w:spacing w:line="360" w:lineRule="auto"/>
        <w:ind w:firstLine="480"/>
        <w:rPr>
          <w:rFonts w:hint="eastAsia"/>
          <w:sz w:val="24"/>
          <w:szCs w:val="24"/>
        </w:rPr>
      </w:pPr>
      <w:r>
        <w:rPr>
          <w:rFonts w:hint="eastAsia"/>
          <w:sz w:val="24"/>
          <w:szCs w:val="24"/>
        </w:rPr>
        <w:t>试验</w:t>
      </w:r>
      <w:r w:rsidRPr="006D6E89">
        <w:rPr>
          <w:rFonts w:hint="eastAsia"/>
          <w:sz w:val="24"/>
          <w:szCs w:val="24"/>
        </w:rPr>
        <w:t>过程</w:t>
      </w:r>
      <w:r>
        <w:rPr>
          <w:rFonts w:hint="eastAsia"/>
          <w:sz w:val="24"/>
          <w:szCs w:val="24"/>
        </w:rPr>
        <w:t>保证</w:t>
      </w:r>
      <w:r w:rsidRPr="006D6E89">
        <w:rPr>
          <w:rFonts w:hint="eastAsia"/>
          <w:sz w:val="24"/>
          <w:szCs w:val="24"/>
        </w:rPr>
        <w:t>规范</w:t>
      </w:r>
      <w:r>
        <w:rPr>
          <w:rFonts w:hint="eastAsia"/>
          <w:sz w:val="24"/>
          <w:szCs w:val="24"/>
        </w:rPr>
        <w:t>、严谨，</w:t>
      </w:r>
      <w:r w:rsidRPr="006D6E89">
        <w:rPr>
          <w:rFonts w:hint="eastAsia"/>
          <w:sz w:val="24"/>
          <w:szCs w:val="24"/>
        </w:rPr>
        <w:t>结果科学可靠，保护受试者权益并保障其安全。保障数据真实、准确、完整、及时、合法地载入原始记录和</w:t>
      </w:r>
      <w:proofErr w:type="spellStart"/>
      <w:r w:rsidRPr="006D6E89">
        <w:rPr>
          <w:rFonts w:hint="eastAsia"/>
          <w:sz w:val="24"/>
          <w:szCs w:val="24"/>
        </w:rPr>
        <w:t>eCRF</w:t>
      </w:r>
      <w:proofErr w:type="spellEnd"/>
      <w:r w:rsidRPr="006D6E89">
        <w:rPr>
          <w:rFonts w:hint="eastAsia"/>
          <w:sz w:val="24"/>
          <w:szCs w:val="24"/>
        </w:rPr>
        <w:t>中。</w:t>
      </w:r>
    </w:p>
    <w:p w:rsidR="006046F9" w:rsidRDefault="003D4D61" w:rsidP="006046F9">
      <w:pPr>
        <w:pStyle w:val="ListParagraph"/>
        <w:numPr>
          <w:ilvl w:val="0"/>
          <w:numId w:val="1"/>
        </w:numPr>
        <w:spacing w:beforeLines="100" w:before="312" w:line="360" w:lineRule="auto"/>
        <w:ind w:firstLineChars="0"/>
        <w:rPr>
          <w:rFonts w:hint="eastAsia"/>
          <w:b/>
          <w:sz w:val="24"/>
          <w:szCs w:val="24"/>
        </w:rPr>
      </w:pPr>
      <w:r w:rsidRPr="003D4D61">
        <w:rPr>
          <w:rFonts w:hint="eastAsia"/>
          <w:b/>
          <w:sz w:val="24"/>
          <w:szCs w:val="24"/>
        </w:rPr>
        <w:t>本</w:t>
      </w:r>
      <w:r w:rsidRPr="003D4D61">
        <w:rPr>
          <w:rFonts w:hint="eastAsia"/>
          <w:b/>
          <w:sz w:val="24"/>
          <w:szCs w:val="24"/>
        </w:rPr>
        <w:t>BE</w:t>
      </w:r>
      <w:r w:rsidRPr="003D4D61">
        <w:rPr>
          <w:rFonts w:hint="eastAsia"/>
          <w:b/>
          <w:sz w:val="24"/>
          <w:szCs w:val="24"/>
        </w:rPr>
        <w:t>研究的质量保证措施</w:t>
      </w:r>
    </w:p>
    <w:p w:rsidR="00B76E3B" w:rsidRPr="00B76E3B" w:rsidRDefault="00B76E3B" w:rsidP="00B76E3B">
      <w:pPr>
        <w:pStyle w:val="ListParagraph"/>
        <w:spacing w:line="360" w:lineRule="auto"/>
        <w:ind w:firstLine="480"/>
        <w:rPr>
          <w:rFonts w:hint="eastAsia"/>
          <w:sz w:val="24"/>
          <w:szCs w:val="24"/>
        </w:rPr>
      </w:pPr>
      <w:r w:rsidRPr="00B76E3B">
        <w:rPr>
          <w:rFonts w:hint="eastAsia"/>
          <w:sz w:val="24"/>
          <w:szCs w:val="24"/>
        </w:rPr>
        <w:t>CRO</w:t>
      </w:r>
      <w:r>
        <w:rPr>
          <w:rFonts w:hint="eastAsia"/>
          <w:sz w:val="24"/>
          <w:szCs w:val="24"/>
        </w:rPr>
        <w:t>公司将与研究机构主要研究者</w:t>
      </w:r>
      <w:r w:rsidRPr="00B76E3B">
        <w:rPr>
          <w:rFonts w:hint="eastAsia"/>
          <w:sz w:val="24"/>
          <w:szCs w:val="24"/>
        </w:rPr>
        <w:t>制定并确认试验方案。</w:t>
      </w:r>
    </w:p>
    <w:p w:rsidR="00063D64" w:rsidRDefault="00B76E3B" w:rsidP="00063D64">
      <w:pPr>
        <w:pStyle w:val="ListParagraph"/>
        <w:spacing w:line="360" w:lineRule="auto"/>
        <w:ind w:firstLine="480"/>
        <w:rPr>
          <w:rFonts w:hint="eastAsia"/>
          <w:b/>
          <w:sz w:val="24"/>
          <w:szCs w:val="24"/>
        </w:rPr>
      </w:pPr>
      <w:r>
        <w:rPr>
          <w:rFonts w:hint="eastAsia"/>
          <w:sz w:val="24"/>
          <w:szCs w:val="24"/>
        </w:rPr>
        <w:t>CRO</w:t>
      </w:r>
      <w:r>
        <w:rPr>
          <w:rFonts w:hint="eastAsia"/>
          <w:sz w:val="24"/>
          <w:szCs w:val="24"/>
        </w:rPr>
        <w:t>公司</w:t>
      </w:r>
      <w:r w:rsidRPr="00B76E3B">
        <w:rPr>
          <w:rFonts w:hint="eastAsia"/>
          <w:sz w:val="24"/>
          <w:szCs w:val="24"/>
        </w:rPr>
        <w:t>派遣</w:t>
      </w:r>
      <w:r>
        <w:rPr>
          <w:rFonts w:hint="eastAsia"/>
          <w:sz w:val="24"/>
          <w:szCs w:val="24"/>
        </w:rPr>
        <w:t>有经验的</w:t>
      </w:r>
      <w:r w:rsidRPr="00B76E3B">
        <w:rPr>
          <w:rFonts w:hint="eastAsia"/>
          <w:sz w:val="24"/>
          <w:szCs w:val="24"/>
        </w:rPr>
        <w:t>临床研究监查员</w:t>
      </w:r>
      <w:r w:rsidRPr="00B76E3B">
        <w:rPr>
          <w:rFonts w:hint="eastAsia"/>
          <w:sz w:val="24"/>
          <w:szCs w:val="24"/>
        </w:rPr>
        <w:t>(CRA)</w:t>
      </w:r>
      <w:r w:rsidRPr="00B76E3B">
        <w:rPr>
          <w:rFonts w:hint="eastAsia"/>
          <w:sz w:val="24"/>
          <w:szCs w:val="24"/>
        </w:rPr>
        <w:t>，监查员对该项研究的所有方面进行监查，以保证数据的真实性与完整性及试验过程的规范性；核实试验用药物按照有关规定进行供应、储藏、分发、收回。监查员应按</w:t>
      </w:r>
      <w:r w:rsidRPr="00B76E3B">
        <w:rPr>
          <w:rFonts w:hint="eastAsia"/>
          <w:sz w:val="24"/>
          <w:szCs w:val="24"/>
        </w:rPr>
        <w:t>GCP</w:t>
      </w:r>
      <w:r w:rsidRPr="00B76E3B">
        <w:rPr>
          <w:rFonts w:hint="eastAsia"/>
          <w:sz w:val="24"/>
          <w:szCs w:val="24"/>
        </w:rPr>
        <w:t>、</w:t>
      </w:r>
      <w:r w:rsidRPr="00B76E3B">
        <w:rPr>
          <w:rFonts w:hint="eastAsia"/>
          <w:sz w:val="24"/>
          <w:szCs w:val="24"/>
        </w:rPr>
        <w:t>SOP</w:t>
      </w:r>
      <w:r w:rsidRPr="00B76E3B">
        <w:rPr>
          <w:rFonts w:hint="eastAsia"/>
          <w:sz w:val="24"/>
          <w:szCs w:val="24"/>
        </w:rPr>
        <w:t>及临床试验方案等的要求进行监查，并做相应记录，写出书面监查报告。派遣临床协调员</w:t>
      </w:r>
      <w:r w:rsidRPr="00B76E3B">
        <w:rPr>
          <w:rFonts w:hint="eastAsia"/>
          <w:sz w:val="24"/>
          <w:szCs w:val="24"/>
        </w:rPr>
        <w:t>(CRC)</w:t>
      </w:r>
      <w:r w:rsidRPr="00B76E3B">
        <w:rPr>
          <w:rFonts w:hint="eastAsia"/>
          <w:sz w:val="24"/>
          <w:szCs w:val="24"/>
        </w:rPr>
        <w:t>，协助研究者进行试验管理，包括协调申报伦理、研究协议签署、实验室样本送样前的整理和记录，试验相关</w:t>
      </w:r>
      <w:proofErr w:type="spellStart"/>
      <w:r w:rsidRPr="00B76E3B">
        <w:rPr>
          <w:rFonts w:hint="eastAsia"/>
          <w:sz w:val="24"/>
          <w:szCs w:val="24"/>
        </w:rPr>
        <w:t>eCRF</w:t>
      </w:r>
      <w:proofErr w:type="spellEnd"/>
      <w:r w:rsidRPr="00B76E3B">
        <w:rPr>
          <w:rFonts w:hint="eastAsia"/>
          <w:sz w:val="24"/>
          <w:szCs w:val="24"/>
        </w:rPr>
        <w:t>的录入（保证数据准确、完整、及时、合法地载入</w:t>
      </w:r>
      <w:proofErr w:type="spellStart"/>
      <w:r w:rsidRPr="00B76E3B">
        <w:rPr>
          <w:rFonts w:hint="eastAsia"/>
          <w:sz w:val="24"/>
          <w:szCs w:val="24"/>
        </w:rPr>
        <w:t>eCRF</w:t>
      </w:r>
      <w:proofErr w:type="spellEnd"/>
      <w:r w:rsidRPr="00B76E3B">
        <w:rPr>
          <w:rFonts w:hint="eastAsia"/>
          <w:sz w:val="24"/>
          <w:szCs w:val="24"/>
        </w:rPr>
        <w:t>）、受试者管理、资料整理、项目归档及其他经主要研究者授权的非医疗任务等。</w:t>
      </w:r>
    </w:p>
    <w:p w:rsidR="00063D64" w:rsidRDefault="00063D64" w:rsidP="00063D64">
      <w:pPr>
        <w:pStyle w:val="ListParagraph"/>
        <w:numPr>
          <w:ilvl w:val="0"/>
          <w:numId w:val="1"/>
        </w:numPr>
        <w:spacing w:beforeLines="100" w:before="312" w:line="360" w:lineRule="auto"/>
        <w:ind w:firstLineChars="0"/>
        <w:rPr>
          <w:rFonts w:hint="eastAsia"/>
          <w:b/>
          <w:sz w:val="24"/>
          <w:szCs w:val="24"/>
        </w:rPr>
      </w:pPr>
      <w:r>
        <w:rPr>
          <w:rFonts w:hint="eastAsia"/>
          <w:b/>
          <w:sz w:val="24"/>
          <w:szCs w:val="24"/>
        </w:rPr>
        <w:t>附录</w:t>
      </w:r>
      <w:r>
        <w:rPr>
          <w:rFonts w:hint="eastAsia"/>
          <w:b/>
          <w:sz w:val="24"/>
          <w:szCs w:val="24"/>
        </w:rPr>
        <w:t xml:space="preserve"> </w:t>
      </w:r>
      <w:r>
        <w:rPr>
          <w:rFonts w:hint="eastAsia"/>
          <w:b/>
          <w:sz w:val="24"/>
          <w:szCs w:val="24"/>
        </w:rPr>
        <w:t>恩替卡韦片（</w:t>
      </w:r>
      <w:r>
        <w:rPr>
          <w:rFonts w:hint="eastAsia"/>
          <w:b/>
          <w:sz w:val="24"/>
          <w:szCs w:val="24"/>
        </w:rPr>
        <w:t>0.5 mg</w:t>
      </w:r>
      <w:r>
        <w:rPr>
          <w:rFonts w:hint="eastAsia"/>
          <w:b/>
          <w:sz w:val="24"/>
          <w:szCs w:val="24"/>
        </w:rPr>
        <w:t>）生物等效性试验方案摘要</w:t>
      </w:r>
    </w:p>
    <w:tbl>
      <w:tblPr>
        <w:tblW w:w="9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606"/>
      </w:tblGrid>
      <w:tr w:rsidR="00063D64" w:rsidTr="00063D64">
        <w:trPr>
          <w:trHeight w:val="227"/>
        </w:trPr>
        <w:tc>
          <w:tcPr>
            <w:tcW w:w="1526" w:type="dxa"/>
            <w:tcBorders>
              <w:top w:val="single" w:sz="4" w:space="0" w:color="auto"/>
              <w:left w:val="single" w:sz="4" w:space="0" w:color="auto"/>
              <w:bottom w:val="single" w:sz="4" w:space="0" w:color="auto"/>
              <w:right w:val="single" w:sz="4" w:space="0" w:color="auto"/>
            </w:tcBorders>
            <w:vAlign w:val="center"/>
            <w:hideMark/>
          </w:tcPr>
          <w:p w:rsidR="00063D64" w:rsidRDefault="00063D64" w:rsidP="00063D64">
            <w:pPr>
              <w:spacing w:line="380" w:lineRule="exact"/>
              <w:rPr>
                <w:sz w:val="24"/>
                <w:szCs w:val="24"/>
              </w:rPr>
            </w:pPr>
            <w:r>
              <w:rPr>
                <w:rFonts w:hint="eastAsia"/>
                <w:sz w:val="24"/>
              </w:rPr>
              <w:t>研究药物</w:t>
            </w:r>
          </w:p>
        </w:tc>
        <w:tc>
          <w:tcPr>
            <w:tcW w:w="7606" w:type="dxa"/>
            <w:tcBorders>
              <w:top w:val="single" w:sz="4" w:space="0" w:color="auto"/>
              <w:left w:val="single" w:sz="4" w:space="0" w:color="auto"/>
              <w:bottom w:val="single" w:sz="4" w:space="0" w:color="auto"/>
              <w:right w:val="single" w:sz="4" w:space="0" w:color="auto"/>
            </w:tcBorders>
            <w:vAlign w:val="center"/>
            <w:hideMark/>
          </w:tcPr>
          <w:p w:rsidR="00063D64" w:rsidRDefault="00063D64">
            <w:pPr>
              <w:spacing w:line="380" w:lineRule="exact"/>
              <w:rPr>
                <w:sz w:val="24"/>
                <w:szCs w:val="24"/>
              </w:rPr>
            </w:pPr>
            <w:r>
              <w:rPr>
                <w:rFonts w:hint="eastAsia"/>
                <w:sz w:val="24"/>
                <w:szCs w:val="24"/>
              </w:rPr>
              <w:t>恩替卡韦（</w:t>
            </w:r>
            <w:r>
              <w:rPr>
                <w:rFonts w:hint="eastAsia"/>
                <w:sz w:val="24"/>
                <w:szCs w:val="24"/>
              </w:rPr>
              <w:t>0.5 mg</w:t>
            </w:r>
            <w:r>
              <w:rPr>
                <w:rFonts w:hint="eastAsia"/>
                <w:sz w:val="24"/>
                <w:szCs w:val="24"/>
              </w:rPr>
              <w:t>）</w:t>
            </w:r>
          </w:p>
        </w:tc>
      </w:tr>
      <w:tr w:rsidR="00063D64" w:rsidTr="00063D64">
        <w:trPr>
          <w:trHeight w:val="227"/>
        </w:trPr>
        <w:tc>
          <w:tcPr>
            <w:tcW w:w="1526" w:type="dxa"/>
            <w:tcBorders>
              <w:top w:val="single" w:sz="4" w:space="0" w:color="auto"/>
              <w:left w:val="single" w:sz="4" w:space="0" w:color="auto"/>
              <w:bottom w:val="single" w:sz="4" w:space="0" w:color="auto"/>
              <w:right w:val="single" w:sz="4" w:space="0" w:color="auto"/>
            </w:tcBorders>
            <w:vAlign w:val="center"/>
          </w:tcPr>
          <w:p w:rsidR="00063D64" w:rsidRDefault="00063D64">
            <w:pPr>
              <w:spacing w:line="380" w:lineRule="exact"/>
              <w:rPr>
                <w:rFonts w:hint="eastAsia"/>
                <w:sz w:val="24"/>
              </w:rPr>
            </w:pPr>
            <w:r>
              <w:rPr>
                <w:rFonts w:hint="eastAsia"/>
                <w:sz w:val="24"/>
              </w:rPr>
              <w:t>研究名称</w:t>
            </w:r>
          </w:p>
        </w:tc>
        <w:tc>
          <w:tcPr>
            <w:tcW w:w="7606" w:type="dxa"/>
            <w:tcBorders>
              <w:top w:val="single" w:sz="4" w:space="0" w:color="auto"/>
              <w:left w:val="single" w:sz="4" w:space="0" w:color="auto"/>
              <w:bottom w:val="single" w:sz="4" w:space="0" w:color="auto"/>
              <w:right w:val="single" w:sz="4" w:space="0" w:color="auto"/>
            </w:tcBorders>
            <w:vAlign w:val="center"/>
          </w:tcPr>
          <w:p w:rsidR="00063D64" w:rsidRDefault="00063D64" w:rsidP="00063D64">
            <w:pPr>
              <w:spacing w:line="380" w:lineRule="exact"/>
              <w:rPr>
                <w:rFonts w:hint="eastAsia"/>
                <w:sz w:val="24"/>
              </w:rPr>
            </w:pPr>
            <w:r>
              <w:rPr>
                <w:rFonts w:hint="eastAsia"/>
                <w:sz w:val="24"/>
              </w:rPr>
              <w:t>单中心、随机、开放、双周期、双交叉设计评价健康受试者空腹单次口服</w:t>
            </w:r>
            <w:r>
              <w:rPr>
                <w:rFonts w:hint="eastAsia"/>
                <w:sz w:val="24"/>
              </w:rPr>
              <w:t>0.</w:t>
            </w:r>
            <w:r>
              <w:rPr>
                <w:sz w:val="24"/>
              </w:rPr>
              <w:t>5</w:t>
            </w:r>
            <w:r>
              <w:rPr>
                <w:rFonts w:hint="eastAsia"/>
                <w:sz w:val="24"/>
              </w:rPr>
              <w:t xml:space="preserve"> </w:t>
            </w:r>
            <w:r>
              <w:rPr>
                <w:sz w:val="24"/>
              </w:rPr>
              <w:t>mg</w:t>
            </w:r>
            <w:r>
              <w:rPr>
                <w:rFonts w:hint="eastAsia"/>
                <w:sz w:val="24"/>
              </w:rPr>
              <w:t>恩替卡韦</w:t>
            </w:r>
            <w:r>
              <w:rPr>
                <w:rFonts w:hint="eastAsia"/>
                <w:sz w:val="24"/>
              </w:rPr>
              <w:t>片的人体生物等效性试验</w:t>
            </w:r>
          </w:p>
        </w:tc>
      </w:tr>
      <w:tr w:rsidR="00063D64" w:rsidTr="00063D64">
        <w:trPr>
          <w:trHeight w:val="227"/>
        </w:trPr>
        <w:tc>
          <w:tcPr>
            <w:tcW w:w="1526" w:type="dxa"/>
            <w:tcBorders>
              <w:top w:val="single" w:sz="4" w:space="0" w:color="auto"/>
              <w:left w:val="single" w:sz="4" w:space="0" w:color="auto"/>
              <w:bottom w:val="single" w:sz="4" w:space="0" w:color="auto"/>
              <w:right w:val="single" w:sz="4" w:space="0" w:color="auto"/>
            </w:tcBorders>
            <w:vAlign w:val="center"/>
            <w:hideMark/>
          </w:tcPr>
          <w:p w:rsidR="00063D64" w:rsidRDefault="00063D64">
            <w:pPr>
              <w:adjustRightInd w:val="0"/>
              <w:snapToGrid w:val="0"/>
              <w:spacing w:line="360" w:lineRule="auto"/>
              <w:ind w:rightChars="-30" w:right="-63"/>
              <w:rPr>
                <w:sz w:val="24"/>
                <w:szCs w:val="24"/>
              </w:rPr>
            </w:pPr>
            <w:r>
              <w:rPr>
                <w:rFonts w:hint="eastAsia"/>
                <w:sz w:val="24"/>
              </w:rPr>
              <w:t>试验目的</w:t>
            </w:r>
          </w:p>
        </w:tc>
        <w:tc>
          <w:tcPr>
            <w:tcW w:w="7606" w:type="dxa"/>
            <w:tcBorders>
              <w:top w:val="single" w:sz="4" w:space="0" w:color="auto"/>
              <w:left w:val="single" w:sz="4" w:space="0" w:color="auto"/>
              <w:bottom w:val="single" w:sz="4" w:space="0" w:color="auto"/>
              <w:right w:val="single" w:sz="4" w:space="0" w:color="auto"/>
            </w:tcBorders>
            <w:vAlign w:val="center"/>
            <w:hideMark/>
          </w:tcPr>
          <w:p w:rsidR="00063D64" w:rsidRDefault="00063D64" w:rsidP="00063D64">
            <w:pPr>
              <w:spacing w:line="360" w:lineRule="auto"/>
              <w:ind w:firstLineChars="200" w:firstLine="480"/>
              <w:rPr>
                <w:kern w:val="0"/>
                <w:sz w:val="24"/>
                <w:szCs w:val="24"/>
              </w:rPr>
            </w:pPr>
            <w:r>
              <w:rPr>
                <w:rFonts w:hint="eastAsia"/>
                <w:sz w:val="24"/>
              </w:rPr>
              <w:t>以健康</w:t>
            </w:r>
            <w:r>
              <w:rPr>
                <w:rFonts w:hint="eastAsia"/>
                <w:sz w:val="24"/>
              </w:rPr>
              <w:t>受试</w:t>
            </w:r>
            <w:r>
              <w:rPr>
                <w:rFonts w:hint="eastAsia"/>
                <w:sz w:val="24"/>
              </w:rPr>
              <w:t>者为试验对象，采用随机自身交叉对照试验方法，以</w:t>
            </w:r>
            <w:r w:rsidRPr="00C27BCF">
              <w:rPr>
                <w:sz w:val="24"/>
                <w:szCs w:val="24"/>
              </w:rPr>
              <w:t>BRISTOL MYERS SQUIBB</w:t>
            </w:r>
            <w:r>
              <w:rPr>
                <w:rFonts w:hint="eastAsia"/>
                <w:sz w:val="24"/>
              </w:rPr>
              <w:t>生产的</w:t>
            </w:r>
            <w:r>
              <w:rPr>
                <w:rFonts w:hint="eastAsia"/>
                <w:sz w:val="24"/>
              </w:rPr>
              <w:t>恩替卡韦</w:t>
            </w:r>
            <w:r>
              <w:rPr>
                <w:rFonts w:hint="eastAsia"/>
                <w:sz w:val="24"/>
              </w:rPr>
              <w:t>片</w:t>
            </w:r>
            <w:r>
              <w:rPr>
                <w:sz w:val="24"/>
              </w:rPr>
              <w:t>(</w:t>
            </w:r>
            <w:r>
              <w:rPr>
                <w:rFonts w:hint="eastAsia"/>
                <w:sz w:val="24"/>
              </w:rPr>
              <w:t>规格</w:t>
            </w:r>
            <w:r>
              <w:rPr>
                <w:rFonts w:hint="eastAsia"/>
                <w:sz w:val="24"/>
              </w:rPr>
              <w:t>0.</w:t>
            </w:r>
            <w:r>
              <w:rPr>
                <w:sz w:val="24"/>
              </w:rPr>
              <w:t>5 mg)</w:t>
            </w:r>
            <w:r>
              <w:rPr>
                <w:rFonts w:hint="eastAsia"/>
                <w:sz w:val="24"/>
              </w:rPr>
              <w:t>为参比制剂，</w:t>
            </w:r>
            <w:r>
              <w:rPr>
                <w:rFonts w:hint="eastAsia"/>
                <w:sz w:val="24"/>
              </w:rPr>
              <w:t>江</w:t>
            </w:r>
            <w:r>
              <w:rPr>
                <w:rFonts w:hint="eastAsia"/>
                <w:sz w:val="24"/>
              </w:rPr>
              <w:lastRenderedPageBreak/>
              <w:t>苏利泰尔</w:t>
            </w:r>
            <w:r>
              <w:rPr>
                <w:rFonts w:hint="eastAsia"/>
                <w:sz w:val="24"/>
              </w:rPr>
              <w:t>药业公司生产的</w:t>
            </w:r>
            <w:r>
              <w:rPr>
                <w:rFonts w:hint="eastAsia"/>
                <w:sz w:val="24"/>
              </w:rPr>
              <w:t>恩替卡韦</w:t>
            </w:r>
            <w:r>
              <w:rPr>
                <w:rFonts w:hint="eastAsia"/>
                <w:sz w:val="24"/>
              </w:rPr>
              <w:t>片</w:t>
            </w:r>
            <w:r>
              <w:rPr>
                <w:sz w:val="24"/>
              </w:rPr>
              <w:t>(</w:t>
            </w:r>
            <w:r>
              <w:rPr>
                <w:rFonts w:hint="eastAsia"/>
                <w:sz w:val="24"/>
              </w:rPr>
              <w:t>规格</w:t>
            </w:r>
            <w:r>
              <w:rPr>
                <w:rFonts w:hint="eastAsia"/>
                <w:sz w:val="24"/>
              </w:rPr>
              <w:t>0.</w:t>
            </w:r>
            <w:r>
              <w:rPr>
                <w:sz w:val="24"/>
              </w:rPr>
              <w:t>5 mg)</w:t>
            </w:r>
            <w:r>
              <w:rPr>
                <w:rFonts w:hint="eastAsia"/>
                <w:sz w:val="24"/>
              </w:rPr>
              <w:t>为受试制剂，依据相关生物等效性试验规定，评估受试制剂、参比制剂作用于空腹</w:t>
            </w:r>
            <w:r>
              <w:rPr>
                <w:rFonts w:hint="eastAsia"/>
                <w:sz w:val="24"/>
              </w:rPr>
              <w:t>状态下中国</w:t>
            </w:r>
            <w:r>
              <w:rPr>
                <w:rFonts w:hint="eastAsia"/>
                <w:sz w:val="24"/>
              </w:rPr>
              <w:t>健康</w:t>
            </w:r>
            <w:r>
              <w:rPr>
                <w:rFonts w:hint="eastAsia"/>
                <w:sz w:val="24"/>
              </w:rPr>
              <w:t>受试者</w:t>
            </w:r>
            <w:r>
              <w:rPr>
                <w:rFonts w:hint="eastAsia"/>
                <w:sz w:val="24"/>
              </w:rPr>
              <w:t>的生物等效性，为受试制剂的一致性评价提供依据。</w:t>
            </w:r>
          </w:p>
        </w:tc>
      </w:tr>
      <w:tr w:rsidR="00063D64" w:rsidTr="00063D64">
        <w:trPr>
          <w:trHeight w:val="563"/>
        </w:trPr>
        <w:tc>
          <w:tcPr>
            <w:tcW w:w="1526" w:type="dxa"/>
            <w:tcBorders>
              <w:top w:val="single" w:sz="4" w:space="0" w:color="auto"/>
              <w:left w:val="single" w:sz="4" w:space="0" w:color="auto"/>
              <w:bottom w:val="single" w:sz="4" w:space="0" w:color="auto"/>
              <w:right w:val="single" w:sz="4" w:space="0" w:color="auto"/>
            </w:tcBorders>
            <w:vAlign w:val="center"/>
            <w:hideMark/>
          </w:tcPr>
          <w:p w:rsidR="00063D64" w:rsidRDefault="00063D64" w:rsidP="00063D64">
            <w:pPr>
              <w:spacing w:line="360" w:lineRule="auto"/>
              <w:jc w:val="left"/>
              <w:rPr>
                <w:sz w:val="24"/>
                <w:szCs w:val="24"/>
              </w:rPr>
            </w:pPr>
            <w:r>
              <w:rPr>
                <w:rFonts w:hint="eastAsia"/>
                <w:spacing w:val="-10"/>
                <w:sz w:val="24"/>
              </w:rPr>
              <w:lastRenderedPageBreak/>
              <w:t>受试者例数</w:t>
            </w:r>
          </w:p>
        </w:tc>
        <w:tc>
          <w:tcPr>
            <w:tcW w:w="7606" w:type="dxa"/>
            <w:tcBorders>
              <w:top w:val="single" w:sz="4" w:space="0" w:color="auto"/>
              <w:left w:val="single" w:sz="4" w:space="0" w:color="auto"/>
              <w:bottom w:val="single" w:sz="4" w:space="0" w:color="auto"/>
              <w:right w:val="single" w:sz="4" w:space="0" w:color="auto"/>
            </w:tcBorders>
            <w:vAlign w:val="center"/>
            <w:hideMark/>
          </w:tcPr>
          <w:p w:rsidR="00063D64" w:rsidRDefault="00063D64" w:rsidP="00063D64">
            <w:pPr>
              <w:adjustRightInd w:val="0"/>
              <w:snapToGrid w:val="0"/>
              <w:spacing w:line="360" w:lineRule="auto"/>
              <w:ind w:rightChars="-30" w:right="-63"/>
              <w:jc w:val="left"/>
              <w:rPr>
                <w:sz w:val="24"/>
                <w:szCs w:val="24"/>
              </w:rPr>
            </w:pPr>
            <w:r>
              <w:rPr>
                <w:rFonts w:hint="eastAsia"/>
                <w:bCs/>
                <w:sz w:val="24"/>
              </w:rPr>
              <w:t>健康</w:t>
            </w:r>
            <w:r>
              <w:rPr>
                <w:rFonts w:hint="eastAsia"/>
                <w:sz w:val="24"/>
              </w:rPr>
              <w:t>受试者</w:t>
            </w:r>
            <w:r>
              <w:rPr>
                <w:sz w:val="24"/>
              </w:rPr>
              <w:t>24</w:t>
            </w:r>
            <w:r>
              <w:rPr>
                <w:rFonts w:hint="eastAsia"/>
                <w:sz w:val="24"/>
              </w:rPr>
              <w:t>例</w:t>
            </w:r>
          </w:p>
        </w:tc>
      </w:tr>
      <w:tr w:rsidR="00063D64" w:rsidTr="00063D64">
        <w:trPr>
          <w:trHeight w:val="227"/>
        </w:trPr>
        <w:tc>
          <w:tcPr>
            <w:tcW w:w="1526" w:type="dxa"/>
            <w:tcBorders>
              <w:top w:val="single" w:sz="4" w:space="0" w:color="auto"/>
              <w:left w:val="single" w:sz="4" w:space="0" w:color="auto"/>
              <w:bottom w:val="single" w:sz="4" w:space="0" w:color="auto"/>
              <w:right w:val="single" w:sz="4" w:space="0" w:color="auto"/>
            </w:tcBorders>
            <w:vAlign w:val="center"/>
            <w:hideMark/>
          </w:tcPr>
          <w:p w:rsidR="00063D64" w:rsidRDefault="00063D64">
            <w:pPr>
              <w:adjustRightInd w:val="0"/>
              <w:snapToGrid w:val="0"/>
              <w:spacing w:line="360" w:lineRule="auto"/>
              <w:ind w:rightChars="-30" w:right="-63"/>
              <w:rPr>
                <w:sz w:val="24"/>
                <w:szCs w:val="24"/>
              </w:rPr>
            </w:pPr>
            <w:r>
              <w:rPr>
                <w:rFonts w:hint="eastAsia"/>
                <w:sz w:val="24"/>
              </w:rPr>
              <w:t>入选标准</w:t>
            </w:r>
          </w:p>
        </w:tc>
        <w:tc>
          <w:tcPr>
            <w:tcW w:w="7606" w:type="dxa"/>
            <w:tcBorders>
              <w:top w:val="single" w:sz="4" w:space="0" w:color="auto"/>
              <w:left w:val="single" w:sz="4" w:space="0" w:color="auto"/>
              <w:bottom w:val="single" w:sz="4" w:space="0" w:color="auto"/>
              <w:right w:val="single" w:sz="4" w:space="0" w:color="auto"/>
            </w:tcBorders>
            <w:vAlign w:val="center"/>
            <w:hideMark/>
          </w:tcPr>
          <w:p w:rsidR="00514813" w:rsidRDefault="00514813" w:rsidP="00514813">
            <w:pPr>
              <w:numPr>
                <w:ilvl w:val="0"/>
                <w:numId w:val="2"/>
              </w:numPr>
              <w:spacing w:line="360" w:lineRule="auto"/>
              <w:rPr>
                <w:rFonts w:hint="eastAsia"/>
                <w:sz w:val="24"/>
              </w:rPr>
            </w:pPr>
            <w:r w:rsidRPr="00514813">
              <w:rPr>
                <w:rFonts w:hint="eastAsia"/>
                <w:sz w:val="24"/>
              </w:rPr>
              <w:t>受试者充分了解试验目的、性质、方法以及可能发生的不良反应，自愿作为受试者，并在任何研究程序开始前签署知情同意书</w:t>
            </w:r>
            <w:r>
              <w:rPr>
                <w:rFonts w:hint="eastAsia"/>
                <w:sz w:val="24"/>
              </w:rPr>
              <w:t>；</w:t>
            </w:r>
          </w:p>
          <w:p w:rsidR="00063D64" w:rsidRDefault="00514813" w:rsidP="00514813">
            <w:pPr>
              <w:numPr>
                <w:ilvl w:val="0"/>
                <w:numId w:val="2"/>
              </w:numPr>
              <w:spacing w:line="360" w:lineRule="auto"/>
              <w:rPr>
                <w:sz w:val="24"/>
              </w:rPr>
            </w:pPr>
            <w:r w:rsidRPr="00514813">
              <w:rPr>
                <w:rFonts w:hint="eastAsia"/>
                <w:sz w:val="24"/>
              </w:rPr>
              <w:t>年龄为</w:t>
            </w:r>
            <w:r w:rsidRPr="00514813">
              <w:rPr>
                <w:rFonts w:hint="eastAsia"/>
                <w:sz w:val="24"/>
              </w:rPr>
              <w:t>18~65</w:t>
            </w:r>
            <w:r w:rsidRPr="00514813">
              <w:rPr>
                <w:rFonts w:hint="eastAsia"/>
                <w:sz w:val="24"/>
              </w:rPr>
              <w:t>岁（包括</w:t>
            </w:r>
            <w:r w:rsidRPr="00514813">
              <w:rPr>
                <w:rFonts w:hint="eastAsia"/>
                <w:sz w:val="24"/>
              </w:rPr>
              <w:t>18</w:t>
            </w:r>
            <w:r w:rsidRPr="00514813">
              <w:rPr>
                <w:rFonts w:hint="eastAsia"/>
                <w:sz w:val="24"/>
              </w:rPr>
              <w:t>岁和</w:t>
            </w:r>
            <w:r w:rsidRPr="00514813">
              <w:rPr>
                <w:rFonts w:hint="eastAsia"/>
                <w:sz w:val="24"/>
              </w:rPr>
              <w:t>65</w:t>
            </w:r>
            <w:r w:rsidRPr="00514813">
              <w:rPr>
                <w:rFonts w:hint="eastAsia"/>
                <w:sz w:val="24"/>
              </w:rPr>
              <w:t>岁）的健康男性和女性受试者，性别比例适当</w:t>
            </w:r>
            <w:r>
              <w:rPr>
                <w:rFonts w:hint="eastAsia"/>
                <w:sz w:val="24"/>
              </w:rPr>
              <w:t>；</w:t>
            </w:r>
          </w:p>
          <w:p w:rsidR="00063D64" w:rsidRDefault="00514813" w:rsidP="00514813">
            <w:pPr>
              <w:numPr>
                <w:ilvl w:val="0"/>
                <w:numId w:val="2"/>
              </w:numPr>
              <w:spacing w:line="360" w:lineRule="auto"/>
              <w:rPr>
                <w:sz w:val="24"/>
              </w:rPr>
            </w:pPr>
            <w:r w:rsidRPr="00514813">
              <w:rPr>
                <w:rFonts w:hint="eastAsia"/>
                <w:sz w:val="24"/>
              </w:rPr>
              <w:t>男性体重≥</w:t>
            </w:r>
            <w:r w:rsidRPr="00514813">
              <w:rPr>
                <w:rFonts w:hint="eastAsia"/>
                <w:sz w:val="24"/>
              </w:rPr>
              <w:t>50.0 kg</w:t>
            </w:r>
            <w:r w:rsidRPr="00514813">
              <w:rPr>
                <w:rFonts w:hint="eastAsia"/>
                <w:sz w:val="24"/>
              </w:rPr>
              <w:t>，女性体重≥</w:t>
            </w:r>
            <w:r w:rsidRPr="00514813">
              <w:rPr>
                <w:rFonts w:hint="eastAsia"/>
                <w:sz w:val="24"/>
              </w:rPr>
              <w:t>45.0 kg</w:t>
            </w:r>
            <w:r w:rsidRPr="00514813">
              <w:rPr>
                <w:rFonts w:hint="eastAsia"/>
                <w:sz w:val="24"/>
              </w:rPr>
              <w:t>，体重指数（</w:t>
            </w:r>
            <w:r w:rsidRPr="00514813">
              <w:rPr>
                <w:rFonts w:hint="eastAsia"/>
                <w:sz w:val="24"/>
              </w:rPr>
              <w:t>BMI</w:t>
            </w:r>
            <w:r w:rsidRPr="00514813">
              <w:rPr>
                <w:rFonts w:hint="eastAsia"/>
                <w:sz w:val="24"/>
              </w:rPr>
              <w:t>）在</w:t>
            </w:r>
            <w:r w:rsidRPr="00514813">
              <w:rPr>
                <w:rFonts w:hint="eastAsia"/>
                <w:sz w:val="24"/>
              </w:rPr>
              <w:t>19.0~26.0 kg/m</w:t>
            </w:r>
            <w:r w:rsidRPr="00514813">
              <w:rPr>
                <w:rFonts w:hint="eastAsia"/>
                <w:sz w:val="24"/>
                <w:vertAlign w:val="superscript"/>
              </w:rPr>
              <w:t>2</w:t>
            </w:r>
            <w:r w:rsidRPr="00514813">
              <w:rPr>
                <w:rFonts w:hint="eastAsia"/>
                <w:sz w:val="24"/>
              </w:rPr>
              <w:t>范围内（包括临界值）</w:t>
            </w:r>
            <w:r w:rsidR="00063D64">
              <w:rPr>
                <w:rFonts w:hint="eastAsia"/>
                <w:sz w:val="24"/>
              </w:rPr>
              <w:t>；</w:t>
            </w:r>
          </w:p>
          <w:p w:rsidR="00063D64" w:rsidRDefault="00063D64">
            <w:pPr>
              <w:spacing w:line="360" w:lineRule="auto"/>
              <w:ind w:left="360" w:hangingChars="150" w:hanging="360"/>
              <w:rPr>
                <w:sz w:val="24"/>
              </w:rPr>
            </w:pPr>
            <w:r>
              <w:rPr>
                <w:sz w:val="24"/>
              </w:rPr>
              <w:t xml:space="preserve">4) </w:t>
            </w:r>
            <w:r w:rsidR="00514813" w:rsidRPr="00514813">
              <w:rPr>
                <w:rFonts w:hint="eastAsia"/>
                <w:sz w:val="24"/>
              </w:rPr>
              <w:t>受试者无心血管、肝脏、肾脏、呼吸、血液和淋巴、内分泌、免疫、精神、神经、胃肠道系统等慢性疾病史或严重疾病史，并且总体健康状况良好</w:t>
            </w:r>
            <w:r>
              <w:rPr>
                <w:rFonts w:hint="eastAsia"/>
                <w:sz w:val="24"/>
              </w:rPr>
              <w:t>；</w:t>
            </w:r>
          </w:p>
          <w:p w:rsidR="00063D64" w:rsidRDefault="00063D64">
            <w:pPr>
              <w:spacing w:line="360" w:lineRule="auto"/>
              <w:ind w:left="360" w:hangingChars="150" w:hanging="360"/>
              <w:rPr>
                <w:sz w:val="24"/>
              </w:rPr>
            </w:pPr>
            <w:r>
              <w:rPr>
                <w:sz w:val="24"/>
              </w:rPr>
              <w:t>5</w:t>
            </w:r>
            <w:r>
              <w:rPr>
                <w:rFonts w:hint="eastAsia"/>
                <w:sz w:val="24"/>
              </w:rPr>
              <w:t>）无药物（包括但不限于</w:t>
            </w:r>
            <w:r w:rsidR="00514813">
              <w:rPr>
                <w:rFonts w:hint="eastAsia"/>
                <w:bCs/>
                <w:sz w:val="24"/>
              </w:rPr>
              <w:t>恩替卡韦</w:t>
            </w:r>
            <w:r>
              <w:rPr>
                <w:rFonts w:hint="eastAsia"/>
                <w:bCs/>
                <w:sz w:val="24"/>
              </w:rPr>
              <w:t>及</w:t>
            </w:r>
            <w:r w:rsidR="00514813">
              <w:rPr>
                <w:rFonts w:hint="eastAsia"/>
                <w:bCs/>
                <w:sz w:val="24"/>
              </w:rPr>
              <w:t>恩替卡韦</w:t>
            </w:r>
            <w:r>
              <w:rPr>
                <w:rFonts w:hint="eastAsia"/>
                <w:bCs/>
                <w:sz w:val="24"/>
              </w:rPr>
              <w:t>片赋型剂中任何组份</w:t>
            </w:r>
            <w:r>
              <w:rPr>
                <w:rFonts w:hint="eastAsia"/>
                <w:sz w:val="24"/>
              </w:rPr>
              <w:t>）过敏史；</w:t>
            </w:r>
          </w:p>
          <w:p w:rsidR="00063D64" w:rsidRDefault="00514813">
            <w:pPr>
              <w:spacing w:line="360" w:lineRule="auto"/>
              <w:ind w:left="360" w:hangingChars="150" w:hanging="360"/>
              <w:rPr>
                <w:sz w:val="24"/>
              </w:rPr>
            </w:pPr>
            <w:r>
              <w:rPr>
                <w:sz w:val="24"/>
              </w:rPr>
              <w:t>6</w:t>
            </w:r>
            <w:r w:rsidR="00063D64">
              <w:rPr>
                <w:sz w:val="24"/>
              </w:rPr>
              <w:t xml:space="preserve">) </w:t>
            </w:r>
            <w:r>
              <w:rPr>
                <w:rFonts w:hint="eastAsia"/>
                <w:sz w:val="24"/>
              </w:rPr>
              <w:t>体格检查、</w:t>
            </w:r>
            <w:r w:rsidR="00063D64">
              <w:rPr>
                <w:rFonts w:hint="eastAsia"/>
                <w:sz w:val="24"/>
              </w:rPr>
              <w:t>实验室检查及辅助检查结果均应在正常范围内或临床医生判断为“无临床意义”的异常；</w:t>
            </w:r>
          </w:p>
          <w:p w:rsidR="00063D64" w:rsidRDefault="00514813" w:rsidP="00063D64">
            <w:pPr>
              <w:pStyle w:val="ListParagraph2"/>
              <w:spacing w:line="360" w:lineRule="auto"/>
              <w:ind w:left="473" w:hangingChars="197" w:hanging="473"/>
              <w:rPr>
                <w:rFonts w:eastAsia="宋体" w:hAnsi="Times New Roman" w:cs="Times New Roman"/>
                <w:color w:val="auto"/>
                <w:lang w:val="zh-TW" w:eastAsia="zh-TW"/>
              </w:rPr>
            </w:pPr>
            <w:r>
              <w:rPr>
                <w:rFonts w:eastAsia="宋体" w:hAnsi="Times New Roman" w:cs="Times New Roman" w:hint="eastAsia"/>
                <w:color w:val="auto"/>
                <w:lang w:val="zh-TW" w:eastAsia="zh-TW"/>
              </w:rPr>
              <w:t>7</w:t>
            </w:r>
            <w:r w:rsidR="00063D64">
              <w:rPr>
                <w:rFonts w:eastAsia="宋体" w:hAnsi="Times New Roman" w:cs="Times New Roman" w:hint="eastAsia"/>
                <w:color w:val="auto"/>
                <w:lang w:val="zh-TW"/>
              </w:rPr>
              <w:t>）常见毒品检查符合要求；</w:t>
            </w:r>
          </w:p>
          <w:p w:rsidR="00063D64" w:rsidRDefault="00514813" w:rsidP="00514813">
            <w:pPr>
              <w:pStyle w:val="ListParagraph2"/>
              <w:spacing w:line="360" w:lineRule="auto"/>
              <w:ind w:left="315" w:hanging="315"/>
              <w:rPr>
                <w:lang w:eastAsia="zh-TW"/>
              </w:rPr>
            </w:pPr>
            <w:r>
              <w:rPr>
                <w:rFonts w:eastAsia="宋体" w:hAnsi="Times New Roman" w:cs="Times New Roman" w:hint="eastAsia"/>
                <w:color w:val="auto"/>
                <w:lang w:val="zh-TW" w:eastAsia="zh-TW"/>
              </w:rPr>
              <w:t>8</w:t>
            </w:r>
            <w:r w:rsidR="00063D64">
              <w:rPr>
                <w:rFonts w:eastAsia="宋体" w:hAnsi="Times New Roman" w:cs="Times New Roman" w:hint="eastAsia"/>
                <w:color w:val="auto"/>
                <w:lang w:val="zh-TW"/>
              </w:rPr>
              <w:t>）病毒学检查（</w:t>
            </w:r>
            <w:r w:rsidR="00063D64">
              <w:rPr>
                <w:rFonts w:eastAsia="宋体" w:hAnsi="Times New Roman" w:cs="Times New Roman" w:hint="eastAsia"/>
                <w:color w:val="auto"/>
                <w:lang w:val="zh-TW" w:eastAsia="zh-TW"/>
              </w:rPr>
              <w:t>乙肝</w:t>
            </w:r>
            <w:r w:rsidR="00063D64">
              <w:rPr>
                <w:rFonts w:eastAsia="宋体" w:hAnsi="Times New Roman" w:cs="Times New Roman" w:hint="eastAsia"/>
                <w:color w:val="auto"/>
                <w:lang w:val="zh-TW"/>
              </w:rPr>
              <w:t>表面抗原、</w:t>
            </w:r>
            <w:r w:rsidR="00063D64">
              <w:rPr>
                <w:rFonts w:eastAsia="宋体" w:hAnsi="Times New Roman" w:cs="Times New Roman" w:hint="eastAsia"/>
                <w:color w:val="auto"/>
                <w:lang w:val="zh-TW" w:eastAsia="zh-TW"/>
              </w:rPr>
              <w:t>丙型肝炎抗体</w:t>
            </w:r>
            <w:r w:rsidR="00063D64">
              <w:rPr>
                <w:rFonts w:eastAsia="宋体" w:hAnsi="Times New Roman" w:cs="Times New Roman" w:hint="eastAsia"/>
                <w:color w:val="auto"/>
                <w:lang w:val="zh-TW"/>
              </w:rPr>
              <w:t>、人类免疫缺陷病毒</w:t>
            </w:r>
            <w:r w:rsidR="00063D64">
              <w:rPr>
                <w:rFonts w:ascii="宋体" w:eastAsia="宋体" w:hAnsi="宋体" w:cs="宋体" w:hint="eastAsia"/>
              </w:rPr>
              <w:t>）及</w:t>
            </w:r>
            <w:r w:rsidR="00063D64">
              <w:rPr>
                <w:rFonts w:eastAsia="宋体" w:hAnsi="Times New Roman" w:cs="Times New Roman" w:hint="eastAsia"/>
                <w:bCs/>
                <w:color w:val="auto"/>
                <w:kern w:val="0"/>
              </w:rPr>
              <w:t>梅毒螺旋体明胶颗粒</w:t>
            </w:r>
            <w:r w:rsidR="00063D64">
              <w:rPr>
                <w:rFonts w:ascii="宋体" w:eastAsia="宋体" w:hAnsi="宋体" w:cs="宋体" w:hint="eastAsia"/>
                <w:bCs/>
                <w:color w:val="auto"/>
                <w:kern w:val="0"/>
              </w:rPr>
              <w:t>凝集试验</w:t>
            </w:r>
            <w:r w:rsidR="00063D64">
              <w:rPr>
                <w:rFonts w:eastAsia="宋体" w:hAnsi="Times New Roman" w:cs="Times New Roman" w:hint="eastAsia"/>
                <w:color w:val="auto"/>
                <w:lang w:val="zh-TW" w:eastAsia="zh-TW"/>
              </w:rPr>
              <w:t>筛选</w:t>
            </w:r>
            <w:r w:rsidR="00063D64">
              <w:rPr>
                <w:rFonts w:eastAsia="宋体" w:hAnsi="Times New Roman" w:cs="Times New Roman" w:hint="eastAsia"/>
                <w:color w:val="auto"/>
                <w:lang w:val="zh-TW"/>
              </w:rPr>
              <w:t>阴</w:t>
            </w:r>
            <w:r w:rsidR="00063D64">
              <w:rPr>
                <w:rFonts w:eastAsia="宋体" w:hAnsi="Times New Roman" w:cs="Times New Roman" w:hint="eastAsia"/>
                <w:color w:val="auto"/>
                <w:lang w:val="zh-TW" w:eastAsia="zh-TW"/>
              </w:rPr>
              <w:t>性</w:t>
            </w:r>
            <w:r>
              <w:rPr>
                <w:rFonts w:ascii="宋体" w:eastAsia="宋体" w:hAnsi="宋体" w:cs="宋体" w:hint="eastAsia"/>
                <w:lang w:val="zh-TW" w:eastAsia="zh-TW"/>
              </w:rPr>
              <w:t>。</w:t>
            </w:r>
          </w:p>
        </w:tc>
      </w:tr>
      <w:tr w:rsidR="00063D64" w:rsidTr="00063D64">
        <w:trPr>
          <w:trHeight w:val="227"/>
        </w:trPr>
        <w:tc>
          <w:tcPr>
            <w:tcW w:w="1526" w:type="dxa"/>
            <w:tcBorders>
              <w:top w:val="single" w:sz="4" w:space="0" w:color="auto"/>
              <w:left w:val="single" w:sz="4" w:space="0" w:color="auto"/>
              <w:bottom w:val="single" w:sz="4" w:space="0" w:color="auto"/>
              <w:right w:val="single" w:sz="4" w:space="0" w:color="auto"/>
            </w:tcBorders>
            <w:vAlign w:val="center"/>
            <w:hideMark/>
          </w:tcPr>
          <w:p w:rsidR="00063D64" w:rsidRDefault="00063D64">
            <w:pPr>
              <w:adjustRightInd w:val="0"/>
              <w:snapToGrid w:val="0"/>
              <w:spacing w:line="360" w:lineRule="auto"/>
              <w:ind w:rightChars="-30" w:right="-63"/>
              <w:rPr>
                <w:sz w:val="24"/>
                <w:szCs w:val="24"/>
              </w:rPr>
            </w:pPr>
            <w:r>
              <w:rPr>
                <w:rFonts w:hint="eastAsia"/>
                <w:sz w:val="24"/>
              </w:rPr>
              <w:t>排除标准</w:t>
            </w:r>
          </w:p>
        </w:tc>
        <w:tc>
          <w:tcPr>
            <w:tcW w:w="7606" w:type="dxa"/>
            <w:tcBorders>
              <w:top w:val="single" w:sz="4" w:space="0" w:color="auto"/>
              <w:left w:val="single" w:sz="4" w:space="0" w:color="auto"/>
              <w:bottom w:val="single" w:sz="4" w:space="0" w:color="auto"/>
              <w:right w:val="single" w:sz="4" w:space="0" w:color="auto"/>
            </w:tcBorders>
            <w:vAlign w:val="center"/>
            <w:hideMark/>
          </w:tcPr>
          <w:p w:rsidR="00063D64" w:rsidRDefault="00063D64">
            <w:pPr>
              <w:spacing w:line="360" w:lineRule="auto"/>
              <w:jc w:val="left"/>
              <w:rPr>
                <w:bCs/>
                <w:sz w:val="24"/>
                <w:szCs w:val="24"/>
              </w:rPr>
            </w:pPr>
            <w:r>
              <w:rPr>
                <w:bCs/>
                <w:sz w:val="24"/>
              </w:rPr>
              <w:t xml:space="preserve">1) </w:t>
            </w:r>
            <w:r>
              <w:rPr>
                <w:rFonts w:hint="eastAsia"/>
                <w:bCs/>
                <w:sz w:val="24"/>
              </w:rPr>
              <w:t>育龄志愿者不能承诺从筛选日起的未来</w:t>
            </w:r>
            <w:r>
              <w:rPr>
                <w:bCs/>
                <w:sz w:val="24"/>
              </w:rPr>
              <w:t>3</w:t>
            </w:r>
            <w:r>
              <w:rPr>
                <w:rFonts w:hint="eastAsia"/>
                <w:bCs/>
                <w:sz w:val="24"/>
              </w:rPr>
              <w:t>个月内无生育计划且自愿采取非药物性避孕措施（药物性避孕措施包括口服避孕药、避孕针、皮下埋植避孕法、局部避孕药物如杀精剂等）者；</w:t>
            </w:r>
          </w:p>
          <w:p w:rsidR="00063D64" w:rsidRDefault="00063D64">
            <w:pPr>
              <w:spacing w:line="360" w:lineRule="auto"/>
              <w:ind w:leftChars="2" w:left="285" w:hangingChars="117" w:hanging="281"/>
              <w:rPr>
                <w:bCs/>
                <w:sz w:val="24"/>
              </w:rPr>
            </w:pPr>
            <w:r>
              <w:rPr>
                <w:bCs/>
                <w:sz w:val="24"/>
              </w:rPr>
              <w:t xml:space="preserve">2) </w:t>
            </w:r>
            <w:r>
              <w:rPr>
                <w:rFonts w:hint="eastAsia"/>
                <w:bCs/>
                <w:sz w:val="24"/>
              </w:rPr>
              <w:t>筛选前</w:t>
            </w:r>
            <w:r>
              <w:rPr>
                <w:rFonts w:hint="eastAsia"/>
                <w:sz w:val="24"/>
                <w:lang w:val="zh-TW" w:eastAsia="zh-TW"/>
              </w:rPr>
              <w:t>2</w:t>
            </w:r>
            <w:r>
              <w:rPr>
                <w:rFonts w:hint="eastAsia"/>
                <w:sz w:val="24"/>
                <w:lang w:val="zh-TW"/>
              </w:rPr>
              <w:t>周内服用过任何药物；</w:t>
            </w:r>
          </w:p>
          <w:p w:rsidR="00063D64" w:rsidRDefault="00063D64">
            <w:pPr>
              <w:spacing w:line="360" w:lineRule="auto"/>
              <w:rPr>
                <w:bCs/>
                <w:sz w:val="24"/>
              </w:rPr>
            </w:pPr>
            <w:r>
              <w:rPr>
                <w:bCs/>
                <w:sz w:val="24"/>
              </w:rPr>
              <w:t xml:space="preserve">3) </w:t>
            </w:r>
            <w:r>
              <w:rPr>
                <w:rFonts w:hint="eastAsia"/>
                <w:bCs/>
                <w:sz w:val="24"/>
              </w:rPr>
              <w:t>对饮食有特殊要求，试验期间不能遵守统一饮食；</w:t>
            </w:r>
          </w:p>
          <w:p w:rsidR="00063D64" w:rsidRDefault="00063D64">
            <w:pPr>
              <w:spacing w:line="360" w:lineRule="auto"/>
              <w:rPr>
                <w:bCs/>
                <w:sz w:val="24"/>
              </w:rPr>
            </w:pPr>
            <w:r>
              <w:rPr>
                <w:bCs/>
                <w:sz w:val="24"/>
              </w:rPr>
              <w:t>4)</w:t>
            </w:r>
            <w:r w:rsidR="00514813">
              <w:rPr>
                <w:rFonts w:hint="eastAsia"/>
                <w:bCs/>
                <w:sz w:val="24"/>
              </w:rPr>
              <w:t xml:space="preserve"> </w:t>
            </w:r>
            <w:r>
              <w:rPr>
                <w:rFonts w:hint="eastAsia"/>
                <w:bCs/>
                <w:sz w:val="24"/>
              </w:rPr>
              <w:t>有吸毒史或</w:t>
            </w:r>
            <w:r>
              <w:rPr>
                <w:bCs/>
                <w:sz w:val="24"/>
              </w:rPr>
              <w:t>/</w:t>
            </w:r>
            <w:r>
              <w:rPr>
                <w:rFonts w:hint="eastAsia"/>
                <w:bCs/>
                <w:sz w:val="24"/>
              </w:rPr>
              <w:t>和药物滥用史者；</w:t>
            </w:r>
          </w:p>
          <w:p w:rsidR="00063D64" w:rsidRDefault="00063D64">
            <w:pPr>
              <w:spacing w:line="360" w:lineRule="auto"/>
              <w:ind w:leftChars="2" w:left="285" w:hangingChars="117" w:hanging="281"/>
              <w:rPr>
                <w:bCs/>
                <w:sz w:val="24"/>
              </w:rPr>
            </w:pPr>
            <w:r>
              <w:rPr>
                <w:bCs/>
                <w:sz w:val="24"/>
              </w:rPr>
              <w:t>5) 3</w:t>
            </w:r>
            <w:r>
              <w:rPr>
                <w:rFonts w:hint="eastAsia"/>
                <w:bCs/>
                <w:sz w:val="24"/>
              </w:rPr>
              <w:t>个月内每日吸烟量大于</w:t>
            </w:r>
            <w:r>
              <w:rPr>
                <w:bCs/>
                <w:sz w:val="24"/>
              </w:rPr>
              <w:t>5</w:t>
            </w:r>
            <w:r>
              <w:rPr>
                <w:rFonts w:hint="eastAsia"/>
                <w:bCs/>
                <w:sz w:val="24"/>
              </w:rPr>
              <w:t>支，筛选前</w:t>
            </w:r>
            <w:r>
              <w:rPr>
                <w:bCs/>
                <w:sz w:val="24"/>
              </w:rPr>
              <w:t>6</w:t>
            </w:r>
            <w:r>
              <w:rPr>
                <w:rFonts w:hint="eastAsia"/>
                <w:bCs/>
                <w:sz w:val="24"/>
              </w:rPr>
              <w:t>个月内每周饮酒量大于</w:t>
            </w:r>
            <w:r>
              <w:rPr>
                <w:bCs/>
                <w:sz w:val="24"/>
              </w:rPr>
              <w:t>28</w:t>
            </w:r>
            <w:r>
              <w:rPr>
                <w:rFonts w:hint="eastAsia"/>
                <w:bCs/>
                <w:sz w:val="24"/>
              </w:rPr>
              <w:t>单位酒精</w:t>
            </w:r>
            <w:r>
              <w:rPr>
                <w:bCs/>
                <w:sz w:val="24"/>
              </w:rPr>
              <w:t>(1</w:t>
            </w:r>
            <w:r>
              <w:rPr>
                <w:rFonts w:hint="eastAsia"/>
                <w:bCs/>
                <w:sz w:val="24"/>
              </w:rPr>
              <w:t>单位酒精</w:t>
            </w:r>
            <w:r>
              <w:rPr>
                <w:bCs/>
                <w:sz w:val="24"/>
              </w:rPr>
              <w:t>=285mL</w:t>
            </w:r>
            <w:r>
              <w:rPr>
                <w:rFonts w:hint="eastAsia"/>
                <w:bCs/>
                <w:sz w:val="24"/>
              </w:rPr>
              <w:t>啤酒或</w:t>
            </w:r>
            <w:r>
              <w:rPr>
                <w:bCs/>
                <w:sz w:val="24"/>
              </w:rPr>
              <w:t>25mL</w:t>
            </w:r>
            <w:r>
              <w:rPr>
                <w:rFonts w:hint="eastAsia"/>
                <w:bCs/>
                <w:sz w:val="24"/>
              </w:rPr>
              <w:t>酒精含量为</w:t>
            </w:r>
            <w:r>
              <w:rPr>
                <w:bCs/>
                <w:sz w:val="24"/>
              </w:rPr>
              <w:t>40%</w:t>
            </w:r>
            <w:r>
              <w:rPr>
                <w:rFonts w:hint="eastAsia"/>
                <w:bCs/>
                <w:sz w:val="24"/>
              </w:rPr>
              <w:t>的烈酒或</w:t>
            </w:r>
            <w:r>
              <w:rPr>
                <w:bCs/>
                <w:sz w:val="24"/>
              </w:rPr>
              <w:t>150 mL</w:t>
            </w:r>
            <w:r>
              <w:rPr>
                <w:rFonts w:hint="eastAsia"/>
                <w:bCs/>
                <w:sz w:val="24"/>
              </w:rPr>
              <w:t>葡萄酒</w:t>
            </w:r>
            <w:r>
              <w:rPr>
                <w:bCs/>
                <w:sz w:val="24"/>
              </w:rPr>
              <w:t>)</w:t>
            </w:r>
            <w:r>
              <w:rPr>
                <w:rFonts w:hint="eastAsia"/>
                <w:bCs/>
                <w:sz w:val="24"/>
              </w:rPr>
              <w:t>；</w:t>
            </w:r>
          </w:p>
          <w:p w:rsidR="00063D64" w:rsidRDefault="00063D64">
            <w:pPr>
              <w:spacing w:line="360" w:lineRule="auto"/>
              <w:ind w:leftChars="2" w:left="285" w:hangingChars="117" w:hanging="281"/>
              <w:rPr>
                <w:rFonts w:hint="eastAsia"/>
                <w:bCs/>
                <w:sz w:val="24"/>
              </w:rPr>
            </w:pPr>
            <w:r>
              <w:rPr>
                <w:bCs/>
                <w:sz w:val="24"/>
              </w:rPr>
              <w:lastRenderedPageBreak/>
              <w:t>6) 3</w:t>
            </w:r>
            <w:r>
              <w:rPr>
                <w:rFonts w:hint="eastAsia"/>
                <w:bCs/>
                <w:sz w:val="24"/>
              </w:rPr>
              <w:t>个月内参加献血或其他原因大量失血（</w:t>
            </w:r>
            <w:r>
              <w:rPr>
                <w:bCs/>
                <w:sz w:val="24"/>
              </w:rPr>
              <w:t>&gt; 450 mL</w:t>
            </w:r>
            <w:r>
              <w:rPr>
                <w:rFonts w:hint="eastAsia"/>
                <w:bCs/>
                <w:sz w:val="24"/>
              </w:rPr>
              <w:t>）或计划在研究期间或研究结束后</w:t>
            </w:r>
            <w:r>
              <w:rPr>
                <w:bCs/>
                <w:sz w:val="24"/>
              </w:rPr>
              <w:t>1</w:t>
            </w:r>
            <w:r>
              <w:rPr>
                <w:rFonts w:hint="eastAsia"/>
                <w:bCs/>
                <w:sz w:val="24"/>
              </w:rPr>
              <w:t>周内献血或血液成份者；</w:t>
            </w:r>
          </w:p>
          <w:p w:rsidR="00514813" w:rsidRDefault="00514813">
            <w:pPr>
              <w:spacing w:line="360" w:lineRule="auto"/>
              <w:ind w:leftChars="2" w:left="285" w:hangingChars="117" w:hanging="281"/>
              <w:rPr>
                <w:bCs/>
                <w:sz w:val="24"/>
              </w:rPr>
            </w:pPr>
            <w:r>
              <w:rPr>
                <w:rFonts w:hint="eastAsia"/>
                <w:bCs/>
                <w:sz w:val="24"/>
              </w:rPr>
              <w:t xml:space="preserve">7) </w:t>
            </w:r>
            <w:r w:rsidRPr="00514813">
              <w:rPr>
                <w:rFonts w:hint="eastAsia"/>
                <w:bCs/>
                <w:sz w:val="24"/>
              </w:rPr>
              <w:t>肌酐清除率小于</w:t>
            </w:r>
            <w:r w:rsidRPr="00514813">
              <w:rPr>
                <w:rFonts w:hint="eastAsia"/>
                <w:bCs/>
                <w:sz w:val="24"/>
              </w:rPr>
              <w:t>50mL/min</w:t>
            </w:r>
            <w:r w:rsidRPr="00514813">
              <w:rPr>
                <w:rFonts w:hint="eastAsia"/>
                <w:bCs/>
                <w:sz w:val="24"/>
              </w:rPr>
              <w:t>者</w:t>
            </w:r>
            <w:r>
              <w:rPr>
                <w:rFonts w:hint="eastAsia"/>
                <w:bCs/>
                <w:sz w:val="24"/>
              </w:rPr>
              <w:t>；</w:t>
            </w:r>
          </w:p>
          <w:p w:rsidR="00063D64" w:rsidRDefault="00514813">
            <w:pPr>
              <w:spacing w:line="360" w:lineRule="auto"/>
              <w:rPr>
                <w:bCs/>
                <w:sz w:val="24"/>
              </w:rPr>
            </w:pPr>
            <w:r>
              <w:rPr>
                <w:bCs/>
                <w:sz w:val="24"/>
              </w:rPr>
              <w:t>8</w:t>
            </w:r>
            <w:r w:rsidR="00063D64">
              <w:rPr>
                <w:bCs/>
                <w:sz w:val="24"/>
              </w:rPr>
              <w:t xml:space="preserve">) </w:t>
            </w:r>
            <w:r w:rsidR="00063D64">
              <w:rPr>
                <w:rFonts w:hint="eastAsia"/>
                <w:bCs/>
                <w:sz w:val="24"/>
              </w:rPr>
              <w:t>筛选前</w:t>
            </w:r>
            <w:r w:rsidR="00063D64">
              <w:rPr>
                <w:bCs/>
                <w:sz w:val="24"/>
              </w:rPr>
              <w:t>1</w:t>
            </w:r>
            <w:r w:rsidR="00063D64">
              <w:rPr>
                <w:rFonts w:hint="eastAsia"/>
                <w:bCs/>
                <w:sz w:val="24"/>
              </w:rPr>
              <w:t>个月内，参加过其他临床试验者；</w:t>
            </w:r>
          </w:p>
          <w:p w:rsidR="00063D64" w:rsidRDefault="00514813">
            <w:pPr>
              <w:spacing w:line="360" w:lineRule="auto"/>
              <w:rPr>
                <w:bCs/>
                <w:sz w:val="24"/>
              </w:rPr>
            </w:pPr>
            <w:r>
              <w:rPr>
                <w:bCs/>
                <w:sz w:val="24"/>
              </w:rPr>
              <w:t>9</w:t>
            </w:r>
            <w:r w:rsidR="00063D64">
              <w:rPr>
                <w:bCs/>
                <w:sz w:val="24"/>
              </w:rPr>
              <w:t xml:space="preserve">) </w:t>
            </w:r>
            <w:r w:rsidR="00063D64">
              <w:rPr>
                <w:rFonts w:hint="eastAsia"/>
                <w:bCs/>
                <w:sz w:val="24"/>
              </w:rPr>
              <w:t>有吞咽困难；</w:t>
            </w:r>
          </w:p>
          <w:p w:rsidR="00063D64" w:rsidRDefault="00514813">
            <w:pPr>
              <w:spacing w:line="360" w:lineRule="auto"/>
              <w:rPr>
                <w:bCs/>
                <w:sz w:val="24"/>
              </w:rPr>
            </w:pPr>
            <w:r>
              <w:rPr>
                <w:bCs/>
                <w:sz w:val="24"/>
              </w:rPr>
              <w:t>10</w:t>
            </w:r>
            <w:r w:rsidR="00063D64">
              <w:rPr>
                <w:bCs/>
                <w:sz w:val="24"/>
              </w:rPr>
              <w:t xml:space="preserve">) </w:t>
            </w:r>
            <w:r w:rsidR="00063D64">
              <w:rPr>
                <w:rFonts w:hint="eastAsia"/>
                <w:bCs/>
                <w:sz w:val="24"/>
              </w:rPr>
              <w:t>不能忍受静脉穿刺和</w:t>
            </w:r>
            <w:r w:rsidR="00063D64">
              <w:rPr>
                <w:bCs/>
                <w:sz w:val="24"/>
              </w:rPr>
              <w:t>/</w:t>
            </w:r>
            <w:r w:rsidR="00063D64">
              <w:rPr>
                <w:rFonts w:hint="eastAsia"/>
                <w:bCs/>
                <w:sz w:val="24"/>
              </w:rPr>
              <w:t>或有</w:t>
            </w:r>
            <w:bookmarkStart w:id="1" w:name="_Hlk490764724"/>
            <w:r w:rsidR="00063D64">
              <w:rPr>
                <w:rFonts w:hint="eastAsia"/>
                <w:bCs/>
                <w:sz w:val="24"/>
              </w:rPr>
              <w:t>晕血、晕针史</w:t>
            </w:r>
            <w:bookmarkEnd w:id="1"/>
            <w:r w:rsidR="00063D64">
              <w:rPr>
                <w:rFonts w:hint="eastAsia"/>
                <w:bCs/>
                <w:sz w:val="24"/>
              </w:rPr>
              <w:t>；</w:t>
            </w:r>
          </w:p>
          <w:p w:rsidR="00063D64" w:rsidRDefault="00063D64">
            <w:pPr>
              <w:spacing w:line="360" w:lineRule="auto"/>
              <w:ind w:left="2"/>
              <w:rPr>
                <w:bCs/>
                <w:sz w:val="24"/>
              </w:rPr>
            </w:pPr>
            <w:r>
              <w:rPr>
                <w:bCs/>
                <w:sz w:val="24"/>
              </w:rPr>
              <w:t>1</w:t>
            </w:r>
            <w:r w:rsidR="00514813">
              <w:rPr>
                <w:bCs/>
                <w:sz w:val="24"/>
              </w:rPr>
              <w:t>1</w:t>
            </w:r>
            <w:r>
              <w:rPr>
                <w:bCs/>
                <w:sz w:val="24"/>
              </w:rPr>
              <w:t xml:space="preserve">) </w:t>
            </w:r>
            <w:r>
              <w:rPr>
                <w:rFonts w:hint="eastAsia"/>
                <w:bCs/>
                <w:sz w:val="24"/>
              </w:rPr>
              <w:t>不能承诺在研究开始前</w:t>
            </w:r>
            <w:r>
              <w:rPr>
                <w:bCs/>
                <w:sz w:val="24"/>
              </w:rPr>
              <w:t>48 h</w:t>
            </w:r>
            <w:r>
              <w:rPr>
                <w:rFonts w:hint="eastAsia"/>
                <w:bCs/>
                <w:sz w:val="24"/>
              </w:rPr>
              <w:t>至研究结束期间不吸烟、不服用含咖啡因（如咖啡、浓茶等）的食物或饮料或果汁</w:t>
            </w:r>
            <w:r>
              <w:rPr>
                <w:bCs/>
                <w:sz w:val="24"/>
              </w:rPr>
              <w:t>/</w:t>
            </w:r>
            <w:r>
              <w:rPr>
                <w:rFonts w:hint="eastAsia"/>
                <w:bCs/>
                <w:sz w:val="24"/>
              </w:rPr>
              <w:t>葡萄柚汁以及任何含酒精的产品的志愿者；</w:t>
            </w:r>
          </w:p>
          <w:p w:rsidR="00063D64" w:rsidRDefault="00063D64">
            <w:pPr>
              <w:spacing w:line="360" w:lineRule="auto"/>
              <w:rPr>
                <w:bCs/>
                <w:sz w:val="24"/>
                <w:szCs w:val="24"/>
              </w:rPr>
            </w:pPr>
            <w:r>
              <w:rPr>
                <w:bCs/>
                <w:sz w:val="24"/>
              </w:rPr>
              <w:t>1</w:t>
            </w:r>
            <w:r w:rsidR="00514813">
              <w:rPr>
                <w:bCs/>
                <w:sz w:val="24"/>
              </w:rPr>
              <w:t>2</w:t>
            </w:r>
            <w:r>
              <w:rPr>
                <w:bCs/>
                <w:sz w:val="24"/>
              </w:rPr>
              <w:t xml:space="preserve">) </w:t>
            </w:r>
            <w:r>
              <w:rPr>
                <w:rFonts w:hint="eastAsia"/>
                <w:bCs/>
                <w:sz w:val="24"/>
              </w:rPr>
              <w:t>经研究者判断不宜参加本研究的其他情况（含受试者参加试验情况查询结果判断）。</w:t>
            </w:r>
          </w:p>
        </w:tc>
      </w:tr>
      <w:tr w:rsidR="00063D64" w:rsidTr="00063D64">
        <w:trPr>
          <w:trHeight w:val="227"/>
        </w:trPr>
        <w:tc>
          <w:tcPr>
            <w:tcW w:w="1526" w:type="dxa"/>
            <w:tcBorders>
              <w:top w:val="single" w:sz="4" w:space="0" w:color="auto"/>
              <w:left w:val="single" w:sz="4" w:space="0" w:color="auto"/>
              <w:bottom w:val="single" w:sz="4" w:space="0" w:color="auto"/>
              <w:right w:val="single" w:sz="4" w:space="0" w:color="auto"/>
            </w:tcBorders>
            <w:vAlign w:val="center"/>
            <w:hideMark/>
          </w:tcPr>
          <w:p w:rsidR="00063D64" w:rsidRDefault="00063D64">
            <w:pPr>
              <w:adjustRightInd w:val="0"/>
              <w:snapToGrid w:val="0"/>
              <w:spacing w:line="360" w:lineRule="auto"/>
              <w:ind w:rightChars="-30" w:right="-63"/>
              <w:rPr>
                <w:sz w:val="24"/>
                <w:szCs w:val="24"/>
              </w:rPr>
            </w:pPr>
            <w:r>
              <w:rPr>
                <w:rFonts w:hint="eastAsia"/>
                <w:sz w:val="24"/>
              </w:rPr>
              <w:lastRenderedPageBreak/>
              <w:t>剔除标准</w:t>
            </w:r>
          </w:p>
        </w:tc>
        <w:tc>
          <w:tcPr>
            <w:tcW w:w="7606" w:type="dxa"/>
            <w:tcBorders>
              <w:top w:val="single" w:sz="4" w:space="0" w:color="auto"/>
              <w:left w:val="single" w:sz="4" w:space="0" w:color="auto"/>
              <w:bottom w:val="single" w:sz="4" w:space="0" w:color="auto"/>
              <w:right w:val="single" w:sz="4" w:space="0" w:color="auto"/>
            </w:tcBorders>
            <w:vAlign w:val="center"/>
            <w:hideMark/>
          </w:tcPr>
          <w:p w:rsidR="00063D64" w:rsidRDefault="00063D64" w:rsidP="00514813">
            <w:pPr>
              <w:spacing w:line="360" w:lineRule="auto"/>
              <w:rPr>
                <w:sz w:val="24"/>
                <w:szCs w:val="24"/>
              </w:rPr>
            </w:pPr>
            <w:r w:rsidRPr="00514813">
              <w:rPr>
                <w:bCs/>
                <w:sz w:val="24"/>
              </w:rPr>
              <w:t>1)</w:t>
            </w:r>
            <w:r w:rsidRPr="00514813">
              <w:rPr>
                <w:rFonts w:hint="eastAsia"/>
                <w:bCs/>
                <w:sz w:val="24"/>
              </w:rPr>
              <w:t>入组后至第一周期服药前发现不符合入选标准，符合排除标准的受试者。</w:t>
            </w:r>
          </w:p>
          <w:p w:rsidR="00063D64" w:rsidRDefault="00063D64">
            <w:pPr>
              <w:spacing w:before="40" w:after="40" w:line="360" w:lineRule="auto"/>
              <w:rPr>
                <w:sz w:val="24"/>
              </w:rPr>
            </w:pPr>
            <w:r>
              <w:rPr>
                <w:rFonts w:hint="eastAsia"/>
                <w:sz w:val="24"/>
                <w:lang w:val="zh-TW" w:eastAsia="zh-TW"/>
              </w:rPr>
              <w:t>2)</w:t>
            </w:r>
            <w:r>
              <w:rPr>
                <w:rFonts w:hint="eastAsia"/>
                <w:sz w:val="24"/>
                <w:lang w:val="zh-TW"/>
              </w:rPr>
              <w:t>入组后至第一周期</w:t>
            </w:r>
            <w:r>
              <w:rPr>
                <w:rFonts w:ascii="宋体" w:hAnsi="宋体" w:hint="eastAsia"/>
                <w:sz w:val="24"/>
              </w:rPr>
              <w:t>服药</w:t>
            </w:r>
            <w:r>
              <w:rPr>
                <w:rFonts w:hint="eastAsia"/>
                <w:sz w:val="24"/>
                <w:lang w:val="zh-TW"/>
              </w:rPr>
              <w:t>前由于任何原因脱落的受试者。</w:t>
            </w:r>
          </w:p>
          <w:p w:rsidR="00063D64" w:rsidRDefault="00063D64">
            <w:pPr>
              <w:spacing w:before="40" w:after="40" w:line="360" w:lineRule="auto"/>
              <w:rPr>
                <w:sz w:val="24"/>
              </w:rPr>
            </w:pPr>
            <w:r>
              <w:rPr>
                <w:sz w:val="24"/>
              </w:rPr>
              <w:t>3)</w:t>
            </w:r>
            <w:r>
              <w:rPr>
                <w:sz w:val="24"/>
                <w:lang w:val="zh-TW"/>
              </w:rPr>
              <w:t xml:space="preserve"> </w:t>
            </w:r>
            <w:r>
              <w:rPr>
                <w:rFonts w:hint="eastAsia"/>
                <w:sz w:val="24"/>
                <w:lang w:val="zh-TW"/>
              </w:rPr>
              <w:t>入组后至</w:t>
            </w:r>
            <w:r>
              <w:rPr>
                <w:rFonts w:hint="eastAsia"/>
                <w:sz w:val="24"/>
              </w:rPr>
              <w:t>试验第一周期未服用试验用药物的受试者。</w:t>
            </w:r>
          </w:p>
          <w:p w:rsidR="00063D64" w:rsidRDefault="00063D64">
            <w:pPr>
              <w:spacing w:before="40" w:after="40" w:line="360" w:lineRule="auto"/>
              <w:rPr>
                <w:sz w:val="24"/>
                <w:lang w:val="zh-TW" w:eastAsia="zh-TW"/>
              </w:rPr>
            </w:pPr>
            <w:r>
              <w:rPr>
                <w:sz w:val="24"/>
              </w:rPr>
              <w:t>4)</w:t>
            </w:r>
            <w:r>
              <w:rPr>
                <w:rFonts w:hint="eastAsia"/>
                <w:sz w:val="24"/>
              </w:rPr>
              <w:t>在</w:t>
            </w:r>
            <w:r>
              <w:rPr>
                <w:rFonts w:hint="eastAsia"/>
                <w:sz w:val="24"/>
                <w:lang w:val="zh-TW"/>
              </w:rPr>
              <w:t>筛选后至</w:t>
            </w:r>
            <w:r>
              <w:rPr>
                <w:rFonts w:ascii="宋体" w:hAnsi="宋体" w:hint="eastAsia"/>
                <w:sz w:val="24"/>
                <w:lang w:val="zh-TW"/>
              </w:rPr>
              <w:t>第一周期服药</w:t>
            </w:r>
            <w:r>
              <w:rPr>
                <w:rFonts w:hint="eastAsia"/>
                <w:sz w:val="24"/>
                <w:lang w:val="zh-TW"/>
              </w:rPr>
              <w:t>前服用了任何药物</w:t>
            </w:r>
            <w:r>
              <w:rPr>
                <w:rFonts w:hint="eastAsia"/>
                <w:sz w:val="24"/>
              </w:rPr>
              <w:t>的受试者。</w:t>
            </w:r>
          </w:p>
          <w:p w:rsidR="00063D64" w:rsidRPr="00514813" w:rsidRDefault="00063D64" w:rsidP="00514813">
            <w:pPr>
              <w:spacing w:line="360" w:lineRule="auto"/>
              <w:rPr>
                <w:rFonts w:hint="eastAsia"/>
                <w:bCs/>
                <w:sz w:val="24"/>
              </w:rPr>
            </w:pPr>
            <w:r w:rsidRPr="00514813">
              <w:rPr>
                <w:rFonts w:hint="eastAsia"/>
                <w:bCs/>
                <w:sz w:val="24"/>
              </w:rPr>
              <w:t>5</w:t>
            </w:r>
            <w:r w:rsidRPr="00514813">
              <w:rPr>
                <w:bCs/>
                <w:sz w:val="24"/>
              </w:rPr>
              <w:t>)</w:t>
            </w:r>
            <w:r w:rsidRPr="00514813">
              <w:rPr>
                <w:rFonts w:hint="eastAsia"/>
                <w:bCs/>
                <w:sz w:val="24"/>
              </w:rPr>
              <w:t>受试者在筛选后至第一周期服药前身体不适，经研究者判断不能参加试验者。</w:t>
            </w:r>
          </w:p>
          <w:p w:rsidR="00063D64" w:rsidRDefault="00063D64">
            <w:pPr>
              <w:spacing w:before="40" w:after="40" w:line="360" w:lineRule="auto"/>
              <w:rPr>
                <w:b/>
                <w:sz w:val="24"/>
                <w:szCs w:val="24"/>
              </w:rPr>
            </w:pPr>
            <w:r>
              <w:rPr>
                <w:rFonts w:hint="eastAsia"/>
                <w:sz w:val="24"/>
                <w:lang w:val="zh-TW" w:eastAsia="zh-TW"/>
              </w:rPr>
              <w:t>6)</w:t>
            </w:r>
            <w:r>
              <w:rPr>
                <w:rFonts w:hint="eastAsia"/>
                <w:sz w:val="24"/>
                <w:lang w:val="zh-TW"/>
              </w:rPr>
              <w:t>试验第一</w:t>
            </w:r>
            <w:r>
              <w:rPr>
                <w:rFonts w:ascii="宋体" w:hAnsi="宋体" w:cs="宋体" w:hint="eastAsia"/>
                <w:sz w:val="24"/>
                <w:lang w:val="zh-TW" w:eastAsia="zh-TW"/>
              </w:rPr>
              <w:t>周期</w:t>
            </w:r>
            <w:r>
              <w:rPr>
                <w:rFonts w:hint="eastAsia"/>
                <w:sz w:val="24"/>
                <w:lang w:val="zh-TW"/>
              </w:rPr>
              <w:t>入住当天</w:t>
            </w:r>
            <w:r>
              <w:rPr>
                <w:rFonts w:ascii="宋体" w:hAnsi="宋体" w:cs="宋体" w:hint="eastAsia"/>
                <w:sz w:val="24"/>
                <w:lang w:val="zh-TW" w:eastAsia="zh-TW"/>
              </w:rPr>
              <w:t>酒精筛查表明为饮酒者。</w:t>
            </w:r>
          </w:p>
        </w:tc>
      </w:tr>
      <w:tr w:rsidR="00063D64" w:rsidTr="00063D64">
        <w:trPr>
          <w:trHeight w:val="227"/>
        </w:trPr>
        <w:tc>
          <w:tcPr>
            <w:tcW w:w="1526" w:type="dxa"/>
            <w:tcBorders>
              <w:top w:val="single" w:sz="4" w:space="0" w:color="auto"/>
              <w:left w:val="single" w:sz="4" w:space="0" w:color="auto"/>
              <w:bottom w:val="single" w:sz="4" w:space="0" w:color="auto"/>
              <w:right w:val="single" w:sz="4" w:space="0" w:color="auto"/>
            </w:tcBorders>
            <w:vAlign w:val="center"/>
            <w:hideMark/>
          </w:tcPr>
          <w:p w:rsidR="00063D64" w:rsidRDefault="00063D64">
            <w:pPr>
              <w:adjustRightInd w:val="0"/>
              <w:snapToGrid w:val="0"/>
              <w:spacing w:line="360" w:lineRule="auto"/>
              <w:ind w:rightChars="-30" w:right="-63"/>
              <w:rPr>
                <w:sz w:val="24"/>
                <w:szCs w:val="24"/>
              </w:rPr>
            </w:pPr>
            <w:r>
              <w:rPr>
                <w:rFonts w:hint="eastAsia"/>
                <w:sz w:val="24"/>
              </w:rPr>
              <w:t>中止标准</w:t>
            </w:r>
          </w:p>
        </w:tc>
        <w:tc>
          <w:tcPr>
            <w:tcW w:w="7606" w:type="dxa"/>
            <w:tcBorders>
              <w:top w:val="single" w:sz="4" w:space="0" w:color="auto"/>
              <w:left w:val="single" w:sz="4" w:space="0" w:color="auto"/>
              <w:bottom w:val="single" w:sz="4" w:space="0" w:color="auto"/>
              <w:right w:val="single" w:sz="4" w:space="0" w:color="auto"/>
            </w:tcBorders>
            <w:vAlign w:val="center"/>
            <w:hideMark/>
          </w:tcPr>
          <w:p w:rsidR="00063D64" w:rsidRDefault="00063D64">
            <w:pPr>
              <w:spacing w:before="40" w:after="40" w:line="360" w:lineRule="auto"/>
              <w:rPr>
                <w:rFonts w:ascii="宋体" w:hAnsi="宋体" w:cs="宋体"/>
                <w:sz w:val="24"/>
                <w:szCs w:val="24"/>
                <w:lang w:val="zh-TW" w:eastAsia="zh-TW"/>
              </w:rPr>
            </w:pPr>
            <w:r>
              <w:rPr>
                <w:sz w:val="24"/>
              </w:rPr>
              <w:t>1)</w:t>
            </w:r>
            <w:r>
              <w:rPr>
                <w:rFonts w:hint="eastAsia"/>
                <w:sz w:val="24"/>
              </w:rPr>
              <w:t>服药后因任何原因（包括但不限于</w:t>
            </w:r>
            <w:r>
              <w:rPr>
                <w:rFonts w:ascii="宋体" w:hAnsi="宋体" w:cs="宋体" w:hint="eastAsia"/>
                <w:sz w:val="24"/>
                <w:lang w:val="zh-TW"/>
              </w:rPr>
              <w:t>因</w:t>
            </w:r>
            <w:r>
              <w:rPr>
                <w:rFonts w:ascii="宋体" w:hAnsi="宋体" w:cs="宋体" w:hint="eastAsia"/>
                <w:sz w:val="24"/>
                <w:lang w:val="zh-TW" w:eastAsia="zh-TW"/>
              </w:rPr>
              <w:t>出现严重不良事件或不良事件</w:t>
            </w:r>
            <w:r>
              <w:rPr>
                <w:rFonts w:ascii="宋体" w:hAnsi="宋体" w:cs="宋体" w:hint="eastAsia"/>
                <w:sz w:val="24"/>
                <w:lang w:val="zh-TW"/>
              </w:rPr>
              <w:t>，</w:t>
            </w:r>
            <w:r>
              <w:rPr>
                <w:rFonts w:ascii="宋体" w:hAnsi="宋体" w:cs="宋体" w:hint="eastAsia"/>
                <w:sz w:val="24"/>
                <w:lang w:val="zh-TW" w:eastAsia="zh-TW"/>
              </w:rPr>
              <w:t>经研究者判断需退出试验</w:t>
            </w:r>
            <w:r>
              <w:rPr>
                <w:rFonts w:ascii="宋体" w:hAnsi="宋体" w:cs="宋体" w:hint="eastAsia"/>
                <w:sz w:val="24"/>
                <w:lang w:val="zh-TW"/>
              </w:rPr>
              <w:t>；受试者要求退出或无故退出试验等</w:t>
            </w:r>
            <w:r>
              <w:rPr>
                <w:rFonts w:hint="eastAsia"/>
                <w:sz w:val="24"/>
              </w:rPr>
              <w:t>）</w:t>
            </w:r>
            <w:r>
              <w:rPr>
                <w:rFonts w:hint="eastAsia"/>
                <w:sz w:val="24"/>
                <w:lang w:val="zh-TW"/>
              </w:rPr>
              <w:t>未完成完整的采血点采血</w:t>
            </w:r>
            <w:r>
              <w:rPr>
                <w:rFonts w:ascii="宋体" w:hAnsi="宋体" w:cs="宋体" w:hint="eastAsia"/>
                <w:sz w:val="24"/>
                <w:lang w:val="zh-TW" w:eastAsia="zh-TW"/>
              </w:rPr>
              <w:t>的受试者。</w:t>
            </w:r>
          </w:p>
          <w:p w:rsidR="00063D64" w:rsidRDefault="00063D64">
            <w:pPr>
              <w:spacing w:before="40" w:after="40" w:line="360" w:lineRule="auto"/>
              <w:rPr>
                <w:rFonts w:ascii="宋体" w:hAnsi="宋体" w:cs="宋体" w:hint="eastAsia"/>
                <w:lang w:val="zh-TW" w:eastAsia="zh-TW"/>
              </w:rPr>
            </w:pPr>
            <w:r>
              <w:rPr>
                <w:rFonts w:ascii="宋体" w:hAnsi="宋体" w:cs="宋体" w:hint="eastAsia"/>
                <w:sz w:val="24"/>
                <w:lang w:val="zh-TW" w:eastAsia="zh-TW"/>
              </w:rPr>
              <w:t>2)</w:t>
            </w:r>
            <w:r>
              <w:rPr>
                <w:rFonts w:hint="eastAsia"/>
                <w:sz w:val="24"/>
                <w:lang w:val="zh-TW" w:eastAsia="zh-TW"/>
              </w:rPr>
              <w:t xml:space="preserve"> </w:t>
            </w:r>
            <w:r>
              <w:rPr>
                <w:rFonts w:hint="eastAsia"/>
                <w:sz w:val="24"/>
                <w:lang w:val="zh-TW"/>
              </w:rPr>
              <w:t>试验第二周期未服</w:t>
            </w:r>
            <w:r>
              <w:rPr>
                <w:rFonts w:hint="eastAsia"/>
                <w:sz w:val="24"/>
              </w:rPr>
              <w:t>用试验用药物的受试者。</w:t>
            </w:r>
          </w:p>
          <w:p w:rsidR="00063D64" w:rsidRDefault="00063D64">
            <w:pPr>
              <w:spacing w:before="40" w:after="40" w:line="360" w:lineRule="auto"/>
              <w:rPr>
                <w:rFonts w:ascii="Times New Roman" w:hAnsi="Times New Roman" w:cs="Times New Roman" w:hint="eastAsia"/>
                <w:sz w:val="24"/>
              </w:rPr>
            </w:pPr>
            <w:r>
              <w:rPr>
                <w:rFonts w:hint="eastAsia"/>
                <w:sz w:val="24"/>
                <w:lang w:val="zh-TW" w:eastAsia="zh-TW"/>
              </w:rPr>
              <w:t xml:space="preserve">3) </w:t>
            </w:r>
            <w:r>
              <w:rPr>
                <w:rFonts w:hint="eastAsia"/>
                <w:sz w:val="24"/>
                <w:lang w:val="zh-TW"/>
              </w:rPr>
              <w:t>试验第二</w:t>
            </w:r>
            <w:r>
              <w:rPr>
                <w:rFonts w:ascii="宋体" w:hAnsi="宋体" w:cs="宋体" w:hint="eastAsia"/>
                <w:sz w:val="24"/>
                <w:lang w:val="zh-TW" w:eastAsia="zh-TW"/>
              </w:rPr>
              <w:t>周期</w:t>
            </w:r>
            <w:r>
              <w:rPr>
                <w:rFonts w:hint="eastAsia"/>
                <w:sz w:val="24"/>
                <w:lang w:val="zh-TW"/>
              </w:rPr>
              <w:t>入住当天</w:t>
            </w:r>
            <w:r>
              <w:rPr>
                <w:rFonts w:ascii="宋体" w:hAnsi="宋体" w:cs="宋体" w:hint="eastAsia"/>
                <w:sz w:val="24"/>
                <w:lang w:val="zh-TW" w:eastAsia="zh-TW"/>
              </w:rPr>
              <w:t>酒精筛查表明为饮酒的受试者</w:t>
            </w:r>
            <w:r>
              <w:rPr>
                <w:rFonts w:hint="eastAsia"/>
                <w:sz w:val="24"/>
              </w:rPr>
              <w:t>。</w:t>
            </w:r>
          </w:p>
          <w:p w:rsidR="00063D64" w:rsidRDefault="00063D64">
            <w:pPr>
              <w:spacing w:before="40" w:after="40" w:line="360" w:lineRule="auto"/>
              <w:rPr>
                <w:rFonts w:ascii="宋体" w:hAnsi="宋体" w:cs="宋体"/>
                <w:sz w:val="24"/>
                <w:lang w:val="zh-TW" w:eastAsia="zh-TW"/>
              </w:rPr>
            </w:pPr>
            <w:r>
              <w:rPr>
                <w:rFonts w:ascii="宋体" w:hAnsi="宋体" w:cs="宋体" w:hint="eastAsia"/>
                <w:sz w:val="24"/>
                <w:lang w:val="zh-TW" w:eastAsia="zh-TW"/>
              </w:rPr>
              <w:t>4)</w:t>
            </w:r>
            <w:r>
              <w:rPr>
                <w:rFonts w:hint="eastAsia"/>
                <w:sz w:val="24"/>
                <w:lang w:eastAsia="zh-TW"/>
              </w:rPr>
              <w:t xml:space="preserve"> </w:t>
            </w:r>
            <w:r>
              <w:rPr>
                <w:rFonts w:hint="eastAsia"/>
                <w:sz w:val="24"/>
              </w:rPr>
              <w:t>试验期间不能接受</w:t>
            </w:r>
            <w:r>
              <w:rPr>
                <w:sz w:val="24"/>
              </w:rPr>
              <w:t>I</w:t>
            </w:r>
            <w:r>
              <w:rPr>
                <w:rFonts w:hint="eastAsia"/>
                <w:sz w:val="24"/>
              </w:rPr>
              <w:t>期病房管理制度的受试者</w:t>
            </w:r>
            <w:r>
              <w:rPr>
                <w:rFonts w:ascii="宋体" w:hAnsi="宋体" w:cs="宋体" w:hint="eastAsia"/>
                <w:sz w:val="24"/>
                <w:lang w:val="zh-TW"/>
              </w:rPr>
              <w:t>。</w:t>
            </w:r>
          </w:p>
          <w:p w:rsidR="00063D64" w:rsidRDefault="00063D64">
            <w:pPr>
              <w:spacing w:before="40" w:after="40" w:line="360" w:lineRule="auto"/>
              <w:rPr>
                <w:rFonts w:ascii="Times New Roman" w:hAnsi="Times New Roman" w:cs="Times New Roman" w:hint="eastAsia"/>
                <w:sz w:val="24"/>
              </w:rPr>
            </w:pPr>
            <w:r>
              <w:rPr>
                <w:sz w:val="24"/>
              </w:rPr>
              <w:t>5)</w:t>
            </w:r>
            <w:r>
              <w:rPr>
                <w:sz w:val="24"/>
                <w:lang w:val="zh-TW" w:eastAsia="zh-TW"/>
              </w:rPr>
              <w:t xml:space="preserve"> </w:t>
            </w:r>
            <w:r>
              <w:rPr>
                <w:rFonts w:hint="eastAsia"/>
                <w:sz w:val="24"/>
                <w:lang w:val="zh-TW" w:eastAsia="zh-TW"/>
              </w:rPr>
              <w:t>服药后约</w:t>
            </w:r>
            <w:r>
              <w:rPr>
                <w:rFonts w:hint="eastAsia"/>
                <w:sz w:val="24"/>
                <w:lang w:val="zh-TW" w:eastAsia="zh-TW"/>
              </w:rPr>
              <w:t>4</w:t>
            </w:r>
            <w:r>
              <w:rPr>
                <w:rFonts w:hint="eastAsia"/>
                <w:sz w:val="24"/>
                <w:lang w:val="zh-TW" w:eastAsia="zh-TW"/>
              </w:rPr>
              <w:t>小时内发生呕吐</w:t>
            </w:r>
            <w:r>
              <w:rPr>
                <w:rFonts w:hint="eastAsia"/>
                <w:sz w:val="24"/>
              </w:rPr>
              <w:t>的受试者。</w:t>
            </w:r>
          </w:p>
          <w:p w:rsidR="00063D64" w:rsidRDefault="00063D64">
            <w:pPr>
              <w:spacing w:before="40" w:after="40" w:line="360" w:lineRule="auto"/>
              <w:rPr>
                <w:sz w:val="24"/>
              </w:rPr>
            </w:pPr>
            <w:r>
              <w:rPr>
                <w:sz w:val="24"/>
              </w:rPr>
              <w:t>6)</w:t>
            </w:r>
            <w:r>
              <w:rPr>
                <w:sz w:val="24"/>
                <w:lang w:val="zh-TW" w:eastAsia="zh-TW"/>
              </w:rPr>
              <w:t xml:space="preserve"> </w:t>
            </w:r>
            <w:r>
              <w:rPr>
                <w:rFonts w:hint="eastAsia"/>
                <w:sz w:val="24"/>
                <w:lang w:val="zh-TW" w:eastAsia="zh-TW"/>
              </w:rPr>
              <w:t>在试验期间使用非试验药物</w:t>
            </w:r>
            <w:r>
              <w:rPr>
                <w:rFonts w:hint="eastAsia"/>
                <w:sz w:val="24"/>
                <w:lang w:val="zh-TW"/>
              </w:rPr>
              <w:t>，经研究者判定不适合</w:t>
            </w:r>
            <w:r>
              <w:rPr>
                <w:rFonts w:hint="eastAsia"/>
                <w:sz w:val="24"/>
                <w:lang w:val="zh-TW" w:eastAsia="zh-TW"/>
              </w:rPr>
              <w:t>继续试验</w:t>
            </w:r>
            <w:r>
              <w:rPr>
                <w:rFonts w:hint="eastAsia"/>
                <w:sz w:val="24"/>
              </w:rPr>
              <w:t>者。</w:t>
            </w:r>
          </w:p>
          <w:p w:rsidR="00063D64" w:rsidRDefault="00063D64">
            <w:pPr>
              <w:spacing w:before="40" w:after="40" w:line="360" w:lineRule="auto"/>
              <w:rPr>
                <w:sz w:val="24"/>
                <w:szCs w:val="24"/>
                <w:lang w:val="zh-TW" w:eastAsia="zh-TW"/>
              </w:rPr>
            </w:pPr>
            <w:r>
              <w:rPr>
                <w:rFonts w:hint="eastAsia"/>
                <w:sz w:val="24"/>
                <w:lang w:val="zh-TW" w:eastAsia="zh-TW"/>
              </w:rPr>
              <w:t xml:space="preserve">7) </w:t>
            </w:r>
            <w:r>
              <w:rPr>
                <w:rFonts w:hint="eastAsia"/>
                <w:sz w:val="24"/>
                <w:lang w:val="zh-TW"/>
              </w:rPr>
              <w:t>临床研究者认为受试者不适合继续试验的其他情况。</w:t>
            </w:r>
          </w:p>
        </w:tc>
      </w:tr>
      <w:tr w:rsidR="00063D64" w:rsidTr="00063D64">
        <w:trPr>
          <w:trHeight w:val="227"/>
        </w:trPr>
        <w:tc>
          <w:tcPr>
            <w:tcW w:w="1526" w:type="dxa"/>
            <w:tcBorders>
              <w:top w:val="single" w:sz="4" w:space="0" w:color="auto"/>
              <w:left w:val="single" w:sz="4" w:space="0" w:color="auto"/>
              <w:bottom w:val="single" w:sz="4" w:space="0" w:color="auto"/>
              <w:right w:val="single" w:sz="4" w:space="0" w:color="auto"/>
            </w:tcBorders>
            <w:vAlign w:val="center"/>
            <w:hideMark/>
          </w:tcPr>
          <w:p w:rsidR="00063D64" w:rsidRDefault="00063D64">
            <w:pPr>
              <w:spacing w:line="360" w:lineRule="auto"/>
              <w:rPr>
                <w:sz w:val="24"/>
                <w:szCs w:val="24"/>
              </w:rPr>
            </w:pPr>
            <w:r>
              <w:rPr>
                <w:rFonts w:hint="eastAsia"/>
                <w:sz w:val="24"/>
              </w:rPr>
              <w:lastRenderedPageBreak/>
              <w:t>给药剂量</w:t>
            </w:r>
          </w:p>
        </w:tc>
        <w:tc>
          <w:tcPr>
            <w:tcW w:w="7606" w:type="dxa"/>
            <w:tcBorders>
              <w:top w:val="single" w:sz="4" w:space="0" w:color="auto"/>
              <w:left w:val="single" w:sz="4" w:space="0" w:color="auto"/>
              <w:bottom w:val="single" w:sz="4" w:space="0" w:color="auto"/>
              <w:right w:val="single" w:sz="4" w:space="0" w:color="auto"/>
            </w:tcBorders>
            <w:vAlign w:val="center"/>
            <w:hideMark/>
          </w:tcPr>
          <w:p w:rsidR="00063D64" w:rsidRDefault="00063D64">
            <w:pPr>
              <w:spacing w:line="360" w:lineRule="auto"/>
              <w:rPr>
                <w:sz w:val="24"/>
                <w:szCs w:val="24"/>
              </w:rPr>
            </w:pPr>
            <w:r>
              <w:rPr>
                <w:rFonts w:hint="eastAsia"/>
                <w:sz w:val="24"/>
              </w:rPr>
              <w:t>每周期单次口服</w:t>
            </w:r>
            <w:r>
              <w:rPr>
                <w:sz w:val="24"/>
              </w:rPr>
              <w:t>1</w:t>
            </w:r>
            <w:r>
              <w:rPr>
                <w:rFonts w:hint="eastAsia"/>
                <w:sz w:val="24"/>
              </w:rPr>
              <w:t>片</w:t>
            </w:r>
            <w:r>
              <w:rPr>
                <w:sz w:val="24"/>
              </w:rPr>
              <w:t>(</w:t>
            </w:r>
            <w:r w:rsidR="00514813">
              <w:rPr>
                <w:sz w:val="24"/>
              </w:rPr>
              <w:t>0.</w:t>
            </w:r>
            <w:r>
              <w:rPr>
                <w:sz w:val="24"/>
              </w:rPr>
              <w:t>5</w:t>
            </w:r>
            <w:r w:rsidR="00514813">
              <w:rPr>
                <w:rFonts w:hint="eastAsia"/>
                <w:sz w:val="24"/>
              </w:rPr>
              <w:t xml:space="preserve"> </w:t>
            </w:r>
            <w:r>
              <w:rPr>
                <w:sz w:val="24"/>
              </w:rPr>
              <w:t>mg)</w:t>
            </w:r>
            <w:r>
              <w:rPr>
                <w:rFonts w:hint="eastAsia"/>
                <w:sz w:val="24"/>
              </w:rPr>
              <w:t>受试制剂或参比制剂</w:t>
            </w:r>
          </w:p>
        </w:tc>
      </w:tr>
      <w:tr w:rsidR="00063D64" w:rsidTr="00063D64">
        <w:trPr>
          <w:trHeight w:val="227"/>
        </w:trPr>
        <w:tc>
          <w:tcPr>
            <w:tcW w:w="1526" w:type="dxa"/>
            <w:tcBorders>
              <w:top w:val="single" w:sz="4" w:space="0" w:color="auto"/>
              <w:left w:val="single" w:sz="4" w:space="0" w:color="auto"/>
              <w:bottom w:val="single" w:sz="4" w:space="0" w:color="auto"/>
              <w:right w:val="single" w:sz="4" w:space="0" w:color="auto"/>
            </w:tcBorders>
            <w:vAlign w:val="center"/>
            <w:hideMark/>
          </w:tcPr>
          <w:p w:rsidR="00063D64" w:rsidRDefault="00063D64">
            <w:pPr>
              <w:spacing w:line="360" w:lineRule="auto"/>
              <w:rPr>
                <w:sz w:val="24"/>
                <w:szCs w:val="24"/>
              </w:rPr>
            </w:pPr>
            <w:r>
              <w:rPr>
                <w:rFonts w:hint="eastAsia"/>
                <w:sz w:val="24"/>
              </w:rPr>
              <w:t>给药方法</w:t>
            </w:r>
          </w:p>
        </w:tc>
        <w:tc>
          <w:tcPr>
            <w:tcW w:w="7606" w:type="dxa"/>
            <w:tcBorders>
              <w:top w:val="single" w:sz="4" w:space="0" w:color="auto"/>
              <w:left w:val="single" w:sz="4" w:space="0" w:color="auto"/>
              <w:bottom w:val="single" w:sz="4" w:space="0" w:color="auto"/>
              <w:right w:val="single" w:sz="4" w:space="0" w:color="auto"/>
            </w:tcBorders>
            <w:vAlign w:val="center"/>
            <w:hideMark/>
          </w:tcPr>
          <w:p w:rsidR="00063D64" w:rsidRDefault="00063D64">
            <w:pPr>
              <w:spacing w:line="360" w:lineRule="auto"/>
              <w:rPr>
                <w:sz w:val="24"/>
                <w:szCs w:val="24"/>
              </w:rPr>
            </w:pPr>
            <w:r>
              <w:rPr>
                <w:rFonts w:hint="eastAsia"/>
                <w:sz w:val="24"/>
              </w:rPr>
              <w:t>约</w:t>
            </w:r>
            <w:r>
              <w:rPr>
                <w:sz w:val="24"/>
              </w:rPr>
              <w:t>240mL</w:t>
            </w:r>
            <w:r>
              <w:rPr>
                <w:rFonts w:hint="eastAsia"/>
                <w:sz w:val="24"/>
              </w:rPr>
              <w:t>温开水送服</w:t>
            </w:r>
          </w:p>
        </w:tc>
      </w:tr>
      <w:tr w:rsidR="00063D64" w:rsidTr="00063D64">
        <w:trPr>
          <w:trHeight w:val="227"/>
        </w:trPr>
        <w:tc>
          <w:tcPr>
            <w:tcW w:w="1526" w:type="dxa"/>
            <w:tcBorders>
              <w:top w:val="single" w:sz="4" w:space="0" w:color="auto"/>
              <w:left w:val="single" w:sz="4" w:space="0" w:color="auto"/>
              <w:bottom w:val="single" w:sz="4" w:space="0" w:color="auto"/>
              <w:right w:val="single" w:sz="4" w:space="0" w:color="auto"/>
            </w:tcBorders>
            <w:vAlign w:val="center"/>
            <w:hideMark/>
          </w:tcPr>
          <w:p w:rsidR="00063D64" w:rsidRDefault="00063D64">
            <w:pPr>
              <w:adjustRightInd w:val="0"/>
              <w:snapToGrid w:val="0"/>
              <w:spacing w:line="360" w:lineRule="auto"/>
              <w:ind w:rightChars="-30" w:right="-63"/>
              <w:rPr>
                <w:sz w:val="24"/>
                <w:szCs w:val="24"/>
              </w:rPr>
            </w:pPr>
            <w:r>
              <w:rPr>
                <w:rFonts w:hint="eastAsia"/>
                <w:bCs/>
                <w:sz w:val="24"/>
              </w:rPr>
              <w:t>试验方法</w:t>
            </w:r>
          </w:p>
        </w:tc>
        <w:tc>
          <w:tcPr>
            <w:tcW w:w="7606" w:type="dxa"/>
            <w:tcBorders>
              <w:top w:val="single" w:sz="4" w:space="0" w:color="auto"/>
              <w:left w:val="single" w:sz="4" w:space="0" w:color="auto"/>
              <w:bottom w:val="single" w:sz="4" w:space="0" w:color="auto"/>
              <w:right w:val="single" w:sz="4" w:space="0" w:color="auto"/>
            </w:tcBorders>
            <w:vAlign w:val="center"/>
            <w:hideMark/>
          </w:tcPr>
          <w:p w:rsidR="00063D64" w:rsidRDefault="00063D64">
            <w:pPr>
              <w:pStyle w:val="TableParagraph"/>
              <w:spacing w:line="360" w:lineRule="auto"/>
              <w:ind w:firstLineChars="200" w:firstLine="480"/>
              <w:jc w:val="left"/>
              <w:rPr>
                <w:sz w:val="24"/>
                <w:lang w:val="zh-TW" w:eastAsia="zh-TW"/>
              </w:rPr>
            </w:pPr>
            <w:r>
              <w:rPr>
                <w:rFonts w:hint="eastAsia"/>
                <w:sz w:val="24"/>
                <w:lang w:val="zh-TW" w:eastAsia="zh-TW"/>
              </w:rPr>
              <w:t>2</w:t>
            </w:r>
            <w:r>
              <w:rPr>
                <w:sz w:val="24"/>
              </w:rPr>
              <w:t>4</w:t>
            </w:r>
            <w:r>
              <w:rPr>
                <w:rFonts w:hint="eastAsia"/>
                <w:sz w:val="24"/>
                <w:lang w:val="zh-TW"/>
              </w:rPr>
              <w:t>例受试者随机分成</w:t>
            </w:r>
            <w:r>
              <w:rPr>
                <w:rFonts w:hint="eastAsia"/>
                <w:sz w:val="24"/>
                <w:lang w:val="zh-TW" w:eastAsia="zh-TW"/>
              </w:rPr>
              <w:t>I</w:t>
            </w:r>
            <w:r>
              <w:rPr>
                <w:rFonts w:hint="eastAsia"/>
                <w:sz w:val="24"/>
                <w:lang w:val="zh-TW"/>
              </w:rPr>
              <w:t>组和</w:t>
            </w:r>
            <w:r>
              <w:rPr>
                <w:rFonts w:hint="eastAsia"/>
                <w:sz w:val="24"/>
                <w:lang w:val="zh-TW" w:eastAsia="zh-TW"/>
              </w:rPr>
              <w:t>II</w:t>
            </w:r>
            <w:r>
              <w:rPr>
                <w:rFonts w:hint="eastAsia"/>
                <w:sz w:val="24"/>
                <w:lang w:val="zh-TW"/>
              </w:rPr>
              <w:t>组。</w:t>
            </w:r>
          </w:p>
          <w:p w:rsidR="00063D64" w:rsidRDefault="00063D64">
            <w:pPr>
              <w:pStyle w:val="TableParagraph"/>
              <w:spacing w:line="360" w:lineRule="auto"/>
              <w:ind w:firstLineChars="200" w:firstLine="480"/>
              <w:jc w:val="left"/>
              <w:rPr>
                <w:rFonts w:hint="eastAsia"/>
                <w:sz w:val="24"/>
                <w:lang w:val="zh-TW" w:eastAsia="zh-TW"/>
              </w:rPr>
            </w:pPr>
            <w:r>
              <w:rPr>
                <w:rFonts w:hint="eastAsia"/>
                <w:sz w:val="24"/>
                <w:lang w:val="zh-TW"/>
              </w:rPr>
              <w:t>第一周期</w:t>
            </w:r>
          </w:p>
          <w:p w:rsidR="00063D64" w:rsidRDefault="00063D64">
            <w:pPr>
              <w:pStyle w:val="TableParagraph"/>
              <w:spacing w:line="360" w:lineRule="auto"/>
              <w:ind w:firstLineChars="200" w:firstLine="480"/>
              <w:jc w:val="left"/>
              <w:rPr>
                <w:rFonts w:eastAsia="PMingLiU" w:hint="eastAsia"/>
                <w:sz w:val="24"/>
                <w:lang w:val="zh-TW" w:eastAsia="zh-TW"/>
              </w:rPr>
            </w:pPr>
            <w:r>
              <w:rPr>
                <w:rFonts w:hint="eastAsia"/>
                <w:sz w:val="24"/>
                <w:lang w:val="zh-TW"/>
              </w:rPr>
              <w:t>受试者入住后进行</w:t>
            </w:r>
            <w:r>
              <w:rPr>
                <w:rFonts w:hint="eastAsia"/>
                <w:sz w:val="24"/>
              </w:rPr>
              <w:t>酒精呼气测试，测量生命体征（血压、脉搏、体温），结果合格者参加试验。给药当天早晨受试者空腹静脉埋留置针，后服药</w:t>
            </w:r>
            <w:r>
              <w:rPr>
                <w:rFonts w:hint="eastAsia"/>
                <w:sz w:val="24"/>
                <w:lang w:val="zh-TW"/>
              </w:rPr>
              <w:t>（</w:t>
            </w:r>
            <w:r>
              <w:rPr>
                <w:rFonts w:hint="eastAsia"/>
                <w:sz w:val="24"/>
                <w:lang w:val="zh-TW" w:eastAsia="zh-TW"/>
              </w:rPr>
              <w:t>隔夜</w:t>
            </w:r>
            <w:r>
              <w:rPr>
                <w:rFonts w:hint="eastAsia"/>
                <w:sz w:val="24"/>
                <w:lang w:val="zh-TW"/>
              </w:rPr>
              <w:t>禁食</w:t>
            </w:r>
            <w:r>
              <w:rPr>
                <w:rFonts w:hint="eastAsia"/>
                <w:sz w:val="24"/>
                <w:lang w:val="zh-TW" w:eastAsia="zh-TW"/>
              </w:rPr>
              <w:t>至少</w:t>
            </w:r>
            <w:r>
              <w:rPr>
                <w:rFonts w:hint="eastAsia"/>
                <w:sz w:val="24"/>
                <w:lang w:val="zh-TW" w:eastAsia="zh-TW"/>
              </w:rPr>
              <w:t>10</w:t>
            </w:r>
            <w:r>
              <w:rPr>
                <w:rFonts w:hint="eastAsia"/>
                <w:sz w:val="24"/>
                <w:lang w:val="zh-TW" w:eastAsia="zh-TW"/>
              </w:rPr>
              <w:t>个小时</w:t>
            </w:r>
            <w:r>
              <w:rPr>
                <w:rFonts w:hint="eastAsia"/>
                <w:sz w:val="24"/>
                <w:lang w:val="zh-TW"/>
              </w:rPr>
              <w:t>），</w:t>
            </w:r>
            <w:r>
              <w:rPr>
                <w:rFonts w:hint="eastAsia"/>
                <w:sz w:val="24"/>
                <w:lang w:val="zh-TW" w:eastAsia="zh-TW"/>
              </w:rPr>
              <w:t>I</w:t>
            </w:r>
            <w:r>
              <w:rPr>
                <w:rFonts w:hint="eastAsia"/>
                <w:sz w:val="24"/>
                <w:lang w:val="zh-TW"/>
              </w:rPr>
              <w:t>组受试者</w:t>
            </w:r>
            <w:r>
              <w:rPr>
                <w:rFonts w:hint="eastAsia"/>
                <w:sz w:val="24"/>
              </w:rPr>
              <w:t>空腹服用受试制剂</w:t>
            </w:r>
            <w:r>
              <w:rPr>
                <w:sz w:val="24"/>
              </w:rPr>
              <w:t>1</w:t>
            </w:r>
            <w:r>
              <w:rPr>
                <w:rFonts w:hint="eastAsia"/>
                <w:sz w:val="24"/>
              </w:rPr>
              <w:t>片，</w:t>
            </w:r>
            <w:r>
              <w:rPr>
                <w:sz w:val="24"/>
              </w:rPr>
              <w:t>II</w:t>
            </w:r>
            <w:r>
              <w:rPr>
                <w:rFonts w:hint="eastAsia"/>
                <w:sz w:val="24"/>
              </w:rPr>
              <w:t>组受试者空腹服用参比制剂</w:t>
            </w:r>
            <w:r>
              <w:rPr>
                <w:sz w:val="24"/>
              </w:rPr>
              <w:t>1</w:t>
            </w:r>
            <w:r>
              <w:rPr>
                <w:rFonts w:hint="eastAsia"/>
                <w:sz w:val="24"/>
              </w:rPr>
              <w:t>片，约</w:t>
            </w:r>
            <w:r>
              <w:rPr>
                <w:sz w:val="24"/>
              </w:rPr>
              <w:t xml:space="preserve">240mL </w:t>
            </w:r>
            <w:r>
              <w:rPr>
                <w:rFonts w:hint="eastAsia"/>
                <w:kern w:val="0"/>
                <w:sz w:val="24"/>
                <w:lang w:val="zh-TW" w:eastAsia="zh-TW"/>
              </w:rPr>
              <w:t>温开水</w:t>
            </w:r>
            <w:r>
              <w:rPr>
                <w:rFonts w:hint="eastAsia"/>
                <w:sz w:val="24"/>
              </w:rPr>
              <w:t>送服，</w:t>
            </w:r>
            <w:r>
              <w:rPr>
                <w:rFonts w:hint="eastAsia"/>
                <w:sz w:val="24"/>
                <w:lang w:val="zh-TW"/>
              </w:rPr>
              <w:t>服药后研究者对受试者的口腔和手进行检查以确保药物已被吞咽。服药前</w:t>
            </w:r>
            <w:r>
              <w:rPr>
                <w:rFonts w:hint="eastAsia"/>
                <w:sz w:val="24"/>
                <w:lang w:val="zh-TW" w:eastAsia="zh-TW"/>
              </w:rPr>
              <w:t>1h</w:t>
            </w:r>
            <w:r>
              <w:rPr>
                <w:rFonts w:hint="eastAsia"/>
                <w:sz w:val="24"/>
                <w:lang w:val="zh-TW"/>
              </w:rPr>
              <w:t>至服药后</w:t>
            </w:r>
            <w:r>
              <w:rPr>
                <w:rFonts w:hint="eastAsia"/>
                <w:sz w:val="24"/>
                <w:lang w:val="zh-TW" w:eastAsia="zh-TW"/>
              </w:rPr>
              <w:t>1h</w:t>
            </w:r>
            <w:r>
              <w:rPr>
                <w:rFonts w:hint="eastAsia"/>
                <w:sz w:val="24"/>
                <w:lang w:val="zh-TW"/>
              </w:rPr>
              <w:t>不得饮水，其他时间自由饮水</w:t>
            </w:r>
            <w:r>
              <w:rPr>
                <w:rFonts w:hint="eastAsia"/>
                <w:sz w:val="24"/>
              </w:rPr>
              <w:t>。服药后约</w:t>
            </w:r>
            <w:r>
              <w:rPr>
                <w:sz w:val="24"/>
              </w:rPr>
              <w:t>4</w:t>
            </w:r>
            <w:r>
              <w:rPr>
                <w:rFonts w:hint="eastAsia"/>
                <w:sz w:val="24"/>
                <w:lang w:val="zh-TW" w:eastAsia="zh-TW"/>
              </w:rPr>
              <w:t>小时</w:t>
            </w:r>
            <w:r>
              <w:rPr>
                <w:rFonts w:hint="eastAsia"/>
                <w:sz w:val="24"/>
                <w:lang w:val="zh-TW"/>
              </w:rPr>
              <w:t>、</w:t>
            </w:r>
            <w:r>
              <w:rPr>
                <w:sz w:val="24"/>
              </w:rPr>
              <w:t>10</w:t>
            </w:r>
            <w:r>
              <w:rPr>
                <w:rFonts w:hint="eastAsia"/>
                <w:sz w:val="24"/>
                <w:lang w:val="zh-TW" w:eastAsia="zh-TW"/>
              </w:rPr>
              <w:t>小时后进</w:t>
            </w:r>
            <w:r>
              <w:rPr>
                <w:rFonts w:hint="eastAsia"/>
                <w:sz w:val="24"/>
                <w:lang w:val="zh-TW"/>
              </w:rPr>
              <w:t>试验</w:t>
            </w:r>
            <w:r>
              <w:rPr>
                <w:rFonts w:hint="eastAsia"/>
                <w:sz w:val="24"/>
                <w:lang w:val="zh-TW" w:eastAsia="zh-TW"/>
              </w:rPr>
              <w:t>餐。</w:t>
            </w:r>
          </w:p>
          <w:p w:rsidR="00063D64" w:rsidRDefault="00063D64">
            <w:pPr>
              <w:spacing w:line="360" w:lineRule="auto"/>
              <w:ind w:firstLineChars="200" w:firstLine="480"/>
              <w:rPr>
                <w:rFonts w:eastAsia="宋体" w:hint="eastAsia"/>
                <w:sz w:val="24"/>
                <w:lang w:val="zh-TW" w:eastAsia="zh-TW"/>
              </w:rPr>
            </w:pPr>
            <w:r>
              <w:rPr>
                <w:rFonts w:hint="eastAsia"/>
                <w:sz w:val="24"/>
              </w:rPr>
              <w:t>于给药前</w:t>
            </w:r>
            <w:r>
              <w:rPr>
                <w:sz w:val="24"/>
              </w:rPr>
              <w:t>(</w:t>
            </w:r>
            <w:r>
              <w:rPr>
                <w:rFonts w:hint="eastAsia"/>
                <w:sz w:val="24"/>
                <w:lang w:val="zh-TW"/>
              </w:rPr>
              <w:t>服药前</w:t>
            </w:r>
            <w:r>
              <w:rPr>
                <w:rFonts w:hint="eastAsia"/>
                <w:sz w:val="24"/>
                <w:lang w:val="zh-TW" w:eastAsia="zh-TW"/>
              </w:rPr>
              <w:t>60</w:t>
            </w:r>
            <w:r>
              <w:rPr>
                <w:rFonts w:hint="eastAsia"/>
                <w:sz w:val="24"/>
                <w:lang w:val="zh-TW"/>
              </w:rPr>
              <w:t>分钟内，视为</w:t>
            </w:r>
            <w:r>
              <w:rPr>
                <w:rFonts w:hint="eastAsia"/>
                <w:sz w:val="24"/>
                <w:lang w:val="zh-TW" w:eastAsia="zh-TW"/>
              </w:rPr>
              <w:t>0h</w:t>
            </w:r>
            <w:r>
              <w:rPr>
                <w:sz w:val="24"/>
              </w:rPr>
              <w:t>)</w:t>
            </w:r>
            <w:r>
              <w:rPr>
                <w:rFonts w:hint="eastAsia"/>
                <w:sz w:val="24"/>
              </w:rPr>
              <w:t>和给药后</w:t>
            </w:r>
            <w:r w:rsidR="00514813">
              <w:rPr>
                <w:rFonts w:hint="eastAsia"/>
                <w:sz w:val="24"/>
                <w:szCs w:val="24"/>
              </w:rPr>
              <w:t>10min</w:t>
            </w:r>
            <w:r w:rsidR="00514813">
              <w:rPr>
                <w:rFonts w:hint="eastAsia"/>
                <w:sz w:val="24"/>
                <w:szCs w:val="24"/>
              </w:rPr>
              <w:t>，</w:t>
            </w:r>
            <w:r w:rsidR="00514813">
              <w:rPr>
                <w:rFonts w:hint="eastAsia"/>
                <w:sz w:val="24"/>
                <w:szCs w:val="24"/>
              </w:rPr>
              <w:t>20min</w:t>
            </w:r>
            <w:r w:rsidR="00514813">
              <w:rPr>
                <w:rFonts w:hint="eastAsia"/>
                <w:sz w:val="24"/>
                <w:szCs w:val="24"/>
              </w:rPr>
              <w:t>，</w:t>
            </w:r>
            <w:r w:rsidR="00514813">
              <w:rPr>
                <w:rFonts w:hint="eastAsia"/>
                <w:sz w:val="24"/>
                <w:szCs w:val="24"/>
              </w:rPr>
              <w:t>30min</w:t>
            </w:r>
            <w:r w:rsidR="00514813">
              <w:rPr>
                <w:rFonts w:hint="eastAsia"/>
                <w:sz w:val="24"/>
                <w:szCs w:val="24"/>
              </w:rPr>
              <w:t>，</w:t>
            </w:r>
            <w:r w:rsidR="00514813">
              <w:rPr>
                <w:rFonts w:hint="eastAsia"/>
                <w:sz w:val="24"/>
                <w:szCs w:val="24"/>
              </w:rPr>
              <w:t>40min</w:t>
            </w:r>
            <w:r w:rsidR="00514813">
              <w:rPr>
                <w:rFonts w:hint="eastAsia"/>
                <w:sz w:val="24"/>
                <w:szCs w:val="24"/>
              </w:rPr>
              <w:t>，</w:t>
            </w:r>
            <w:r w:rsidR="00514813">
              <w:rPr>
                <w:rFonts w:hint="eastAsia"/>
                <w:sz w:val="24"/>
                <w:szCs w:val="24"/>
              </w:rPr>
              <w:t>50min</w:t>
            </w:r>
            <w:r w:rsidR="00514813">
              <w:rPr>
                <w:rFonts w:hint="eastAsia"/>
                <w:sz w:val="24"/>
                <w:szCs w:val="24"/>
              </w:rPr>
              <w:t>，</w:t>
            </w:r>
            <w:r w:rsidR="00514813">
              <w:rPr>
                <w:rFonts w:hint="eastAsia"/>
                <w:sz w:val="24"/>
                <w:szCs w:val="24"/>
              </w:rPr>
              <w:t>1h</w:t>
            </w:r>
            <w:r w:rsidR="00514813">
              <w:rPr>
                <w:rFonts w:hint="eastAsia"/>
                <w:sz w:val="24"/>
                <w:szCs w:val="24"/>
              </w:rPr>
              <w:t>，</w:t>
            </w:r>
            <w:r w:rsidR="00514813">
              <w:rPr>
                <w:rFonts w:hint="eastAsia"/>
                <w:sz w:val="24"/>
                <w:szCs w:val="24"/>
              </w:rPr>
              <w:t>1.25h</w:t>
            </w:r>
            <w:r w:rsidR="00514813">
              <w:rPr>
                <w:rFonts w:hint="eastAsia"/>
                <w:sz w:val="24"/>
                <w:szCs w:val="24"/>
              </w:rPr>
              <w:t>，</w:t>
            </w:r>
            <w:r w:rsidR="00514813">
              <w:rPr>
                <w:rFonts w:hint="eastAsia"/>
                <w:sz w:val="24"/>
                <w:szCs w:val="24"/>
              </w:rPr>
              <w:t>1.5h</w:t>
            </w:r>
            <w:r w:rsidR="00514813">
              <w:rPr>
                <w:rFonts w:hint="eastAsia"/>
                <w:sz w:val="24"/>
                <w:szCs w:val="24"/>
              </w:rPr>
              <w:t>，</w:t>
            </w:r>
            <w:r w:rsidR="00514813">
              <w:rPr>
                <w:rFonts w:hint="eastAsia"/>
                <w:sz w:val="24"/>
                <w:szCs w:val="24"/>
              </w:rPr>
              <w:t>1.75h</w:t>
            </w:r>
            <w:r w:rsidR="00514813">
              <w:rPr>
                <w:rFonts w:hint="eastAsia"/>
                <w:sz w:val="24"/>
                <w:szCs w:val="24"/>
              </w:rPr>
              <w:t>，</w:t>
            </w:r>
            <w:r w:rsidR="00514813">
              <w:rPr>
                <w:rFonts w:hint="eastAsia"/>
                <w:sz w:val="24"/>
                <w:szCs w:val="24"/>
              </w:rPr>
              <w:t>2h</w:t>
            </w:r>
            <w:r w:rsidR="00514813">
              <w:rPr>
                <w:rFonts w:hint="eastAsia"/>
                <w:sz w:val="24"/>
                <w:szCs w:val="24"/>
              </w:rPr>
              <w:t>，</w:t>
            </w:r>
            <w:r w:rsidR="00514813">
              <w:rPr>
                <w:rFonts w:hint="eastAsia"/>
                <w:sz w:val="24"/>
                <w:szCs w:val="24"/>
              </w:rPr>
              <w:t>2.5h</w:t>
            </w:r>
            <w:r w:rsidR="00514813">
              <w:rPr>
                <w:rFonts w:hint="eastAsia"/>
                <w:sz w:val="24"/>
                <w:szCs w:val="24"/>
              </w:rPr>
              <w:t>，</w:t>
            </w:r>
            <w:r w:rsidR="00514813">
              <w:rPr>
                <w:rFonts w:hint="eastAsia"/>
                <w:sz w:val="24"/>
                <w:szCs w:val="24"/>
              </w:rPr>
              <w:t>3h</w:t>
            </w:r>
            <w:r w:rsidR="00514813">
              <w:rPr>
                <w:rFonts w:hint="eastAsia"/>
                <w:sz w:val="24"/>
                <w:szCs w:val="24"/>
              </w:rPr>
              <w:t>，</w:t>
            </w:r>
            <w:r w:rsidR="00514813">
              <w:rPr>
                <w:rFonts w:hint="eastAsia"/>
                <w:sz w:val="24"/>
                <w:szCs w:val="24"/>
              </w:rPr>
              <w:t>4h</w:t>
            </w:r>
            <w:r w:rsidR="00514813">
              <w:rPr>
                <w:rFonts w:hint="eastAsia"/>
                <w:sz w:val="24"/>
                <w:szCs w:val="24"/>
              </w:rPr>
              <w:t>，</w:t>
            </w:r>
            <w:r w:rsidR="00514813">
              <w:rPr>
                <w:rFonts w:hint="eastAsia"/>
                <w:sz w:val="24"/>
                <w:szCs w:val="24"/>
              </w:rPr>
              <w:t>6h</w:t>
            </w:r>
            <w:r w:rsidR="00514813">
              <w:rPr>
                <w:rFonts w:hint="eastAsia"/>
                <w:sz w:val="24"/>
                <w:szCs w:val="24"/>
              </w:rPr>
              <w:t>，</w:t>
            </w:r>
            <w:r w:rsidR="00514813">
              <w:rPr>
                <w:rFonts w:hint="eastAsia"/>
                <w:sz w:val="24"/>
                <w:szCs w:val="24"/>
              </w:rPr>
              <w:t>8h</w:t>
            </w:r>
            <w:r w:rsidR="00514813">
              <w:rPr>
                <w:rFonts w:hint="eastAsia"/>
                <w:sz w:val="24"/>
                <w:szCs w:val="24"/>
              </w:rPr>
              <w:t>，</w:t>
            </w:r>
            <w:r w:rsidR="00514813">
              <w:rPr>
                <w:rFonts w:hint="eastAsia"/>
                <w:sz w:val="24"/>
                <w:szCs w:val="24"/>
              </w:rPr>
              <w:t>12h</w:t>
            </w:r>
            <w:r w:rsidR="00514813">
              <w:rPr>
                <w:rFonts w:hint="eastAsia"/>
                <w:sz w:val="24"/>
                <w:szCs w:val="24"/>
              </w:rPr>
              <w:t>，</w:t>
            </w:r>
            <w:r w:rsidR="00514813">
              <w:rPr>
                <w:rFonts w:hint="eastAsia"/>
                <w:sz w:val="24"/>
                <w:szCs w:val="24"/>
              </w:rPr>
              <w:t>24h</w:t>
            </w:r>
            <w:r w:rsidR="00514813">
              <w:rPr>
                <w:rFonts w:hint="eastAsia"/>
                <w:sz w:val="24"/>
                <w:szCs w:val="24"/>
              </w:rPr>
              <w:t>，</w:t>
            </w:r>
            <w:r w:rsidR="00514813">
              <w:rPr>
                <w:rFonts w:hint="eastAsia"/>
                <w:sz w:val="24"/>
                <w:szCs w:val="24"/>
              </w:rPr>
              <w:t>48h</w:t>
            </w:r>
            <w:r w:rsidR="00514813">
              <w:rPr>
                <w:rFonts w:hint="eastAsia"/>
                <w:sz w:val="24"/>
                <w:szCs w:val="24"/>
              </w:rPr>
              <w:t>，</w:t>
            </w:r>
            <w:r w:rsidR="00514813">
              <w:rPr>
                <w:rFonts w:hint="eastAsia"/>
                <w:sz w:val="24"/>
                <w:szCs w:val="24"/>
              </w:rPr>
              <w:t>72h</w:t>
            </w:r>
            <w:r>
              <w:rPr>
                <w:rFonts w:hint="eastAsia"/>
                <w:kern w:val="0"/>
                <w:sz w:val="24"/>
                <w:szCs w:val="21"/>
                <w:lang w:val="zh-CN"/>
              </w:rPr>
              <w:t>共</w:t>
            </w:r>
            <w:r w:rsidR="00514813">
              <w:rPr>
                <w:kern w:val="0"/>
                <w:sz w:val="24"/>
                <w:szCs w:val="21"/>
                <w:lang w:val="zh-CN"/>
              </w:rPr>
              <w:t>20</w:t>
            </w:r>
            <w:r>
              <w:rPr>
                <w:rFonts w:hint="eastAsia"/>
                <w:kern w:val="0"/>
                <w:sz w:val="24"/>
                <w:szCs w:val="21"/>
                <w:lang w:val="zh-CN"/>
              </w:rPr>
              <w:t>个时间点采集受试者静脉血，</w:t>
            </w:r>
            <w:r>
              <w:rPr>
                <w:rFonts w:hint="eastAsia"/>
                <w:kern w:val="0"/>
                <w:sz w:val="24"/>
                <w:szCs w:val="21"/>
              </w:rPr>
              <w:t>每次采血约</w:t>
            </w:r>
            <w:r>
              <w:rPr>
                <w:kern w:val="0"/>
                <w:sz w:val="24"/>
                <w:szCs w:val="21"/>
              </w:rPr>
              <w:t>4mL</w:t>
            </w:r>
            <w:r>
              <w:rPr>
                <w:rFonts w:hint="eastAsia"/>
                <w:sz w:val="24"/>
                <w:lang w:val="zh-TW"/>
              </w:rPr>
              <w:t>至冰浴预冷的</w:t>
            </w:r>
            <w:r w:rsidR="00514813">
              <w:rPr>
                <w:rFonts w:hint="eastAsia"/>
                <w:sz w:val="24"/>
                <w:lang w:val="zh-TW"/>
              </w:rPr>
              <w:t>EDTA-K</w:t>
            </w:r>
            <w:r w:rsidR="00514813" w:rsidRPr="00514813">
              <w:rPr>
                <w:rFonts w:hint="eastAsia"/>
                <w:sz w:val="24"/>
                <w:vertAlign w:val="subscript"/>
                <w:lang w:val="zh-TW"/>
              </w:rPr>
              <w:t>2</w:t>
            </w:r>
            <w:r>
              <w:rPr>
                <w:rFonts w:hint="eastAsia"/>
                <w:sz w:val="24"/>
                <w:lang w:val="zh-TW"/>
              </w:rPr>
              <w:t>抗凝采血管中，轻柔颠倒混合数次，冰浴暂放。</w:t>
            </w:r>
          </w:p>
          <w:p w:rsidR="00063D64" w:rsidRDefault="00063D64">
            <w:pPr>
              <w:spacing w:line="360" w:lineRule="auto"/>
              <w:ind w:firstLineChars="200" w:firstLine="480"/>
              <w:rPr>
                <w:rFonts w:hint="eastAsia"/>
                <w:sz w:val="24"/>
                <w:lang w:val="zh-TW" w:eastAsia="zh-TW"/>
              </w:rPr>
            </w:pPr>
            <w:r>
              <w:rPr>
                <w:rFonts w:hint="eastAsia"/>
                <w:sz w:val="24"/>
                <w:lang w:val="zh-TW"/>
              </w:rPr>
              <w:t>第一周期试验结束经清洗期后进行第二周期试验。除药物交叉（</w:t>
            </w:r>
            <w:r>
              <w:rPr>
                <w:rFonts w:hint="eastAsia"/>
                <w:sz w:val="24"/>
                <w:lang w:val="zh-TW" w:eastAsia="zh-TW"/>
              </w:rPr>
              <w:t>I</w:t>
            </w:r>
            <w:r>
              <w:rPr>
                <w:rFonts w:hint="eastAsia"/>
                <w:sz w:val="24"/>
                <w:lang w:val="zh-TW"/>
              </w:rPr>
              <w:t>组受试者空腹服用参比制剂</w:t>
            </w:r>
            <w:r>
              <w:rPr>
                <w:sz w:val="24"/>
              </w:rPr>
              <w:t>1</w:t>
            </w:r>
            <w:r>
              <w:rPr>
                <w:rFonts w:hint="eastAsia"/>
                <w:sz w:val="24"/>
              </w:rPr>
              <w:t>片</w:t>
            </w:r>
            <w:r>
              <w:rPr>
                <w:rFonts w:hint="eastAsia"/>
                <w:sz w:val="24"/>
                <w:lang w:val="zh-TW"/>
              </w:rPr>
              <w:t>，</w:t>
            </w:r>
            <w:r>
              <w:rPr>
                <w:rFonts w:hint="eastAsia"/>
                <w:sz w:val="24"/>
                <w:lang w:val="zh-TW" w:eastAsia="zh-TW"/>
              </w:rPr>
              <w:t>II</w:t>
            </w:r>
            <w:r>
              <w:rPr>
                <w:rFonts w:hint="eastAsia"/>
                <w:sz w:val="24"/>
                <w:lang w:val="zh-TW"/>
              </w:rPr>
              <w:t>组受试者空腹服用受试制剂</w:t>
            </w:r>
            <w:r>
              <w:rPr>
                <w:sz w:val="24"/>
              </w:rPr>
              <w:t>1</w:t>
            </w:r>
            <w:r>
              <w:rPr>
                <w:rFonts w:hint="eastAsia"/>
                <w:sz w:val="24"/>
              </w:rPr>
              <w:t>片</w:t>
            </w:r>
            <w:r>
              <w:rPr>
                <w:rFonts w:hint="eastAsia"/>
                <w:sz w:val="24"/>
                <w:lang w:val="zh-TW"/>
              </w:rPr>
              <w:t>）外，其余试验步骤同第一周期。</w:t>
            </w:r>
          </w:p>
          <w:p w:rsidR="00063D64" w:rsidRPr="00122975" w:rsidRDefault="00063D64" w:rsidP="00122975">
            <w:pPr>
              <w:widowControl/>
              <w:spacing w:line="360" w:lineRule="auto"/>
              <w:ind w:firstLineChars="200" w:firstLine="480"/>
              <w:rPr>
                <w:sz w:val="24"/>
              </w:rPr>
            </w:pPr>
            <w:r>
              <w:rPr>
                <w:rFonts w:hint="eastAsia"/>
                <w:sz w:val="24"/>
              </w:rPr>
              <w:t>采用</w:t>
            </w:r>
            <w:r>
              <w:rPr>
                <w:sz w:val="24"/>
              </w:rPr>
              <w:t>LC-MS/MS</w:t>
            </w:r>
            <w:r>
              <w:rPr>
                <w:rFonts w:hint="eastAsia"/>
                <w:sz w:val="24"/>
              </w:rPr>
              <w:t>法测定受试者口服受试制剂和参比制剂后血浆中</w:t>
            </w:r>
            <w:r w:rsidR="00122975">
              <w:rPr>
                <w:rFonts w:hint="eastAsia"/>
                <w:sz w:val="24"/>
              </w:rPr>
              <w:t>恩替卡韦</w:t>
            </w:r>
            <w:r>
              <w:rPr>
                <w:rFonts w:hint="eastAsia"/>
                <w:sz w:val="24"/>
              </w:rPr>
              <w:t>的浓度，计算药动学参数，评价受试制剂与参比制剂在空腹给药条件下的人体生物等效性。</w:t>
            </w:r>
          </w:p>
        </w:tc>
      </w:tr>
      <w:tr w:rsidR="00063D64" w:rsidTr="00063D64">
        <w:trPr>
          <w:trHeight w:val="227"/>
        </w:trPr>
        <w:tc>
          <w:tcPr>
            <w:tcW w:w="1526" w:type="dxa"/>
            <w:tcBorders>
              <w:top w:val="single" w:sz="4" w:space="0" w:color="auto"/>
              <w:left w:val="single" w:sz="4" w:space="0" w:color="auto"/>
              <w:bottom w:val="single" w:sz="4" w:space="0" w:color="auto"/>
              <w:right w:val="single" w:sz="4" w:space="0" w:color="auto"/>
            </w:tcBorders>
            <w:vAlign w:val="center"/>
            <w:hideMark/>
          </w:tcPr>
          <w:p w:rsidR="00063D64" w:rsidRDefault="00063D64">
            <w:pPr>
              <w:spacing w:line="360" w:lineRule="auto"/>
              <w:rPr>
                <w:sz w:val="24"/>
                <w:szCs w:val="24"/>
              </w:rPr>
            </w:pPr>
            <w:r>
              <w:rPr>
                <w:rFonts w:hint="eastAsia"/>
                <w:sz w:val="24"/>
              </w:rPr>
              <w:t>检测指标</w:t>
            </w:r>
          </w:p>
        </w:tc>
        <w:tc>
          <w:tcPr>
            <w:tcW w:w="7606" w:type="dxa"/>
            <w:tcBorders>
              <w:top w:val="single" w:sz="4" w:space="0" w:color="auto"/>
              <w:left w:val="single" w:sz="4" w:space="0" w:color="auto"/>
              <w:bottom w:val="single" w:sz="4" w:space="0" w:color="auto"/>
              <w:right w:val="single" w:sz="4" w:space="0" w:color="auto"/>
            </w:tcBorders>
            <w:vAlign w:val="center"/>
            <w:hideMark/>
          </w:tcPr>
          <w:p w:rsidR="00063D64" w:rsidRDefault="00063D64">
            <w:pPr>
              <w:spacing w:line="360" w:lineRule="auto"/>
              <w:rPr>
                <w:sz w:val="24"/>
                <w:szCs w:val="24"/>
              </w:rPr>
            </w:pPr>
            <w:r>
              <w:rPr>
                <w:rFonts w:hint="eastAsia"/>
                <w:sz w:val="24"/>
              </w:rPr>
              <w:t>血浆中</w:t>
            </w:r>
            <w:r w:rsidR="00122975">
              <w:rPr>
                <w:rFonts w:hint="eastAsia"/>
                <w:sz w:val="24"/>
              </w:rPr>
              <w:t>恩替卡韦</w:t>
            </w:r>
            <w:r>
              <w:rPr>
                <w:rFonts w:hint="eastAsia"/>
                <w:sz w:val="24"/>
              </w:rPr>
              <w:t>的浓度。</w:t>
            </w:r>
          </w:p>
        </w:tc>
      </w:tr>
      <w:tr w:rsidR="00063D64" w:rsidTr="00063D64">
        <w:trPr>
          <w:trHeight w:val="227"/>
        </w:trPr>
        <w:tc>
          <w:tcPr>
            <w:tcW w:w="1526" w:type="dxa"/>
            <w:tcBorders>
              <w:top w:val="single" w:sz="4" w:space="0" w:color="auto"/>
              <w:left w:val="single" w:sz="4" w:space="0" w:color="auto"/>
              <w:bottom w:val="single" w:sz="4" w:space="0" w:color="auto"/>
              <w:right w:val="single" w:sz="4" w:space="0" w:color="auto"/>
            </w:tcBorders>
            <w:vAlign w:val="center"/>
            <w:hideMark/>
          </w:tcPr>
          <w:p w:rsidR="00063D64" w:rsidRDefault="00063D64">
            <w:pPr>
              <w:adjustRightInd w:val="0"/>
              <w:snapToGrid w:val="0"/>
              <w:spacing w:line="360" w:lineRule="auto"/>
              <w:rPr>
                <w:sz w:val="24"/>
                <w:szCs w:val="24"/>
              </w:rPr>
            </w:pPr>
            <w:r>
              <w:rPr>
                <w:rFonts w:hint="eastAsia"/>
                <w:sz w:val="24"/>
              </w:rPr>
              <w:t>评价指标</w:t>
            </w:r>
          </w:p>
        </w:tc>
        <w:tc>
          <w:tcPr>
            <w:tcW w:w="7606" w:type="dxa"/>
            <w:tcBorders>
              <w:top w:val="single" w:sz="4" w:space="0" w:color="auto"/>
              <w:left w:val="single" w:sz="4" w:space="0" w:color="auto"/>
              <w:bottom w:val="single" w:sz="4" w:space="0" w:color="auto"/>
              <w:right w:val="single" w:sz="4" w:space="0" w:color="auto"/>
            </w:tcBorders>
            <w:vAlign w:val="center"/>
            <w:hideMark/>
          </w:tcPr>
          <w:p w:rsidR="00063D64" w:rsidRDefault="00063D64" w:rsidP="00063D64">
            <w:pPr>
              <w:adjustRightInd w:val="0"/>
              <w:snapToGrid w:val="0"/>
              <w:spacing w:beforeLines="50" w:before="156" w:line="360" w:lineRule="auto"/>
              <w:ind w:firstLineChars="200" w:firstLine="480"/>
              <w:rPr>
                <w:sz w:val="24"/>
                <w:szCs w:val="24"/>
              </w:rPr>
            </w:pPr>
            <w:r>
              <w:rPr>
                <w:rFonts w:hint="eastAsia"/>
                <w:sz w:val="24"/>
              </w:rPr>
              <w:t>提供</w:t>
            </w:r>
            <w:r w:rsidR="00122975">
              <w:rPr>
                <w:rFonts w:hint="eastAsia"/>
                <w:sz w:val="24"/>
              </w:rPr>
              <w:t>恩替卡韦</w:t>
            </w:r>
            <w:r>
              <w:rPr>
                <w:rFonts w:hint="eastAsia"/>
                <w:sz w:val="24"/>
              </w:rPr>
              <w:t>片的每个受试者的主要药动学参数</w:t>
            </w:r>
            <w:r>
              <w:rPr>
                <w:sz w:val="24"/>
              </w:rPr>
              <w:t>(</w:t>
            </w:r>
            <w:proofErr w:type="spellStart"/>
            <w:r>
              <w:rPr>
                <w:sz w:val="24"/>
              </w:rPr>
              <w:t>C</w:t>
            </w:r>
            <w:r>
              <w:rPr>
                <w:sz w:val="24"/>
                <w:vertAlign w:val="subscript"/>
              </w:rPr>
              <w:t>max</w:t>
            </w:r>
            <w:proofErr w:type="spellEnd"/>
            <w:r>
              <w:rPr>
                <w:rFonts w:hint="eastAsia"/>
                <w:sz w:val="24"/>
              </w:rPr>
              <w:t>、</w:t>
            </w:r>
            <w:r>
              <w:rPr>
                <w:sz w:val="24"/>
              </w:rPr>
              <w:t>AUC</w:t>
            </w:r>
            <w:r>
              <w:rPr>
                <w:sz w:val="24"/>
                <w:vertAlign w:val="subscript"/>
              </w:rPr>
              <w:t>0-t</w:t>
            </w:r>
            <w:r>
              <w:rPr>
                <w:rFonts w:hint="eastAsia"/>
                <w:sz w:val="24"/>
              </w:rPr>
              <w:t>、</w:t>
            </w:r>
            <w:r>
              <w:rPr>
                <w:sz w:val="24"/>
              </w:rPr>
              <w:t>AUC</w:t>
            </w:r>
            <w:r>
              <w:rPr>
                <w:sz w:val="24"/>
                <w:vertAlign w:val="subscript"/>
              </w:rPr>
              <w:t>0-∞</w:t>
            </w:r>
            <w:r>
              <w:rPr>
                <w:rFonts w:hint="eastAsia"/>
                <w:sz w:val="24"/>
              </w:rPr>
              <w:t>、</w:t>
            </w:r>
            <w:proofErr w:type="spellStart"/>
            <w:r>
              <w:rPr>
                <w:sz w:val="24"/>
              </w:rPr>
              <w:t>T</w:t>
            </w:r>
            <w:r>
              <w:rPr>
                <w:sz w:val="24"/>
                <w:vertAlign w:val="subscript"/>
              </w:rPr>
              <w:t>max</w:t>
            </w:r>
            <w:proofErr w:type="spellEnd"/>
            <w:r>
              <w:rPr>
                <w:rFonts w:hint="eastAsia"/>
                <w:sz w:val="24"/>
              </w:rPr>
              <w:t>和</w:t>
            </w:r>
            <w:r>
              <w:rPr>
                <w:sz w:val="24"/>
              </w:rPr>
              <w:t>t</w:t>
            </w:r>
            <w:r>
              <w:rPr>
                <w:sz w:val="24"/>
                <w:vertAlign w:val="subscript"/>
              </w:rPr>
              <w:t>1/2</w:t>
            </w:r>
            <w:r>
              <w:rPr>
                <w:rFonts w:hint="eastAsia"/>
                <w:sz w:val="24"/>
              </w:rPr>
              <w:t>等</w:t>
            </w:r>
            <w:r>
              <w:rPr>
                <w:sz w:val="24"/>
              </w:rPr>
              <w:t>)</w:t>
            </w:r>
            <w:r>
              <w:rPr>
                <w:rFonts w:hint="eastAsia"/>
                <w:sz w:val="24"/>
              </w:rPr>
              <w:t>。</w:t>
            </w:r>
          </w:p>
          <w:p w:rsidR="00063D64" w:rsidRDefault="00063D64">
            <w:pPr>
              <w:adjustRightInd w:val="0"/>
              <w:snapToGrid w:val="0"/>
              <w:spacing w:line="360" w:lineRule="auto"/>
              <w:ind w:firstLineChars="200" w:firstLine="480"/>
              <w:rPr>
                <w:sz w:val="24"/>
              </w:rPr>
            </w:pPr>
            <w:r>
              <w:rPr>
                <w:rFonts w:hint="eastAsia"/>
                <w:sz w:val="24"/>
              </w:rPr>
              <w:t>进行等效性评价时，以</w:t>
            </w:r>
            <w:r w:rsidR="00122975">
              <w:rPr>
                <w:rFonts w:hint="eastAsia"/>
                <w:sz w:val="24"/>
              </w:rPr>
              <w:t>恩替卡韦</w:t>
            </w:r>
            <w:r>
              <w:rPr>
                <w:rFonts w:hint="eastAsia"/>
                <w:sz w:val="24"/>
              </w:rPr>
              <w:t>片的药动学参数作为评价指标，从药物吸收程度和吸收速度两方面进行评价。评价受试者在空腹条件下口服受试和参比制剂后，主要药代动力学参数即血浆中</w:t>
            </w:r>
            <w:r w:rsidR="00122975">
              <w:rPr>
                <w:rFonts w:hint="eastAsia"/>
                <w:sz w:val="24"/>
              </w:rPr>
              <w:t>恩替卡韦</w:t>
            </w:r>
            <w:r>
              <w:rPr>
                <w:rFonts w:hint="eastAsia"/>
                <w:sz w:val="24"/>
              </w:rPr>
              <w:t>的</w:t>
            </w:r>
            <w:r>
              <w:rPr>
                <w:sz w:val="24"/>
              </w:rPr>
              <w:t>AUC</w:t>
            </w:r>
            <w:r>
              <w:rPr>
                <w:sz w:val="24"/>
                <w:vertAlign w:val="subscript"/>
              </w:rPr>
              <w:t>0-∞</w:t>
            </w:r>
            <w:r>
              <w:rPr>
                <w:rFonts w:hint="eastAsia"/>
                <w:sz w:val="24"/>
              </w:rPr>
              <w:t>、</w:t>
            </w:r>
            <w:r>
              <w:rPr>
                <w:sz w:val="24"/>
              </w:rPr>
              <w:t>AUC</w:t>
            </w:r>
            <w:r>
              <w:rPr>
                <w:sz w:val="24"/>
                <w:vertAlign w:val="subscript"/>
              </w:rPr>
              <w:t>0-t</w:t>
            </w:r>
            <w:r>
              <w:rPr>
                <w:rFonts w:hint="eastAsia"/>
                <w:sz w:val="24"/>
              </w:rPr>
              <w:t>、</w:t>
            </w:r>
            <w:proofErr w:type="spellStart"/>
            <w:r>
              <w:rPr>
                <w:sz w:val="24"/>
              </w:rPr>
              <w:t>C</w:t>
            </w:r>
            <w:r>
              <w:rPr>
                <w:sz w:val="24"/>
                <w:vertAlign w:val="subscript"/>
              </w:rPr>
              <w:t>max</w:t>
            </w:r>
            <w:proofErr w:type="spellEnd"/>
            <w:r>
              <w:rPr>
                <w:rFonts w:hint="eastAsia"/>
                <w:sz w:val="24"/>
              </w:rPr>
              <w:t>是否符合等效标准。</w:t>
            </w:r>
          </w:p>
          <w:p w:rsidR="00063D64" w:rsidRDefault="00063D64">
            <w:pPr>
              <w:adjustRightInd w:val="0"/>
              <w:snapToGrid w:val="0"/>
              <w:spacing w:line="360" w:lineRule="auto"/>
              <w:ind w:firstLineChars="200" w:firstLine="480"/>
              <w:rPr>
                <w:sz w:val="24"/>
                <w:szCs w:val="24"/>
              </w:rPr>
            </w:pPr>
            <w:r>
              <w:rPr>
                <w:rFonts w:hint="eastAsia"/>
                <w:sz w:val="24"/>
              </w:rPr>
              <w:lastRenderedPageBreak/>
              <w:t>以生命体征、不良事件、实验室检查值和</w:t>
            </w:r>
            <w:r>
              <w:rPr>
                <w:sz w:val="24"/>
              </w:rPr>
              <w:t>ECG</w:t>
            </w:r>
            <w:r>
              <w:rPr>
                <w:rFonts w:hint="eastAsia"/>
                <w:sz w:val="24"/>
              </w:rPr>
              <w:t>进行安全性评价。</w:t>
            </w:r>
          </w:p>
        </w:tc>
      </w:tr>
      <w:tr w:rsidR="00063D64" w:rsidTr="00063D64">
        <w:trPr>
          <w:trHeight w:val="227"/>
        </w:trPr>
        <w:tc>
          <w:tcPr>
            <w:tcW w:w="1526" w:type="dxa"/>
            <w:tcBorders>
              <w:top w:val="single" w:sz="4" w:space="0" w:color="auto"/>
              <w:left w:val="single" w:sz="4" w:space="0" w:color="auto"/>
              <w:bottom w:val="single" w:sz="4" w:space="0" w:color="auto"/>
              <w:right w:val="single" w:sz="4" w:space="0" w:color="auto"/>
            </w:tcBorders>
            <w:vAlign w:val="center"/>
            <w:hideMark/>
          </w:tcPr>
          <w:p w:rsidR="00063D64" w:rsidRDefault="00063D64">
            <w:pPr>
              <w:adjustRightInd w:val="0"/>
              <w:snapToGrid w:val="0"/>
              <w:spacing w:line="360" w:lineRule="auto"/>
              <w:rPr>
                <w:sz w:val="24"/>
                <w:szCs w:val="24"/>
              </w:rPr>
            </w:pPr>
            <w:r>
              <w:rPr>
                <w:rFonts w:hint="eastAsia"/>
                <w:sz w:val="24"/>
              </w:rPr>
              <w:lastRenderedPageBreak/>
              <w:t>统计方法</w:t>
            </w:r>
          </w:p>
        </w:tc>
        <w:tc>
          <w:tcPr>
            <w:tcW w:w="7606" w:type="dxa"/>
            <w:tcBorders>
              <w:top w:val="single" w:sz="4" w:space="0" w:color="auto"/>
              <w:left w:val="single" w:sz="4" w:space="0" w:color="auto"/>
              <w:bottom w:val="single" w:sz="4" w:space="0" w:color="auto"/>
              <w:right w:val="single" w:sz="4" w:space="0" w:color="auto"/>
            </w:tcBorders>
            <w:vAlign w:val="center"/>
            <w:hideMark/>
          </w:tcPr>
          <w:p w:rsidR="00063D64" w:rsidRDefault="00063D64">
            <w:pPr>
              <w:widowControl/>
              <w:spacing w:before="40" w:after="40" w:line="360" w:lineRule="auto"/>
              <w:ind w:firstLine="480"/>
              <w:rPr>
                <w:sz w:val="24"/>
                <w:szCs w:val="24"/>
              </w:rPr>
            </w:pPr>
            <w:r>
              <w:rPr>
                <w:rFonts w:hint="eastAsia"/>
                <w:sz w:val="24"/>
              </w:rPr>
              <w:t>生物等效性分析：</w:t>
            </w:r>
          </w:p>
          <w:p w:rsidR="00063D64" w:rsidRDefault="00063D64">
            <w:pPr>
              <w:widowControl/>
              <w:spacing w:before="40" w:after="40" w:line="360" w:lineRule="auto"/>
              <w:ind w:firstLine="480"/>
              <w:rPr>
                <w:sz w:val="24"/>
              </w:rPr>
            </w:pPr>
            <w:r>
              <w:rPr>
                <w:rFonts w:hint="eastAsia"/>
                <w:sz w:val="24"/>
              </w:rPr>
              <w:t>对于经对数转换后的两种制剂血浆中</w:t>
            </w:r>
            <w:r w:rsidR="00122975">
              <w:rPr>
                <w:rFonts w:hint="eastAsia"/>
                <w:sz w:val="24"/>
              </w:rPr>
              <w:t>恩替卡韦</w:t>
            </w:r>
            <w:r>
              <w:rPr>
                <w:rFonts w:hint="eastAsia"/>
                <w:sz w:val="24"/>
              </w:rPr>
              <w:t>的</w:t>
            </w:r>
            <w:r>
              <w:rPr>
                <w:sz w:val="24"/>
              </w:rPr>
              <w:t>AUC</w:t>
            </w:r>
            <w:r>
              <w:rPr>
                <w:sz w:val="24"/>
                <w:vertAlign w:val="subscript"/>
              </w:rPr>
              <w:t>0-∞</w:t>
            </w:r>
            <w:r>
              <w:rPr>
                <w:rFonts w:hint="eastAsia"/>
                <w:sz w:val="24"/>
              </w:rPr>
              <w:t>、</w:t>
            </w:r>
            <w:r>
              <w:rPr>
                <w:sz w:val="24"/>
              </w:rPr>
              <w:t>AUC</w:t>
            </w:r>
            <w:r>
              <w:rPr>
                <w:sz w:val="24"/>
                <w:vertAlign w:val="subscript"/>
              </w:rPr>
              <w:t>0-t</w:t>
            </w:r>
            <w:r>
              <w:rPr>
                <w:rFonts w:hint="eastAsia"/>
                <w:sz w:val="24"/>
              </w:rPr>
              <w:t>、</w:t>
            </w:r>
            <w:proofErr w:type="spellStart"/>
            <w:r>
              <w:rPr>
                <w:sz w:val="24"/>
              </w:rPr>
              <w:t>C</w:t>
            </w:r>
            <w:r>
              <w:rPr>
                <w:sz w:val="24"/>
                <w:vertAlign w:val="subscript"/>
              </w:rPr>
              <w:t>max</w:t>
            </w:r>
            <w:proofErr w:type="spellEnd"/>
            <w:r>
              <w:rPr>
                <w:rFonts w:hint="eastAsia"/>
                <w:sz w:val="24"/>
              </w:rPr>
              <w:t>，计算受试制剂与参比制剂的几何均值比及相应的</w:t>
            </w:r>
            <w:r>
              <w:rPr>
                <w:sz w:val="24"/>
              </w:rPr>
              <w:t>90% CI</w:t>
            </w:r>
            <w:r>
              <w:rPr>
                <w:rFonts w:hint="eastAsia"/>
                <w:sz w:val="24"/>
              </w:rPr>
              <w:t>，采用逆转换计算几何均数比值及其</w:t>
            </w:r>
            <w:r>
              <w:rPr>
                <w:sz w:val="24"/>
              </w:rPr>
              <w:t>90% CI</w:t>
            </w:r>
            <w:r>
              <w:rPr>
                <w:rFonts w:hint="eastAsia"/>
                <w:sz w:val="24"/>
              </w:rPr>
              <w:t>；计算</w:t>
            </w:r>
            <w:r>
              <w:rPr>
                <w:sz w:val="24"/>
              </w:rPr>
              <w:t>AUC</w:t>
            </w:r>
            <w:r>
              <w:rPr>
                <w:sz w:val="24"/>
                <w:vertAlign w:val="subscript"/>
              </w:rPr>
              <w:t>0-∞</w:t>
            </w:r>
            <w:r>
              <w:rPr>
                <w:rFonts w:hint="eastAsia"/>
                <w:sz w:val="24"/>
              </w:rPr>
              <w:t>、</w:t>
            </w:r>
            <w:r>
              <w:rPr>
                <w:sz w:val="24"/>
              </w:rPr>
              <w:t>AUC</w:t>
            </w:r>
            <w:r>
              <w:rPr>
                <w:sz w:val="24"/>
                <w:vertAlign w:val="subscript"/>
              </w:rPr>
              <w:t>0-t</w:t>
            </w:r>
            <w:r>
              <w:rPr>
                <w:rFonts w:hint="eastAsia"/>
                <w:sz w:val="24"/>
              </w:rPr>
              <w:t>、</w:t>
            </w:r>
            <w:proofErr w:type="spellStart"/>
            <w:r>
              <w:rPr>
                <w:sz w:val="24"/>
              </w:rPr>
              <w:t>C</w:t>
            </w:r>
            <w:r>
              <w:rPr>
                <w:sz w:val="24"/>
                <w:vertAlign w:val="subscript"/>
              </w:rPr>
              <w:t>max</w:t>
            </w:r>
            <w:proofErr w:type="spellEnd"/>
            <w:r>
              <w:rPr>
                <w:rFonts w:hint="eastAsia"/>
                <w:sz w:val="24"/>
              </w:rPr>
              <w:t>的生物利用度。</w:t>
            </w:r>
          </w:p>
          <w:p w:rsidR="00063D64" w:rsidRDefault="00063D64">
            <w:pPr>
              <w:spacing w:line="360" w:lineRule="auto"/>
              <w:ind w:firstLineChars="200" w:firstLine="480"/>
              <w:rPr>
                <w:sz w:val="24"/>
              </w:rPr>
            </w:pPr>
            <w:r>
              <w:rPr>
                <w:rFonts w:hint="eastAsia"/>
                <w:sz w:val="24"/>
              </w:rPr>
              <w:t>安全性评价：</w:t>
            </w:r>
          </w:p>
          <w:p w:rsidR="00063D64" w:rsidRDefault="00063D64">
            <w:pPr>
              <w:spacing w:line="360" w:lineRule="auto"/>
              <w:ind w:firstLineChars="200" w:firstLine="480"/>
              <w:rPr>
                <w:bCs/>
                <w:color w:val="000000"/>
                <w:sz w:val="24"/>
                <w:lang w:val="en-GB"/>
              </w:rPr>
            </w:pPr>
            <w:r>
              <w:rPr>
                <w:rFonts w:hint="eastAsia"/>
                <w:bCs/>
                <w:color w:val="000000"/>
                <w:sz w:val="24"/>
                <w:lang w:val="en-GB"/>
              </w:rPr>
              <w:t>主要采用描述性统计。</w:t>
            </w:r>
          </w:p>
          <w:p w:rsidR="00063D64" w:rsidRDefault="00063D64">
            <w:pPr>
              <w:spacing w:line="360" w:lineRule="auto"/>
              <w:ind w:firstLineChars="200" w:firstLine="480"/>
              <w:rPr>
                <w:sz w:val="24"/>
              </w:rPr>
            </w:pPr>
            <w:r>
              <w:rPr>
                <w:rFonts w:hint="eastAsia"/>
                <w:sz w:val="24"/>
              </w:rPr>
              <w:t>所有的不良事件</w:t>
            </w:r>
            <w:r>
              <w:rPr>
                <w:sz w:val="24"/>
              </w:rPr>
              <w:t>(AE)</w:t>
            </w:r>
            <w:r>
              <w:rPr>
                <w:rFonts w:hint="eastAsia"/>
                <w:sz w:val="24"/>
              </w:rPr>
              <w:t>将依据国际医学用语辞典（</w:t>
            </w:r>
            <w:proofErr w:type="spellStart"/>
            <w:r>
              <w:rPr>
                <w:sz w:val="24"/>
              </w:rPr>
              <w:t>MedDRA</w:t>
            </w:r>
            <w:proofErr w:type="spellEnd"/>
            <w:r>
              <w:rPr>
                <w:rFonts w:hint="eastAsia"/>
                <w:sz w:val="24"/>
              </w:rPr>
              <w:t>）的编码进行分类，并按照</w:t>
            </w:r>
            <w:r>
              <w:rPr>
                <w:sz w:val="24"/>
              </w:rPr>
              <w:t>CTCAE 4.03</w:t>
            </w:r>
            <w:r>
              <w:rPr>
                <w:rFonts w:hint="eastAsia"/>
                <w:sz w:val="24"/>
              </w:rPr>
              <w:t>版分级。所有治疗期不良事件</w:t>
            </w:r>
            <w:r>
              <w:rPr>
                <w:sz w:val="24"/>
              </w:rPr>
              <w:t>(TEAE)</w:t>
            </w:r>
            <w:r>
              <w:rPr>
                <w:rFonts w:hint="eastAsia"/>
                <w:sz w:val="24"/>
              </w:rPr>
              <w:t>、严重不良事件</w:t>
            </w:r>
            <w:r>
              <w:rPr>
                <w:sz w:val="24"/>
              </w:rPr>
              <w:t>(SAE)</w:t>
            </w:r>
            <w:r>
              <w:rPr>
                <w:rFonts w:hint="eastAsia"/>
                <w:sz w:val="24"/>
              </w:rPr>
              <w:t>、与研究药物相关的</w:t>
            </w:r>
            <w:r>
              <w:rPr>
                <w:sz w:val="24"/>
              </w:rPr>
              <w:t>TEAEs</w:t>
            </w:r>
            <w:r>
              <w:rPr>
                <w:rFonts w:hint="eastAsia"/>
                <w:sz w:val="24"/>
              </w:rPr>
              <w:t>、与研究药物相关的</w:t>
            </w:r>
            <w:r>
              <w:rPr>
                <w:sz w:val="24"/>
              </w:rPr>
              <w:t>SAEs</w:t>
            </w:r>
            <w:r>
              <w:rPr>
                <w:rFonts w:hint="eastAsia"/>
                <w:sz w:val="24"/>
              </w:rPr>
              <w:t>和导致试验终止的</w:t>
            </w:r>
            <w:r>
              <w:rPr>
                <w:sz w:val="24"/>
              </w:rPr>
              <w:t>TEAEs</w:t>
            </w:r>
            <w:r>
              <w:rPr>
                <w:rFonts w:hint="eastAsia"/>
                <w:sz w:val="24"/>
              </w:rPr>
              <w:t>都将按器官系统，首选术语和组别总结人数和百分比。此外，</w:t>
            </w:r>
            <w:r>
              <w:rPr>
                <w:sz w:val="24"/>
              </w:rPr>
              <w:t>TEAEs</w:t>
            </w:r>
            <w:r>
              <w:rPr>
                <w:rFonts w:hint="eastAsia"/>
                <w:sz w:val="24"/>
              </w:rPr>
              <w:t>的严重程度以及与研究药物的相关性也将按照器官系统，首选术语和组别总结。</w:t>
            </w:r>
          </w:p>
          <w:p w:rsidR="00063D64" w:rsidRDefault="00063D64">
            <w:pPr>
              <w:spacing w:line="360" w:lineRule="auto"/>
              <w:ind w:firstLineChars="200" w:firstLine="480"/>
              <w:rPr>
                <w:sz w:val="24"/>
                <w:szCs w:val="24"/>
              </w:rPr>
            </w:pPr>
            <w:r>
              <w:rPr>
                <w:rFonts w:hint="eastAsia"/>
                <w:sz w:val="24"/>
              </w:rPr>
              <w:t>按计划时间点和组别对所有实验室检查值、生命体征和心电图以及较基线改变值进行描述性统计分析，并列表呈现异常值。</w:t>
            </w:r>
          </w:p>
        </w:tc>
      </w:tr>
      <w:tr w:rsidR="00063D64" w:rsidTr="00063D64">
        <w:trPr>
          <w:trHeight w:val="227"/>
        </w:trPr>
        <w:tc>
          <w:tcPr>
            <w:tcW w:w="1526" w:type="dxa"/>
            <w:tcBorders>
              <w:top w:val="single" w:sz="4" w:space="0" w:color="auto"/>
              <w:left w:val="single" w:sz="4" w:space="0" w:color="auto"/>
              <w:bottom w:val="single" w:sz="4" w:space="0" w:color="auto"/>
              <w:right w:val="single" w:sz="4" w:space="0" w:color="auto"/>
            </w:tcBorders>
            <w:vAlign w:val="center"/>
            <w:hideMark/>
          </w:tcPr>
          <w:p w:rsidR="00063D64" w:rsidRDefault="00063D64">
            <w:pPr>
              <w:adjustRightInd w:val="0"/>
              <w:snapToGrid w:val="0"/>
              <w:spacing w:line="360" w:lineRule="auto"/>
              <w:rPr>
                <w:sz w:val="24"/>
                <w:szCs w:val="24"/>
              </w:rPr>
            </w:pPr>
            <w:r>
              <w:rPr>
                <w:rFonts w:hint="eastAsia"/>
                <w:sz w:val="24"/>
              </w:rPr>
              <w:t>判断标准</w:t>
            </w:r>
          </w:p>
        </w:tc>
        <w:tc>
          <w:tcPr>
            <w:tcW w:w="7606" w:type="dxa"/>
            <w:tcBorders>
              <w:top w:val="single" w:sz="4" w:space="0" w:color="auto"/>
              <w:left w:val="single" w:sz="4" w:space="0" w:color="auto"/>
              <w:bottom w:val="single" w:sz="4" w:space="0" w:color="auto"/>
              <w:right w:val="single" w:sz="4" w:space="0" w:color="auto"/>
            </w:tcBorders>
            <w:vAlign w:val="center"/>
            <w:hideMark/>
          </w:tcPr>
          <w:p w:rsidR="00063D64" w:rsidRDefault="00063D64">
            <w:pPr>
              <w:spacing w:line="360" w:lineRule="auto"/>
              <w:ind w:firstLineChars="200" w:firstLine="480"/>
              <w:rPr>
                <w:sz w:val="24"/>
                <w:szCs w:val="24"/>
              </w:rPr>
            </w:pPr>
            <w:r>
              <w:rPr>
                <w:rFonts w:hint="eastAsia"/>
                <w:sz w:val="24"/>
              </w:rPr>
              <w:t>计算受试制剂与参比制剂血浆中</w:t>
            </w:r>
            <w:r w:rsidR="00122975">
              <w:rPr>
                <w:rFonts w:hint="eastAsia"/>
                <w:sz w:val="24"/>
              </w:rPr>
              <w:t>恩替卡韦</w:t>
            </w:r>
            <w:proofErr w:type="spellStart"/>
            <w:r>
              <w:rPr>
                <w:sz w:val="24"/>
              </w:rPr>
              <w:t>C</w:t>
            </w:r>
            <w:r>
              <w:rPr>
                <w:sz w:val="24"/>
                <w:vertAlign w:val="subscript"/>
              </w:rPr>
              <w:t>max</w:t>
            </w:r>
            <w:proofErr w:type="spellEnd"/>
            <w:r>
              <w:rPr>
                <w:rFonts w:hint="eastAsia"/>
                <w:sz w:val="24"/>
              </w:rPr>
              <w:t>、</w:t>
            </w:r>
            <w:r>
              <w:rPr>
                <w:sz w:val="24"/>
              </w:rPr>
              <w:t>AUC</w:t>
            </w:r>
            <w:r>
              <w:rPr>
                <w:sz w:val="24"/>
                <w:vertAlign w:val="subscript"/>
              </w:rPr>
              <w:t>0-t</w:t>
            </w:r>
            <w:r>
              <w:rPr>
                <w:rFonts w:hint="eastAsia"/>
                <w:sz w:val="24"/>
              </w:rPr>
              <w:t>和</w:t>
            </w:r>
            <w:r>
              <w:rPr>
                <w:sz w:val="24"/>
              </w:rPr>
              <w:t>AUC</w:t>
            </w:r>
            <w:r>
              <w:rPr>
                <w:sz w:val="24"/>
                <w:vertAlign w:val="subscript"/>
              </w:rPr>
              <w:t>0-∞</w:t>
            </w:r>
            <w:r>
              <w:rPr>
                <w:rFonts w:hint="eastAsia"/>
                <w:sz w:val="24"/>
              </w:rPr>
              <w:t>的几何均值比的</w:t>
            </w:r>
            <w:r>
              <w:rPr>
                <w:sz w:val="24"/>
              </w:rPr>
              <w:t>90%</w:t>
            </w:r>
            <w:r>
              <w:rPr>
                <w:rFonts w:hint="eastAsia"/>
                <w:sz w:val="24"/>
              </w:rPr>
              <w:t>置信区间。</w:t>
            </w:r>
            <w:r>
              <w:rPr>
                <w:rFonts w:hint="eastAsia"/>
                <w:bCs/>
                <w:sz w:val="24"/>
              </w:rPr>
              <w:t>当受试制剂与参比制剂的</w:t>
            </w:r>
            <w:proofErr w:type="spellStart"/>
            <w:r>
              <w:rPr>
                <w:sz w:val="24"/>
              </w:rPr>
              <w:t>C</w:t>
            </w:r>
            <w:r>
              <w:rPr>
                <w:sz w:val="24"/>
                <w:vertAlign w:val="subscript"/>
              </w:rPr>
              <w:t>max</w:t>
            </w:r>
            <w:proofErr w:type="spellEnd"/>
            <w:r>
              <w:rPr>
                <w:rFonts w:hint="eastAsia"/>
                <w:sz w:val="24"/>
              </w:rPr>
              <w:t>、</w:t>
            </w:r>
            <w:r>
              <w:rPr>
                <w:sz w:val="24"/>
              </w:rPr>
              <w:t>AUC</w:t>
            </w:r>
            <w:r>
              <w:rPr>
                <w:sz w:val="24"/>
                <w:vertAlign w:val="subscript"/>
              </w:rPr>
              <w:t>0-t</w:t>
            </w:r>
            <w:r>
              <w:rPr>
                <w:rFonts w:hint="eastAsia"/>
                <w:sz w:val="24"/>
              </w:rPr>
              <w:t>和</w:t>
            </w:r>
            <w:r>
              <w:rPr>
                <w:sz w:val="24"/>
              </w:rPr>
              <w:t>AUC</w:t>
            </w:r>
            <w:r>
              <w:rPr>
                <w:sz w:val="24"/>
                <w:vertAlign w:val="subscript"/>
              </w:rPr>
              <w:t>0-∞</w:t>
            </w:r>
            <w:r>
              <w:rPr>
                <w:rFonts w:hint="eastAsia"/>
                <w:sz w:val="24"/>
              </w:rPr>
              <w:t>的</w:t>
            </w:r>
            <w:r>
              <w:rPr>
                <w:rFonts w:hint="eastAsia"/>
                <w:bCs/>
                <w:sz w:val="24"/>
              </w:rPr>
              <w:t>几何均值比的</w:t>
            </w:r>
            <w:r>
              <w:rPr>
                <w:bCs/>
                <w:sz w:val="24"/>
              </w:rPr>
              <w:t>90%</w:t>
            </w:r>
            <w:r>
              <w:rPr>
                <w:rFonts w:hint="eastAsia"/>
                <w:bCs/>
                <w:sz w:val="24"/>
              </w:rPr>
              <w:t>置信区间在</w:t>
            </w:r>
            <w:r>
              <w:rPr>
                <w:bCs/>
                <w:sz w:val="24"/>
              </w:rPr>
              <w:t>80.00%-125.00%</w:t>
            </w:r>
            <w:r>
              <w:rPr>
                <w:rFonts w:hint="eastAsia"/>
                <w:bCs/>
                <w:sz w:val="24"/>
              </w:rPr>
              <w:t>等效区间内</w:t>
            </w:r>
            <w:r>
              <w:rPr>
                <w:rFonts w:hint="eastAsia"/>
                <w:sz w:val="24"/>
              </w:rPr>
              <w:t>，即可判定两制剂人体生物等效。</w:t>
            </w:r>
          </w:p>
        </w:tc>
      </w:tr>
    </w:tbl>
    <w:p w:rsidR="004A0704" w:rsidRDefault="004A0704" w:rsidP="00063D64">
      <w:pPr>
        <w:pStyle w:val="ListParagraph"/>
        <w:numPr>
          <w:ilvl w:val="0"/>
          <w:numId w:val="1"/>
        </w:numPr>
        <w:spacing w:beforeLines="100" w:before="312" w:line="360" w:lineRule="auto"/>
        <w:ind w:firstLineChars="0"/>
        <w:rPr>
          <w:rFonts w:hint="eastAsia"/>
          <w:b/>
          <w:sz w:val="24"/>
          <w:szCs w:val="24"/>
        </w:rPr>
      </w:pPr>
      <w:r>
        <w:rPr>
          <w:rFonts w:hint="eastAsia"/>
          <w:b/>
          <w:sz w:val="24"/>
          <w:szCs w:val="24"/>
        </w:rPr>
        <w:t>参考文献：</w:t>
      </w:r>
    </w:p>
    <w:p w:rsidR="004A0704" w:rsidRPr="00B76E3B" w:rsidRDefault="00B76E3B" w:rsidP="004A0704">
      <w:pPr>
        <w:spacing w:line="360" w:lineRule="auto"/>
        <w:jc w:val="left"/>
        <w:rPr>
          <w:rFonts w:hint="eastAsia"/>
          <w:sz w:val="24"/>
          <w:szCs w:val="24"/>
        </w:rPr>
      </w:pPr>
      <w:r w:rsidRPr="00B76E3B">
        <w:rPr>
          <w:rFonts w:hint="eastAsia"/>
          <w:sz w:val="24"/>
          <w:szCs w:val="24"/>
        </w:rPr>
        <w:t xml:space="preserve">[1] </w:t>
      </w:r>
      <w:r w:rsidR="004A0704" w:rsidRPr="00B76E3B">
        <w:rPr>
          <w:sz w:val="24"/>
          <w:szCs w:val="24"/>
        </w:rPr>
        <w:t xml:space="preserve">Guidance on </w:t>
      </w:r>
      <w:proofErr w:type="spellStart"/>
      <w:r w:rsidR="004A0704" w:rsidRPr="00B76E3B">
        <w:rPr>
          <w:sz w:val="24"/>
          <w:szCs w:val="24"/>
        </w:rPr>
        <w:t>Entecavir</w:t>
      </w:r>
      <w:proofErr w:type="spellEnd"/>
      <w:r w:rsidR="004A0704" w:rsidRPr="00B76E3B">
        <w:rPr>
          <w:rFonts w:hint="eastAsia"/>
          <w:sz w:val="24"/>
          <w:szCs w:val="24"/>
        </w:rPr>
        <w:t>. FDA</w:t>
      </w:r>
    </w:p>
    <w:p w:rsidR="00B76E3B" w:rsidRDefault="00B76E3B" w:rsidP="004A0704">
      <w:pPr>
        <w:spacing w:line="360" w:lineRule="auto"/>
        <w:jc w:val="left"/>
        <w:rPr>
          <w:rFonts w:hint="eastAsia"/>
          <w:sz w:val="24"/>
          <w:szCs w:val="24"/>
        </w:rPr>
      </w:pPr>
      <w:r w:rsidRPr="00B76E3B">
        <w:rPr>
          <w:rFonts w:hint="eastAsia"/>
          <w:sz w:val="24"/>
          <w:szCs w:val="24"/>
        </w:rPr>
        <w:t xml:space="preserve">[2] </w:t>
      </w:r>
      <w:proofErr w:type="spellStart"/>
      <w:r w:rsidRPr="00B76E3B">
        <w:rPr>
          <w:rFonts w:hint="eastAsia"/>
          <w:sz w:val="24"/>
          <w:szCs w:val="24"/>
        </w:rPr>
        <w:t>Jin</w:t>
      </w:r>
      <w:proofErr w:type="spellEnd"/>
      <w:r w:rsidRPr="00B76E3B">
        <w:rPr>
          <w:rFonts w:hint="eastAsia"/>
          <w:sz w:val="24"/>
          <w:szCs w:val="24"/>
        </w:rPr>
        <w:t xml:space="preserve"> J, et al. Bioequivalence evaluation of 2 tablet formulations of </w:t>
      </w:r>
      <w:proofErr w:type="spellStart"/>
      <w:r w:rsidRPr="00B76E3B">
        <w:rPr>
          <w:rFonts w:hint="eastAsia"/>
          <w:sz w:val="24"/>
          <w:szCs w:val="24"/>
        </w:rPr>
        <w:t>entecavir</w:t>
      </w:r>
      <w:proofErr w:type="spellEnd"/>
      <w:r w:rsidRPr="00B76E3B">
        <w:rPr>
          <w:rFonts w:hint="eastAsia"/>
          <w:sz w:val="24"/>
          <w:szCs w:val="24"/>
        </w:rPr>
        <w:t xml:space="preserve"> in healthy Chinese volunteers: a single-dose, randomized-sequence, open-</w:t>
      </w:r>
      <w:proofErr w:type="spellStart"/>
      <w:r w:rsidRPr="00B76E3B">
        <w:rPr>
          <w:rFonts w:hint="eastAsia"/>
          <w:sz w:val="24"/>
          <w:szCs w:val="24"/>
        </w:rPr>
        <w:t>lable</w:t>
      </w:r>
      <w:proofErr w:type="spellEnd"/>
      <w:r w:rsidRPr="00B76E3B">
        <w:rPr>
          <w:rFonts w:hint="eastAsia"/>
          <w:sz w:val="24"/>
          <w:szCs w:val="24"/>
        </w:rPr>
        <w:t xml:space="preserve"> crossover study. </w:t>
      </w:r>
      <w:proofErr w:type="spellStart"/>
      <w:proofErr w:type="gramStart"/>
      <w:r w:rsidRPr="00B76E3B">
        <w:rPr>
          <w:rFonts w:hint="eastAsia"/>
          <w:sz w:val="24"/>
          <w:szCs w:val="24"/>
        </w:rPr>
        <w:t>Arzneimittelforschung</w:t>
      </w:r>
      <w:proofErr w:type="spellEnd"/>
      <w:r w:rsidRPr="00B76E3B">
        <w:rPr>
          <w:rFonts w:hint="eastAsia"/>
          <w:sz w:val="24"/>
          <w:szCs w:val="24"/>
        </w:rPr>
        <w:t>.</w:t>
      </w:r>
      <w:proofErr w:type="gramEnd"/>
      <w:r w:rsidRPr="00B76E3B">
        <w:rPr>
          <w:rFonts w:hint="eastAsia"/>
          <w:sz w:val="24"/>
          <w:szCs w:val="24"/>
        </w:rPr>
        <w:t xml:space="preserve"> 2012, 62(3):113-6.</w:t>
      </w:r>
    </w:p>
    <w:p w:rsidR="00063D64" w:rsidRPr="00063D64" w:rsidRDefault="00B76E3B" w:rsidP="004A0704">
      <w:pPr>
        <w:spacing w:line="360" w:lineRule="auto"/>
        <w:jc w:val="left"/>
        <w:rPr>
          <w:sz w:val="24"/>
          <w:szCs w:val="24"/>
        </w:rPr>
      </w:pPr>
      <w:r>
        <w:rPr>
          <w:rFonts w:hint="eastAsia"/>
          <w:sz w:val="24"/>
          <w:szCs w:val="24"/>
        </w:rPr>
        <w:t xml:space="preserve">[3] </w:t>
      </w:r>
      <w:proofErr w:type="spellStart"/>
      <w:r w:rsidRPr="00B76E3B">
        <w:rPr>
          <w:sz w:val="24"/>
          <w:szCs w:val="24"/>
        </w:rPr>
        <w:t>Entwel</w:t>
      </w:r>
      <w:proofErr w:type="spellEnd"/>
      <w:r w:rsidRPr="00B76E3B">
        <w:rPr>
          <w:sz w:val="24"/>
          <w:szCs w:val="24"/>
        </w:rPr>
        <w:t xml:space="preserve"> 0.5 mg and 1 mg film-coated tablets</w:t>
      </w:r>
      <w:r w:rsidR="007462FC">
        <w:rPr>
          <w:rFonts w:hint="eastAsia"/>
          <w:sz w:val="24"/>
          <w:szCs w:val="24"/>
        </w:rPr>
        <w:t xml:space="preserve">. </w:t>
      </w:r>
      <w:proofErr w:type="gramStart"/>
      <w:r w:rsidR="007462FC" w:rsidRPr="007462FC">
        <w:rPr>
          <w:sz w:val="24"/>
          <w:szCs w:val="24"/>
        </w:rPr>
        <w:t>NL/H/3859/001-002/DC</w:t>
      </w:r>
      <w:r w:rsidR="007462FC">
        <w:rPr>
          <w:rFonts w:hint="eastAsia"/>
          <w:sz w:val="24"/>
          <w:szCs w:val="24"/>
        </w:rPr>
        <w:t>.</w:t>
      </w:r>
      <w:proofErr w:type="gramEnd"/>
      <w:r w:rsidR="007462FC">
        <w:rPr>
          <w:rFonts w:hint="eastAsia"/>
          <w:sz w:val="24"/>
          <w:szCs w:val="24"/>
        </w:rPr>
        <w:t xml:space="preserve"> </w:t>
      </w:r>
      <w:proofErr w:type="gramStart"/>
      <w:r w:rsidR="007462FC" w:rsidRPr="007462FC">
        <w:rPr>
          <w:sz w:val="24"/>
          <w:szCs w:val="24"/>
        </w:rPr>
        <w:t>Public Assessment Report</w:t>
      </w:r>
      <w:r w:rsidR="007462FC">
        <w:rPr>
          <w:rFonts w:hint="eastAsia"/>
          <w:sz w:val="24"/>
          <w:szCs w:val="24"/>
        </w:rPr>
        <w:t>.</w:t>
      </w:r>
      <w:proofErr w:type="gramEnd"/>
    </w:p>
    <w:sectPr w:rsidR="00063D64" w:rsidRPr="00063D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50F27"/>
    <w:multiLevelType w:val="multilevel"/>
    <w:tmpl w:val="0EE50F27"/>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41A6064"/>
    <w:multiLevelType w:val="multilevel"/>
    <w:tmpl w:val="5D366D92"/>
    <w:lvl w:ilvl="0">
      <w:start w:val="1"/>
      <w:numFmt w:val="decimal"/>
      <w:lvlText w:val="%1."/>
      <w:lvlJc w:val="left"/>
      <w:pPr>
        <w:ind w:left="36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00A"/>
    <w:rsid w:val="00023578"/>
    <w:rsid w:val="000336B2"/>
    <w:rsid w:val="00063D64"/>
    <w:rsid w:val="00122975"/>
    <w:rsid w:val="00175E94"/>
    <w:rsid w:val="001E400C"/>
    <w:rsid w:val="00216F07"/>
    <w:rsid w:val="002514F3"/>
    <w:rsid w:val="003A449C"/>
    <w:rsid w:val="003A6B60"/>
    <w:rsid w:val="003D4D61"/>
    <w:rsid w:val="00430BEF"/>
    <w:rsid w:val="00470E51"/>
    <w:rsid w:val="004A0704"/>
    <w:rsid w:val="004E5152"/>
    <w:rsid w:val="004F037B"/>
    <w:rsid w:val="00514813"/>
    <w:rsid w:val="005249E3"/>
    <w:rsid w:val="00531021"/>
    <w:rsid w:val="006046F9"/>
    <w:rsid w:val="00691EA9"/>
    <w:rsid w:val="006D6E89"/>
    <w:rsid w:val="007129B2"/>
    <w:rsid w:val="007462FC"/>
    <w:rsid w:val="007B7D25"/>
    <w:rsid w:val="008307DD"/>
    <w:rsid w:val="008438CA"/>
    <w:rsid w:val="00843A97"/>
    <w:rsid w:val="008642AD"/>
    <w:rsid w:val="008C338A"/>
    <w:rsid w:val="008D6B1C"/>
    <w:rsid w:val="008F6361"/>
    <w:rsid w:val="00A02B33"/>
    <w:rsid w:val="00A9700A"/>
    <w:rsid w:val="00AD0A94"/>
    <w:rsid w:val="00B76E3B"/>
    <w:rsid w:val="00C03829"/>
    <w:rsid w:val="00C06288"/>
    <w:rsid w:val="00C27BCF"/>
    <w:rsid w:val="00C53F4C"/>
    <w:rsid w:val="00C63436"/>
    <w:rsid w:val="00C74148"/>
    <w:rsid w:val="00CB08BB"/>
    <w:rsid w:val="00DA7FA2"/>
    <w:rsid w:val="00DF1980"/>
    <w:rsid w:val="00E13217"/>
    <w:rsid w:val="00E14862"/>
    <w:rsid w:val="00E47414"/>
    <w:rsid w:val="00E568D6"/>
    <w:rsid w:val="00EB0D9E"/>
    <w:rsid w:val="00ED77F8"/>
    <w:rsid w:val="00F00565"/>
    <w:rsid w:val="00F10DAE"/>
    <w:rsid w:val="00F723FC"/>
    <w:rsid w:val="00F82455"/>
    <w:rsid w:val="00FE5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D61"/>
    <w:pPr>
      <w:ind w:firstLineChars="200" w:firstLine="420"/>
    </w:pPr>
  </w:style>
  <w:style w:type="paragraph" w:styleId="BalloonText">
    <w:name w:val="Balloon Text"/>
    <w:basedOn w:val="Normal"/>
    <w:link w:val="BalloonTextChar"/>
    <w:uiPriority w:val="99"/>
    <w:semiHidden/>
    <w:unhideWhenUsed/>
    <w:rsid w:val="00E13217"/>
    <w:rPr>
      <w:sz w:val="16"/>
      <w:szCs w:val="16"/>
    </w:rPr>
  </w:style>
  <w:style w:type="character" w:customStyle="1" w:styleId="BalloonTextChar">
    <w:name w:val="Balloon Text Char"/>
    <w:basedOn w:val="DefaultParagraphFont"/>
    <w:link w:val="BalloonText"/>
    <w:uiPriority w:val="99"/>
    <w:semiHidden/>
    <w:rsid w:val="00E13217"/>
    <w:rPr>
      <w:sz w:val="16"/>
      <w:szCs w:val="16"/>
    </w:rPr>
  </w:style>
  <w:style w:type="paragraph" w:customStyle="1" w:styleId="Abstract">
    <w:name w:val="Abstract"/>
    <w:rsid w:val="00063D64"/>
    <w:pPr>
      <w:widowControl w:val="0"/>
      <w:tabs>
        <w:tab w:val="left" w:pos="2880"/>
        <w:tab w:val="left" w:pos="3960"/>
        <w:tab w:val="left" w:pos="5040"/>
        <w:tab w:val="left" w:pos="7200"/>
        <w:tab w:val="right" w:pos="9360"/>
      </w:tabs>
      <w:spacing w:after="58" w:line="271" w:lineRule="atLeast"/>
      <w:jc w:val="both"/>
    </w:pPr>
    <w:rPr>
      <w:rFonts w:ascii="Arial Unicode MS" w:eastAsia="宋体" w:hAnsi="Arial Unicode MS" w:cs="Arial Unicode MS"/>
      <w:color w:val="000000"/>
      <w:kern w:val="0"/>
      <w:sz w:val="24"/>
      <w:szCs w:val="24"/>
      <w:u w:color="000000"/>
    </w:rPr>
  </w:style>
  <w:style w:type="paragraph" w:customStyle="1" w:styleId="ListParagraph2">
    <w:name w:val="List Paragraph2"/>
    <w:basedOn w:val="Normal"/>
    <w:rsid w:val="00063D64"/>
    <w:pPr>
      <w:ind w:firstLine="420"/>
    </w:pPr>
    <w:rPr>
      <w:rFonts w:ascii="Times New Roman" w:eastAsia="Times New Roman" w:hAnsi="Arial Unicode MS" w:cs="Arial Unicode MS"/>
      <w:color w:val="000000"/>
      <w:sz w:val="24"/>
      <w:szCs w:val="24"/>
      <w:u w:color="000000"/>
    </w:rPr>
  </w:style>
  <w:style w:type="paragraph" w:customStyle="1" w:styleId="TableParagraph">
    <w:name w:val="Table Paragraph"/>
    <w:basedOn w:val="Normal"/>
    <w:uiPriority w:val="1"/>
    <w:qFormat/>
    <w:rsid w:val="00063D64"/>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D61"/>
    <w:pPr>
      <w:ind w:firstLineChars="200" w:firstLine="420"/>
    </w:pPr>
  </w:style>
  <w:style w:type="paragraph" w:styleId="BalloonText">
    <w:name w:val="Balloon Text"/>
    <w:basedOn w:val="Normal"/>
    <w:link w:val="BalloonTextChar"/>
    <w:uiPriority w:val="99"/>
    <w:semiHidden/>
    <w:unhideWhenUsed/>
    <w:rsid w:val="00E13217"/>
    <w:rPr>
      <w:sz w:val="16"/>
      <w:szCs w:val="16"/>
    </w:rPr>
  </w:style>
  <w:style w:type="character" w:customStyle="1" w:styleId="BalloonTextChar">
    <w:name w:val="Balloon Text Char"/>
    <w:basedOn w:val="DefaultParagraphFont"/>
    <w:link w:val="BalloonText"/>
    <w:uiPriority w:val="99"/>
    <w:semiHidden/>
    <w:rsid w:val="00E13217"/>
    <w:rPr>
      <w:sz w:val="16"/>
      <w:szCs w:val="16"/>
    </w:rPr>
  </w:style>
  <w:style w:type="paragraph" w:customStyle="1" w:styleId="Abstract">
    <w:name w:val="Abstract"/>
    <w:rsid w:val="00063D64"/>
    <w:pPr>
      <w:widowControl w:val="0"/>
      <w:tabs>
        <w:tab w:val="left" w:pos="2880"/>
        <w:tab w:val="left" w:pos="3960"/>
        <w:tab w:val="left" w:pos="5040"/>
        <w:tab w:val="left" w:pos="7200"/>
        <w:tab w:val="right" w:pos="9360"/>
      </w:tabs>
      <w:spacing w:after="58" w:line="271" w:lineRule="atLeast"/>
      <w:jc w:val="both"/>
    </w:pPr>
    <w:rPr>
      <w:rFonts w:ascii="Arial Unicode MS" w:eastAsia="宋体" w:hAnsi="Arial Unicode MS" w:cs="Arial Unicode MS"/>
      <w:color w:val="000000"/>
      <w:kern w:val="0"/>
      <w:sz w:val="24"/>
      <w:szCs w:val="24"/>
      <w:u w:color="000000"/>
    </w:rPr>
  </w:style>
  <w:style w:type="paragraph" w:customStyle="1" w:styleId="ListParagraph2">
    <w:name w:val="List Paragraph2"/>
    <w:basedOn w:val="Normal"/>
    <w:rsid w:val="00063D64"/>
    <w:pPr>
      <w:ind w:firstLine="420"/>
    </w:pPr>
    <w:rPr>
      <w:rFonts w:ascii="Times New Roman" w:eastAsia="Times New Roman" w:hAnsi="Arial Unicode MS" w:cs="Arial Unicode MS"/>
      <w:color w:val="000000"/>
      <w:sz w:val="24"/>
      <w:szCs w:val="24"/>
      <w:u w:color="000000"/>
    </w:rPr>
  </w:style>
  <w:style w:type="paragraph" w:customStyle="1" w:styleId="TableParagraph">
    <w:name w:val="Table Paragraph"/>
    <w:basedOn w:val="Normal"/>
    <w:uiPriority w:val="1"/>
    <w:qFormat/>
    <w:rsid w:val="00063D64"/>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709">
      <w:bodyDiv w:val="1"/>
      <w:marLeft w:val="0"/>
      <w:marRight w:val="0"/>
      <w:marTop w:val="0"/>
      <w:marBottom w:val="0"/>
      <w:divBdr>
        <w:top w:val="none" w:sz="0" w:space="0" w:color="auto"/>
        <w:left w:val="none" w:sz="0" w:space="0" w:color="auto"/>
        <w:bottom w:val="none" w:sz="0" w:space="0" w:color="auto"/>
        <w:right w:val="none" w:sz="0" w:space="0" w:color="auto"/>
      </w:divBdr>
    </w:div>
    <w:div w:id="4283338">
      <w:bodyDiv w:val="1"/>
      <w:marLeft w:val="0"/>
      <w:marRight w:val="0"/>
      <w:marTop w:val="0"/>
      <w:marBottom w:val="0"/>
      <w:divBdr>
        <w:top w:val="none" w:sz="0" w:space="0" w:color="auto"/>
        <w:left w:val="none" w:sz="0" w:space="0" w:color="auto"/>
        <w:bottom w:val="none" w:sz="0" w:space="0" w:color="auto"/>
        <w:right w:val="none" w:sz="0" w:space="0" w:color="auto"/>
      </w:divBdr>
    </w:div>
    <w:div w:id="283780647">
      <w:bodyDiv w:val="1"/>
      <w:marLeft w:val="0"/>
      <w:marRight w:val="0"/>
      <w:marTop w:val="0"/>
      <w:marBottom w:val="0"/>
      <w:divBdr>
        <w:top w:val="none" w:sz="0" w:space="0" w:color="auto"/>
        <w:left w:val="none" w:sz="0" w:space="0" w:color="auto"/>
        <w:bottom w:val="none" w:sz="0" w:space="0" w:color="auto"/>
        <w:right w:val="none" w:sz="0" w:space="0" w:color="auto"/>
      </w:divBdr>
    </w:div>
    <w:div w:id="711079305">
      <w:bodyDiv w:val="1"/>
      <w:marLeft w:val="0"/>
      <w:marRight w:val="0"/>
      <w:marTop w:val="0"/>
      <w:marBottom w:val="0"/>
      <w:divBdr>
        <w:top w:val="none" w:sz="0" w:space="0" w:color="auto"/>
        <w:left w:val="none" w:sz="0" w:space="0" w:color="auto"/>
        <w:bottom w:val="none" w:sz="0" w:space="0" w:color="auto"/>
        <w:right w:val="none" w:sz="0" w:space="0" w:color="auto"/>
      </w:divBdr>
    </w:div>
    <w:div w:id="733509000">
      <w:bodyDiv w:val="1"/>
      <w:marLeft w:val="0"/>
      <w:marRight w:val="0"/>
      <w:marTop w:val="0"/>
      <w:marBottom w:val="0"/>
      <w:divBdr>
        <w:top w:val="none" w:sz="0" w:space="0" w:color="auto"/>
        <w:left w:val="none" w:sz="0" w:space="0" w:color="auto"/>
        <w:bottom w:val="none" w:sz="0" w:space="0" w:color="auto"/>
        <w:right w:val="none" w:sz="0" w:space="0" w:color="auto"/>
      </w:divBdr>
    </w:div>
    <w:div w:id="759258058">
      <w:bodyDiv w:val="1"/>
      <w:marLeft w:val="0"/>
      <w:marRight w:val="0"/>
      <w:marTop w:val="0"/>
      <w:marBottom w:val="0"/>
      <w:divBdr>
        <w:top w:val="none" w:sz="0" w:space="0" w:color="auto"/>
        <w:left w:val="none" w:sz="0" w:space="0" w:color="auto"/>
        <w:bottom w:val="none" w:sz="0" w:space="0" w:color="auto"/>
        <w:right w:val="none" w:sz="0" w:space="0" w:color="auto"/>
      </w:divBdr>
      <w:divsChild>
        <w:div w:id="465516024">
          <w:marLeft w:val="0"/>
          <w:marRight w:val="0"/>
          <w:marTop w:val="0"/>
          <w:marBottom w:val="0"/>
          <w:divBdr>
            <w:top w:val="none" w:sz="0" w:space="0" w:color="auto"/>
            <w:left w:val="none" w:sz="0" w:space="0" w:color="auto"/>
            <w:bottom w:val="none" w:sz="0" w:space="0" w:color="auto"/>
            <w:right w:val="none" w:sz="0" w:space="0" w:color="auto"/>
          </w:divBdr>
        </w:div>
        <w:div w:id="65567441">
          <w:marLeft w:val="0"/>
          <w:marRight w:val="0"/>
          <w:marTop w:val="0"/>
          <w:marBottom w:val="0"/>
          <w:divBdr>
            <w:top w:val="none" w:sz="0" w:space="0" w:color="auto"/>
            <w:left w:val="none" w:sz="0" w:space="0" w:color="auto"/>
            <w:bottom w:val="none" w:sz="0" w:space="0" w:color="auto"/>
            <w:right w:val="none" w:sz="0" w:space="0" w:color="auto"/>
          </w:divBdr>
        </w:div>
        <w:div w:id="1559395755">
          <w:marLeft w:val="0"/>
          <w:marRight w:val="0"/>
          <w:marTop w:val="0"/>
          <w:marBottom w:val="0"/>
          <w:divBdr>
            <w:top w:val="none" w:sz="0" w:space="0" w:color="auto"/>
            <w:left w:val="none" w:sz="0" w:space="0" w:color="auto"/>
            <w:bottom w:val="none" w:sz="0" w:space="0" w:color="auto"/>
            <w:right w:val="none" w:sz="0" w:space="0" w:color="auto"/>
          </w:divBdr>
        </w:div>
        <w:div w:id="1006594999">
          <w:marLeft w:val="0"/>
          <w:marRight w:val="0"/>
          <w:marTop w:val="0"/>
          <w:marBottom w:val="0"/>
          <w:divBdr>
            <w:top w:val="none" w:sz="0" w:space="0" w:color="auto"/>
            <w:left w:val="none" w:sz="0" w:space="0" w:color="auto"/>
            <w:bottom w:val="none" w:sz="0" w:space="0" w:color="auto"/>
            <w:right w:val="none" w:sz="0" w:space="0" w:color="auto"/>
          </w:divBdr>
        </w:div>
        <w:div w:id="2014335450">
          <w:marLeft w:val="0"/>
          <w:marRight w:val="0"/>
          <w:marTop w:val="0"/>
          <w:marBottom w:val="0"/>
          <w:divBdr>
            <w:top w:val="none" w:sz="0" w:space="0" w:color="auto"/>
            <w:left w:val="none" w:sz="0" w:space="0" w:color="auto"/>
            <w:bottom w:val="none" w:sz="0" w:space="0" w:color="auto"/>
            <w:right w:val="none" w:sz="0" w:space="0" w:color="auto"/>
          </w:divBdr>
        </w:div>
        <w:div w:id="800197066">
          <w:marLeft w:val="0"/>
          <w:marRight w:val="0"/>
          <w:marTop w:val="0"/>
          <w:marBottom w:val="0"/>
          <w:divBdr>
            <w:top w:val="none" w:sz="0" w:space="0" w:color="auto"/>
            <w:left w:val="none" w:sz="0" w:space="0" w:color="auto"/>
            <w:bottom w:val="none" w:sz="0" w:space="0" w:color="auto"/>
            <w:right w:val="none" w:sz="0" w:space="0" w:color="auto"/>
          </w:divBdr>
        </w:div>
        <w:div w:id="579562497">
          <w:marLeft w:val="0"/>
          <w:marRight w:val="0"/>
          <w:marTop w:val="0"/>
          <w:marBottom w:val="0"/>
          <w:divBdr>
            <w:top w:val="none" w:sz="0" w:space="0" w:color="auto"/>
            <w:left w:val="none" w:sz="0" w:space="0" w:color="auto"/>
            <w:bottom w:val="none" w:sz="0" w:space="0" w:color="auto"/>
            <w:right w:val="none" w:sz="0" w:space="0" w:color="auto"/>
          </w:divBdr>
        </w:div>
        <w:div w:id="309985771">
          <w:marLeft w:val="0"/>
          <w:marRight w:val="0"/>
          <w:marTop w:val="0"/>
          <w:marBottom w:val="0"/>
          <w:divBdr>
            <w:top w:val="none" w:sz="0" w:space="0" w:color="auto"/>
            <w:left w:val="none" w:sz="0" w:space="0" w:color="auto"/>
            <w:bottom w:val="none" w:sz="0" w:space="0" w:color="auto"/>
            <w:right w:val="none" w:sz="0" w:space="0" w:color="auto"/>
          </w:divBdr>
        </w:div>
        <w:div w:id="230584145">
          <w:marLeft w:val="0"/>
          <w:marRight w:val="0"/>
          <w:marTop w:val="0"/>
          <w:marBottom w:val="0"/>
          <w:divBdr>
            <w:top w:val="none" w:sz="0" w:space="0" w:color="auto"/>
            <w:left w:val="none" w:sz="0" w:space="0" w:color="auto"/>
            <w:bottom w:val="none" w:sz="0" w:space="0" w:color="auto"/>
            <w:right w:val="none" w:sz="0" w:space="0" w:color="auto"/>
          </w:divBdr>
        </w:div>
        <w:div w:id="762261032">
          <w:marLeft w:val="0"/>
          <w:marRight w:val="0"/>
          <w:marTop w:val="0"/>
          <w:marBottom w:val="0"/>
          <w:divBdr>
            <w:top w:val="none" w:sz="0" w:space="0" w:color="auto"/>
            <w:left w:val="none" w:sz="0" w:space="0" w:color="auto"/>
            <w:bottom w:val="none" w:sz="0" w:space="0" w:color="auto"/>
            <w:right w:val="none" w:sz="0" w:space="0" w:color="auto"/>
          </w:divBdr>
        </w:div>
        <w:div w:id="1396053673">
          <w:marLeft w:val="0"/>
          <w:marRight w:val="0"/>
          <w:marTop w:val="0"/>
          <w:marBottom w:val="0"/>
          <w:divBdr>
            <w:top w:val="none" w:sz="0" w:space="0" w:color="auto"/>
            <w:left w:val="none" w:sz="0" w:space="0" w:color="auto"/>
            <w:bottom w:val="none" w:sz="0" w:space="0" w:color="auto"/>
            <w:right w:val="none" w:sz="0" w:space="0" w:color="auto"/>
          </w:divBdr>
        </w:div>
        <w:div w:id="1847748255">
          <w:marLeft w:val="0"/>
          <w:marRight w:val="0"/>
          <w:marTop w:val="0"/>
          <w:marBottom w:val="0"/>
          <w:divBdr>
            <w:top w:val="none" w:sz="0" w:space="0" w:color="auto"/>
            <w:left w:val="none" w:sz="0" w:space="0" w:color="auto"/>
            <w:bottom w:val="none" w:sz="0" w:space="0" w:color="auto"/>
            <w:right w:val="none" w:sz="0" w:space="0" w:color="auto"/>
          </w:divBdr>
        </w:div>
        <w:div w:id="334958657">
          <w:marLeft w:val="0"/>
          <w:marRight w:val="0"/>
          <w:marTop w:val="0"/>
          <w:marBottom w:val="0"/>
          <w:divBdr>
            <w:top w:val="none" w:sz="0" w:space="0" w:color="auto"/>
            <w:left w:val="none" w:sz="0" w:space="0" w:color="auto"/>
            <w:bottom w:val="none" w:sz="0" w:space="0" w:color="auto"/>
            <w:right w:val="none" w:sz="0" w:space="0" w:color="auto"/>
          </w:divBdr>
        </w:div>
        <w:div w:id="146478021">
          <w:marLeft w:val="0"/>
          <w:marRight w:val="0"/>
          <w:marTop w:val="0"/>
          <w:marBottom w:val="0"/>
          <w:divBdr>
            <w:top w:val="none" w:sz="0" w:space="0" w:color="auto"/>
            <w:left w:val="none" w:sz="0" w:space="0" w:color="auto"/>
            <w:bottom w:val="none" w:sz="0" w:space="0" w:color="auto"/>
            <w:right w:val="none" w:sz="0" w:space="0" w:color="auto"/>
          </w:divBdr>
        </w:div>
        <w:div w:id="56560035">
          <w:marLeft w:val="0"/>
          <w:marRight w:val="0"/>
          <w:marTop w:val="0"/>
          <w:marBottom w:val="0"/>
          <w:divBdr>
            <w:top w:val="none" w:sz="0" w:space="0" w:color="auto"/>
            <w:left w:val="none" w:sz="0" w:space="0" w:color="auto"/>
            <w:bottom w:val="none" w:sz="0" w:space="0" w:color="auto"/>
            <w:right w:val="none" w:sz="0" w:space="0" w:color="auto"/>
          </w:divBdr>
        </w:div>
        <w:div w:id="1329552556">
          <w:marLeft w:val="0"/>
          <w:marRight w:val="0"/>
          <w:marTop w:val="0"/>
          <w:marBottom w:val="0"/>
          <w:divBdr>
            <w:top w:val="none" w:sz="0" w:space="0" w:color="auto"/>
            <w:left w:val="none" w:sz="0" w:space="0" w:color="auto"/>
            <w:bottom w:val="none" w:sz="0" w:space="0" w:color="auto"/>
            <w:right w:val="none" w:sz="0" w:space="0" w:color="auto"/>
          </w:divBdr>
        </w:div>
        <w:div w:id="1587422669">
          <w:marLeft w:val="0"/>
          <w:marRight w:val="0"/>
          <w:marTop w:val="0"/>
          <w:marBottom w:val="0"/>
          <w:divBdr>
            <w:top w:val="none" w:sz="0" w:space="0" w:color="auto"/>
            <w:left w:val="none" w:sz="0" w:space="0" w:color="auto"/>
            <w:bottom w:val="none" w:sz="0" w:space="0" w:color="auto"/>
            <w:right w:val="none" w:sz="0" w:space="0" w:color="auto"/>
          </w:divBdr>
        </w:div>
        <w:div w:id="728115718">
          <w:marLeft w:val="0"/>
          <w:marRight w:val="0"/>
          <w:marTop w:val="0"/>
          <w:marBottom w:val="0"/>
          <w:divBdr>
            <w:top w:val="none" w:sz="0" w:space="0" w:color="auto"/>
            <w:left w:val="none" w:sz="0" w:space="0" w:color="auto"/>
            <w:bottom w:val="none" w:sz="0" w:space="0" w:color="auto"/>
            <w:right w:val="none" w:sz="0" w:space="0" w:color="auto"/>
          </w:divBdr>
        </w:div>
        <w:div w:id="1265461824">
          <w:marLeft w:val="0"/>
          <w:marRight w:val="0"/>
          <w:marTop w:val="0"/>
          <w:marBottom w:val="0"/>
          <w:divBdr>
            <w:top w:val="none" w:sz="0" w:space="0" w:color="auto"/>
            <w:left w:val="none" w:sz="0" w:space="0" w:color="auto"/>
            <w:bottom w:val="none" w:sz="0" w:space="0" w:color="auto"/>
            <w:right w:val="none" w:sz="0" w:space="0" w:color="auto"/>
          </w:divBdr>
        </w:div>
        <w:div w:id="1095052481">
          <w:marLeft w:val="0"/>
          <w:marRight w:val="0"/>
          <w:marTop w:val="0"/>
          <w:marBottom w:val="0"/>
          <w:divBdr>
            <w:top w:val="none" w:sz="0" w:space="0" w:color="auto"/>
            <w:left w:val="none" w:sz="0" w:space="0" w:color="auto"/>
            <w:bottom w:val="none" w:sz="0" w:space="0" w:color="auto"/>
            <w:right w:val="none" w:sz="0" w:space="0" w:color="auto"/>
          </w:divBdr>
        </w:div>
        <w:div w:id="197864224">
          <w:marLeft w:val="0"/>
          <w:marRight w:val="0"/>
          <w:marTop w:val="0"/>
          <w:marBottom w:val="0"/>
          <w:divBdr>
            <w:top w:val="none" w:sz="0" w:space="0" w:color="auto"/>
            <w:left w:val="none" w:sz="0" w:space="0" w:color="auto"/>
            <w:bottom w:val="none" w:sz="0" w:space="0" w:color="auto"/>
            <w:right w:val="none" w:sz="0" w:space="0" w:color="auto"/>
          </w:divBdr>
        </w:div>
        <w:div w:id="230233961">
          <w:marLeft w:val="0"/>
          <w:marRight w:val="0"/>
          <w:marTop w:val="0"/>
          <w:marBottom w:val="0"/>
          <w:divBdr>
            <w:top w:val="none" w:sz="0" w:space="0" w:color="auto"/>
            <w:left w:val="none" w:sz="0" w:space="0" w:color="auto"/>
            <w:bottom w:val="none" w:sz="0" w:space="0" w:color="auto"/>
            <w:right w:val="none" w:sz="0" w:space="0" w:color="auto"/>
          </w:divBdr>
        </w:div>
        <w:div w:id="427576888">
          <w:marLeft w:val="0"/>
          <w:marRight w:val="0"/>
          <w:marTop w:val="0"/>
          <w:marBottom w:val="0"/>
          <w:divBdr>
            <w:top w:val="none" w:sz="0" w:space="0" w:color="auto"/>
            <w:left w:val="none" w:sz="0" w:space="0" w:color="auto"/>
            <w:bottom w:val="none" w:sz="0" w:space="0" w:color="auto"/>
            <w:right w:val="none" w:sz="0" w:space="0" w:color="auto"/>
          </w:divBdr>
        </w:div>
        <w:div w:id="1657144555">
          <w:marLeft w:val="0"/>
          <w:marRight w:val="0"/>
          <w:marTop w:val="0"/>
          <w:marBottom w:val="0"/>
          <w:divBdr>
            <w:top w:val="none" w:sz="0" w:space="0" w:color="auto"/>
            <w:left w:val="none" w:sz="0" w:space="0" w:color="auto"/>
            <w:bottom w:val="none" w:sz="0" w:space="0" w:color="auto"/>
            <w:right w:val="none" w:sz="0" w:space="0" w:color="auto"/>
          </w:divBdr>
        </w:div>
        <w:div w:id="996150448">
          <w:marLeft w:val="0"/>
          <w:marRight w:val="0"/>
          <w:marTop w:val="0"/>
          <w:marBottom w:val="0"/>
          <w:divBdr>
            <w:top w:val="none" w:sz="0" w:space="0" w:color="auto"/>
            <w:left w:val="none" w:sz="0" w:space="0" w:color="auto"/>
            <w:bottom w:val="none" w:sz="0" w:space="0" w:color="auto"/>
            <w:right w:val="none" w:sz="0" w:space="0" w:color="auto"/>
          </w:divBdr>
        </w:div>
        <w:div w:id="1008026018">
          <w:marLeft w:val="0"/>
          <w:marRight w:val="0"/>
          <w:marTop w:val="0"/>
          <w:marBottom w:val="0"/>
          <w:divBdr>
            <w:top w:val="none" w:sz="0" w:space="0" w:color="auto"/>
            <w:left w:val="none" w:sz="0" w:space="0" w:color="auto"/>
            <w:bottom w:val="none" w:sz="0" w:space="0" w:color="auto"/>
            <w:right w:val="none" w:sz="0" w:space="0" w:color="auto"/>
          </w:divBdr>
        </w:div>
        <w:div w:id="1894921783">
          <w:marLeft w:val="0"/>
          <w:marRight w:val="0"/>
          <w:marTop w:val="0"/>
          <w:marBottom w:val="0"/>
          <w:divBdr>
            <w:top w:val="none" w:sz="0" w:space="0" w:color="auto"/>
            <w:left w:val="none" w:sz="0" w:space="0" w:color="auto"/>
            <w:bottom w:val="none" w:sz="0" w:space="0" w:color="auto"/>
            <w:right w:val="none" w:sz="0" w:space="0" w:color="auto"/>
          </w:divBdr>
        </w:div>
        <w:div w:id="60757004">
          <w:marLeft w:val="0"/>
          <w:marRight w:val="0"/>
          <w:marTop w:val="0"/>
          <w:marBottom w:val="0"/>
          <w:divBdr>
            <w:top w:val="none" w:sz="0" w:space="0" w:color="auto"/>
            <w:left w:val="none" w:sz="0" w:space="0" w:color="auto"/>
            <w:bottom w:val="none" w:sz="0" w:space="0" w:color="auto"/>
            <w:right w:val="none" w:sz="0" w:space="0" w:color="auto"/>
          </w:divBdr>
        </w:div>
        <w:div w:id="785925341">
          <w:marLeft w:val="0"/>
          <w:marRight w:val="0"/>
          <w:marTop w:val="0"/>
          <w:marBottom w:val="0"/>
          <w:divBdr>
            <w:top w:val="none" w:sz="0" w:space="0" w:color="auto"/>
            <w:left w:val="none" w:sz="0" w:space="0" w:color="auto"/>
            <w:bottom w:val="none" w:sz="0" w:space="0" w:color="auto"/>
            <w:right w:val="none" w:sz="0" w:space="0" w:color="auto"/>
          </w:divBdr>
        </w:div>
        <w:div w:id="1996914165">
          <w:marLeft w:val="0"/>
          <w:marRight w:val="0"/>
          <w:marTop w:val="0"/>
          <w:marBottom w:val="0"/>
          <w:divBdr>
            <w:top w:val="none" w:sz="0" w:space="0" w:color="auto"/>
            <w:left w:val="none" w:sz="0" w:space="0" w:color="auto"/>
            <w:bottom w:val="none" w:sz="0" w:space="0" w:color="auto"/>
            <w:right w:val="none" w:sz="0" w:space="0" w:color="auto"/>
          </w:divBdr>
        </w:div>
        <w:div w:id="1433086351">
          <w:marLeft w:val="0"/>
          <w:marRight w:val="0"/>
          <w:marTop w:val="0"/>
          <w:marBottom w:val="0"/>
          <w:divBdr>
            <w:top w:val="none" w:sz="0" w:space="0" w:color="auto"/>
            <w:left w:val="none" w:sz="0" w:space="0" w:color="auto"/>
            <w:bottom w:val="none" w:sz="0" w:space="0" w:color="auto"/>
            <w:right w:val="none" w:sz="0" w:space="0" w:color="auto"/>
          </w:divBdr>
        </w:div>
        <w:div w:id="1988588083">
          <w:marLeft w:val="0"/>
          <w:marRight w:val="0"/>
          <w:marTop w:val="0"/>
          <w:marBottom w:val="0"/>
          <w:divBdr>
            <w:top w:val="none" w:sz="0" w:space="0" w:color="auto"/>
            <w:left w:val="none" w:sz="0" w:space="0" w:color="auto"/>
            <w:bottom w:val="none" w:sz="0" w:space="0" w:color="auto"/>
            <w:right w:val="none" w:sz="0" w:space="0" w:color="auto"/>
          </w:divBdr>
        </w:div>
      </w:divsChild>
    </w:div>
    <w:div w:id="816606828">
      <w:bodyDiv w:val="1"/>
      <w:marLeft w:val="0"/>
      <w:marRight w:val="0"/>
      <w:marTop w:val="0"/>
      <w:marBottom w:val="0"/>
      <w:divBdr>
        <w:top w:val="none" w:sz="0" w:space="0" w:color="auto"/>
        <w:left w:val="none" w:sz="0" w:space="0" w:color="auto"/>
        <w:bottom w:val="none" w:sz="0" w:space="0" w:color="auto"/>
        <w:right w:val="none" w:sz="0" w:space="0" w:color="auto"/>
      </w:divBdr>
      <w:divsChild>
        <w:div w:id="347030607">
          <w:marLeft w:val="0"/>
          <w:marRight w:val="0"/>
          <w:marTop w:val="0"/>
          <w:marBottom w:val="0"/>
          <w:divBdr>
            <w:top w:val="none" w:sz="0" w:space="0" w:color="auto"/>
            <w:left w:val="none" w:sz="0" w:space="0" w:color="auto"/>
            <w:bottom w:val="none" w:sz="0" w:space="0" w:color="auto"/>
            <w:right w:val="none" w:sz="0" w:space="0" w:color="auto"/>
          </w:divBdr>
        </w:div>
        <w:div w:id="347367852">
          <w:marLeft w:val="0"/>
          <w:marRight w:val="0"/>
          <w:marTop w:val="0"/>
          <w:marBottom w:val="0"/>
          <w:divBdr>
            <w:top w:val="none" w:sz="0" w:space="0" w:color="auto"/>
            <w:left w:val="none" w:sz="0" w:space="0" w:color="auto"/>
            <w:bottom w:val="none" w:sz="0" w:space="0" w:color="auto"/>
            <w:right w:val="none" w:sz="0" w:space="0" w:color="auto"/>
          </w:divBdr>
        </w:div>
        <w:div w:id="161897587">
          <w:marLeft w:val="0"/>
          <w:marRight w:val="0"/>
          <w:marTop w:val="0"/>
          <w:marBottom w:val="0"/>
          <w:divBdr>
            <w:top w:val="none" w:sz="0" w:space="0" w:color="auto"/>
            <w:left w:val="none" w:sz="0" w:space="0" w:color="auto"/>
            <w:bottom w:val="none" w:sz="0" w:space="0" w:color="auto"/>
            <w:right w:val="none" w:sz="0" w:space="0" w:color="auto"/>
          </w:divBdr>
        </w:div>
        <w:div w:id="1430463766">
          <w:marLeft w:val="0"/>
          <w:marRight w:val="0"/>
          <w:marTop w:val="0"/>
          <w:marBottom w:val="0"/>
          <w:divBdr>
            <w:top w:val="none" w:sz="0" w:space="0" w:color="auto"/>
            <w:left w:val="none" w:sz="0" w:space="0" w:color="auto"/>
            <w:bottom w:val="none" w:sz="0" w:space="0" w:color="auto"/>
            <w:right w:val="none" w:sz="0" w:space="0" w:color="auto"/>
          </w:divBdr>
        </w:div>
        <w:div w:id="1322585490">
          <w:marLeft w:val="0"/>
          <w:marRight w:val="0"/>
          <w:marTop w:val="0"/>
          <w:marBottom w:val="0"/>
          <w:divBdr>
            <w:top w:val="none" w:sz="0" w:space="0" w:color="auto"/>
            <w:left w:val="none" w:sz="0" w:space="0" w:color="auto"/>
            <w:bottom w:val="none" w:sz="0" w:space="0" w:color="auto"/>
            <w:right w:val="none" w:sz="0" w:space="0" w:color="auto"/>
          </w:divBdr>
        </w:div>
        <w:div w:id="600383703">
          <w:marLeft w:val="0"/>
          <w:marRight w:val="0"/>
          <w:marTop w:val="0"/>
          <w:marBottom w:val="0"/>
          <w:divBdr>
            <w:top w:val="none" w:sz="0" w:space="0" w:color="auto"/>
            <w:left w:val="none" w:sz="0" w:space="0" w:color="auto"/>
            <w:bottom w:val="none" w:sz="0" w:space="0" w:color="auto"/>
            <w:right w:val="none" w:sz="0" w:space="0" w:color="auto"/>
          </w:divBdr>
        </w:div>
        <w:div w:id="1689260005">
          <w:marLeft w:val="0"/>
          <w:marRight w:val="0"/>
          <w:marTop w:val="0"/>
          <w:marBottom w:val="0"/>
          <w:divBdr>
            <w:top w:val="none" w:sz="0" w:space="0" w:color="auto"/>
            <w:left w:val="none" w:sz="0" w:space="0" w:color="auto"/>
            <w:bottom w:val="none" w:sz="0" w:space="0" w:color="auto"/>
            <w:right w:val="none" w:sz="0" w:space="0" w:color="auto"/>
          </w:divBdr>
        </w:div>
        <w:div w:id="1295015649">
          <w:marLeft w:val="0"/>
          <w:marRight w:val="0"/>
          <w:marTop w:val="0"/>
          <w:marBottom w:val="0"/>
          <w:divBdr>
            <w:top w:val="none" w:sz="0" w:space="0" w:color="auto"/>
            <w:left w:val="none" w:sz="0" w:space="0" w:color="auto"/>
            <w:bottom w:val="none" w:sz="0" w:space="0" w:color="auto"/>
            <w:right w:val="none" w:sz="0" w:space="0" w:color="auto"/>
          </w:divBdr>
        </w:div>
        <w:div w:id="214202267">
          <w:marLeft w:val="0"/>
          <w:marRight w:val="0"/>
          <w:marTop w:val="0"/>
          <w:marBottom w:val="0"/>
          <w:divBdr>
            <w:top w:val="none" w:sz="0" w:space="0" w:color="auto"/>
            <w:left w:val="none" w:sz="0" w:space="0" w:color="auto"/>
            <w:bottom w:val="none" w:sz="0" w:space="0" w:color="auto"/>
            <w:right w:val="none" w:sz="0" w:space="0" w:color="auto"/>
          </w:divBdr>
        </w:div>
        <w:div w:id="674919767">
          <w:marLeft w:val="0"/>
          <w:marRight w:val="0"/>
          <w:marTop w:val="0"/>
          <w:marBottom w:val="0"/>
          <w:divBdr>
            <w:top w:val="none" w:sz="0" w:space="0" w:color="auto"/>
            <w:left w:val="none" w:sz="0" w:space="0" w:color="auto"/>
            <w:bottom w:val="none" w:sz="0" w:space="0" w:color="auto"/>
            <w:right w:val="none" w:sz="0" w:space="0" w:color="auto"/>
          </w:divBdr>
        </w:div>
      </w:divsChild>
    </w:div>
    <w:div w:id="980114748">
      <w:bodyDiv w:val="1"/>
      <w:marLeft w:val="0"/>
      <w:marRight w:val="0"/>
      <w:marTop w:val="0"/>
      <w:marBottom w:val="0"/>
      <w:divBdr>
        <w:top w:val="none" w:sz="0" w:space="0" w:color="auto"/>
        <w:left w:val="none" w:sz="0" w:space="0" w:color="auto"/>
        <w:bottom w:val="none" w:sz="0" w:space="0" w:color="auto"/>
        <w:right w:val="none" w:sz="0" w:space="0" w:color="auto"/>
      </w:divBdr>
    </w:div>
    <w:div w:id="1079209160">
      <w:bodyDiv w:val="1"/>
      <w:marLeft w:val="0"/>
      <w:marRight w:val="0"/>
      <w:marTop w:val="0"/>
      <w:marBottom w:val="0"/>
      <w:divBdr>
        <w:top w:val="none" w:sz="0" w:space="0" w:color="auto"/>
        <w:left w:val="none" w:sz="0" w:space="0" w:color="auto"/>
        <w:bottom w:val="none" w:sz="0" w:space="0" w:color="auto"/>
        <w:right w:val="none" w:sz="0" w:space="0" w:color="auto"/>
      </w:divBdr>
      <w:divsChild>
        <w:div w:id="1665544533">
          <w:marLeft w:val="0"/>
          <w:marRight w:val="0"/>
          <w:marTop w:val="0"/>
          <w:marBottom w:val="0"/>
          <w:divBdr>
            <w:top w:val="none" w:sz="0" w:space="0" w:color="auto"/>
            <w:left w:val="none" w:sz="0" w:space="0" w:color="auto"/>
            <w:bottom w:val="none" w:sz="0" w:space="0" w:color="auto"/>
            <w:right w:val="none" w:sz="0" w:space="0" w:color="auto"/>
          </w:divBdr>
        </w:div>
        <w:div w:id="752581881">
          <w:marLeft w:val="0"/>
          <w:marRight w:val="0"/>
          <w:marTop w:val="0"/>
          <w:marBottom w:val="0"/>
          <w:divBdr>
            <w:top w:val="none" w:sz="0" w:space="0" w:color="auto"/>
            <w:left w:val="none" w:sz="0" w:space="0" w:color="auto"/>
            <w:bottom w:val="none" w:sz="0" w:space="0" w:color="auto"/>
            <w:right w:val="none" w:sz="0" w:space="0" w:color="auto"/>
          </w:divBdr>
        </w:div>
        <w:div w:id="2022466976">
          <w:marLeft w:val="0"/>
          <w:marRight w:val="0"/>
          <w:marTop w:val="0"/>
          <w:marBottom w:val="0"/>
          <w:divBdr>
            <w:top w:val="none" w:sz="0" w:space="0" w:color="auto"/>
            <w:left w:val="none" w:sz="0" w:space="0" w:color="auto"/>
            <w:bottom w:val="none" w:sz="0" w:space="0" w:color="auto"/>
            <w:right w:val="none" w:sz="0" w:space="0" w:color="auto"/>
          </w:divBdr>
        </w:div>
        <w:div w:id="1252592518">
          <w:marLeft w:val="0"/>
          <w:marRight w:val="0"/>
          <w:marTop w:val="0"/>
          <w:marBottom w:val="0"/>
          <w:divBdr>
            <w:top w:val="none" w:sz="0" w:space="0" w:color="auto"/>
            <w:left w:val="none" w:sz="0" w:space="0" w:color="auto"/>
            <w:bottom w:val="none" w:sz="0" w:space="0" w:color="auto"/>
            <w:right w:val="none" w:sz="0" w:space="0" w:color="auto"/>
          </w:divBdr>
        </w:div>
        <w:div w:id="791900126">
          <w:marLeft w:val="0"/>
          <w:marRight w:val="0"/>
          <w:marTop w:val="0"/>
          <w:marBottom w:val="0"/>
          <w:divBdr>
            <w:top w:val="none" w:sz="0" w:space="0" w:color="auto"/>
            <w:left w:val="none" w:sz="0" w:space="0" w:color="auto"/>
            <w:bottom w:val="none" w:sz="0" w:space="0" w:color="auto"/>
            <w:right w:val="none" w:sz="0" w:space="0" w:color="auto"/>
          </w:divBdr>
        </w:div>
        <w:div w:id="1124468689">
          <w:marLeft w:val="0"/>
          <w:marRight w:val="0"/>
          <w:marTop w:val="0"/>
          <w:marBottom w:val="0"/>
          <w:divBdr>
            <w:top w:val="none" w:sz="0" w:space="0" w:color="auto"/>
            <w:left w:val="none" w:sz="0" w:space="0" w:color="auto"/>
            <w:bottom w:val="none" w:sz="0" w:space="0" w:color="auto"/>
            <w:right w:val="none" w:sz="0" w:space="0" w:color="auto"/>
          </w:divBdr>
        </w:div>
        <w:div w:id="1715419646">
          <w:marLeft w:val="0"/>
          <w:marRight w:val="0"/>
          <w:marTop w:val="0"/>
          <w:marBottom w:val="0"/>
          <w:divBdr>
            <w:top w:val="none" w:sz="0" w:space="0" w:color="auto"/>
            <w:left w:val="none" w:sz="0" w:space="0" w:color="auto"/>
            <w:bottom w:val="none" w:sz="0" w:space="0" w:color="auto"/>
            <w:right w:val="none" w:sz="0" w:space="0" w:color="auto"/>
          </w:divBdr>
        </w:div>
        <w:div w:id="1351179088">
          <w:marLeft w:val="0"/>
          <w:marRight w:val="0"/>
          <w:marTop w:val="0"/>
          <w:marBottom w:val="0"/>
          <w:divBdr>
            <w:top w:val="none" w:sz="0" w:space="0" w:color="auto"/>
            <w:left w:val="none" w:sz="0" w:space="0" w:color="auto"/>
            <w:bottom w:val="none" w:sz="0" w:space="0" w:color="auto"/>
            <w:right w:val="none" w:sz="0" w:space="0" w:color="auto"/>
          </w:divBdr>
        </w:div>
        <w:div w:id="745762274">
          <w:marLeft w:val="0"/>
          <w:marRight w:val="0"/>
          <w:marTop w:val="0"/>
          <w:marBottom w:val="0"/>
          <w:divBdr>
            <w:top w:val="none" w:sz="0" w:space="0" w:color="auto"/>
            <w:left w:val="none" w:sz="0" w:space="0" w:color="auto"/>
            <w:bottom w:val="none" w:sz="0" w:space="0" w:color="auto"/>
            <w:right w:val="none" w:sz="0" w:space="0" w:color="auto"/>
          </w:divBdr>
        </w:div>
        <w:div w:id="504708359">
          <w:marLeft w:val="0"/>
          <w:marRight w:val="0"/>
          <w:marTop w:val="0"/>
          <w:marBottom w:val="0"/>
          <w:divBdr>
            <w:top w:val="none" w:sz="0" w:space="0" w:color="auto"/>
            <w:left w:val="none" w:sz="0" w:space="0" w:color="auto"/>
            <w:bottom w:val="none" w:sz="0" w:space="0" w:color="auto"/>
            <w:right w:val="none" w:sz="0" w:space="0" w:color="auto"/>
          </w:divBdr>
        </w:div>
        <w:div w:id="1218739958">
          <w:marLeft w:val="0"/>
          <w:marRight w:val="0"/>
          <w:marTop w:val="0"/>
          <w:marBottom w:val="0"/>
          <w:divBdr>
            <w:top w:val="none" w:sz="0" w:space="0" w:color="auto"/>
            <w:left w:val="none" w:sz="0" w:space="0" w:color="auto"/>
            <w:bottom w:val="none" w:sz="0" w:space="0" w:color="auto"/>
            <w:right w:val="none" w:sz="0" w:space="0" w:color="auto"/>
          </w:divBdr>
        </w:div>
      </w:divsChild>
    </w:div>
    <w:div w:id="1226843061">
      <w:bodyDiv w:val="1"/>
      <w:marLeft w:val="0"/>
      <w:marRight w:val="0"/>
      <w:marTop w:val="0"/>
      <w:marBottom w:val="0"/>
      <w:divBdr>
        <w:top w:val="none" w:sz="0" w:space="0" w:color="auto"/>
        <w:left w:val="none" w:sz="0" w:space="0" w:color="auto"/>
        <w:bottom w:val="none" w:sz="0" w:space="0" w:color="auto"/>
        <w:right w:val="none" w:sz="0" w:space="0" w:color="auto"/>
      </w:divBdr>
    </w:div>
    <w:div w:id="1949391779">
      <w:bodyDiv w:val="1"/>
      <w:marLeft w:val="0"/>
      <w:marRight w:val="0"/>
      <w:marTop w:val="0"/>
      <w:marBottom w:val="0"/>
      <w:divBdr>
        <w:top w:val="none" w:sz="0" w:space="0" w:color="auto"/>
        <w:left w:val="none" w:sz="0" w:space="0" w:color="auto"/>
        <w:bottom w:val="none" w:sz="0" w:space="0" w:color="auto"/>
        <w:right w:val="none" w:sz="0" w:space="0" w:color="auto"/>
      </w:divBdr>
      <w:divsChild>
        <w:div w:id="1014110794">
          <w:marLeft w:val="0"/>
          <w:marRight w:val="0"/>
          <w:marTop w:val="0"/>
          <w:marBottom w:val="0"/>
          <w:divBdr>
            <w:top w:val="none" w:sz="0" w:space="0" w:color="auto"/>
            <w:left w:val="none" w:sz="0" w:space="0" w:color="auto"/>
            <w:bottom w:val="none" w:sz="0" w:space="0" w:color="auto"/>
            <w:right w:val="none" w:sz="0" w:space="0" w:color="auto"/>
          </w:divBdr>
        </w:div>
        <w:div w:id="674068318">
          <w:marLeft w:val="0"/>
          <w:marRight w:val="0"/>
          <w:marTop w:val="0"/>
          <w:marBottom w:val="0"/>
          <w:divBdr>
            <w:top w:val="none" w:sz="0" w:space="0" w:color="auto"/>
            <w:left w:val="none" w:sz="0" w:space="0" w:color="auto"/>
            <w:bottom w:val="none" w:sz="0" w:space="0" w:color="auto"/>
            <w:right w:val="none" w:sz="0" w:space="0" w:color="auto"/>
          </w:divBdr>
        </w:div>
        <w:div w:id="2100639609">
          <w:marLeft w:val="0"/>
          <w:marRight w:val="0"/>
          <w:marTop w:val="0"/>
          <w:marBottom w:val="0"/>
          <w:divBdr>
            <w:top w:val="none" w:sz="0" w:space="0" w:color="auto"/>
            <w:left w:val="none" w:sz="0" w:space="0" w:color="auto"/>
            <w:bottom w:val="none" w:sz="0" w:space="0" w:color="auto"/>
            <w:right w:val="none" w:sz="0" w:space="0" w:color="auto"/>
          </w:divBdr>
        </w:div>
        <w:div w:id="716052894">
          <w:marLeft w:val="0"/>
          <w:marRight w:val="0"/>
          <w:marTop w:val="0"/>
          <w:marBottom w:val="0"/>
          <w:divBdr>
            <w:top w:val="none" w:sz="0" w:space="0" w:color="auto"/>
            <w:left w:val="none" w:sz="0" w:space="0" w:color="auto"/>
            <w:bottom w:val="none" w:sz="0" w:space="0" w:color="auto"/>
            <w:right w:val="none" w:sz="0" w:space="0" w:color="auto"/>
          </w:divBdr>
        </w:div>
        <w:div w:id="1470129509">
          <w:marLeft w:val="0"/>
          <w:marRight w:val="0"/>
          <w:marTop w:val="0"/>
          <w:marBottom w:val="0"/>
          <w:divBdr>
            <w:top w:val="none" w:sz="0" w:space="0" w:color="auto"/>
            <w:left w:val="none" w:sz="0" w:space="0" w:color="auto"/>
            <w:bottom w:val="none" w:sz="0" w:space="0" w:color="auto"/>
            <w:right w:val="none" w:sz="0" w:space="0" w:color="auto"/>
          </w:divBdr>
        </w:div>
        <w:div w:id="2133012032">
          <w:marLeft w:val="0"/>
          <w:marRight w:val="0"/>
          <w:marTop w:val="0"/>
          <w:marBottom w:val="0"/>
          <w:divBdr>
            <w:top w:val="none" w:sz="0" w:space="0" w:color="auto"/>
            <w:left w:val="none" w:sz="0" w:space="0" w:color="auto"/>
            <w:bottom w:val="none" w:sz="0" w:space="0" w:color="auto"/>
            <w:right w:val="none" w:sz="0" w:space="0" w:color="auto"/>
          </w:divBdr>
        </w:div>
        <w:div w:id="1675299612">
          <w:marLeft w:val="0"/>
          <w:marRight w:val="0"/>
          <w:marTop w:val="0"/>
          <w:marBottom w:val="0"/>
          <w:divBdr>
            <w:top w:val="none" w:sz="0" w:space="0" w:color="auto"/>
            <w:left w:val="none" w:sz="0" w:space="0" w:color="auto"/>
            <w:bottom w:val="none" w:sz="0" w:space="0" w:color="auto"/>
            <w:right w:val="none" w:sz="0" w:space="0" w:color="auto"/>
          </w:divBdr>
        </w:div>
        <w:div w:id="1290624836">
          <w:marLeft w:val="0"/>
          <w:marRight w:val="0"/>
          <w:marTop w:val="0"/>
          <w:marBottom w:val="0"/>
          <w:divBdr>
            <w:top w:val="none" w:sz="0" w:space="0" w:color="auto"/>
            <w:left w:val="none" w:sz="0" w:space="0" w:color="auto"/>
            <w:bottom w:val="none" w:sz="0" w:space="0" w:color="auto"/>
            <w:right w:val="none" w:sz="0" w:space="0" w:color="auto"/>
          </w:divBdr>
        </w:div>
        <w:div w:id="1359045012">
          <w:marLeft w:val="0"/>
          <w:marRight w:val="0"/>
          <w:marTop w:val="0"/>
          <w:marBottom w:val="0"/>
          <w:divBdr>
            <w:top w:val="none" w:sz="0" w:space="0" w:color="auto"/>
            <w:left w:val="none" w:sz="0" w:space="0" w:color="auto"/>
            <w:bottom w:val="none" w:sz="0" w:space="0" w:color="auto"/>
            <w:right w:val="none" w:sz="0" w:space="0" w:color="auto"/>
          </w:divBdr>
        </w:div>
        <w:div w:id="507909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1823</TotalTime>
  <Pages>9</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7215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jushao</dc:creator>
  <cp:keywords/>
  <dc:description/>
  <cp:lastModifiedBy>jushao</cp:lastModifiedBy>
  <cp:revision>35</cp:revision>
  <dcterms:created xsi:type="dcterms:W3CDTF">2018-04-29T08:52:00Z</dcterms:created>
  <dcterms:modified xsi:type="dcterms:W3CDTF">2018-04-30T15:38:00Z</dcterms:modified>
</cp:coreProperties>
</file>