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MoNexus 积分真实价值锚定与价值账本升级</w:t>
      </w:r>
    </w:p>
    <w:p>
      <w:pPr>
        <w:pStyle w:val="Subtitle"/>
      </w:pPr>
      <w:r>
        <w:t xml:space="preserve">SPEC-VALUE-LEDGER-001 · v0.2.0 · Draft — D-01 Approved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name="spec积分真实价值锚定与价值账本升级" w:id="20"/>
      <w:r>
        <w:t xml:space="preserve">Spec：积分真实价值锚定与价值账本升级</w:t>
      </w:r>
      <w:bookmarkEnd w:id="20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文档 ID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SPEC-VALUE-LEDGER-001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版本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0.2.0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2026-08-17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状态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Draft — D-01 Approved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MoNexus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基线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origin/develop@46253bc</w:t>
            </w:r>
            <w:r>
              <w:t xml:space="preserve">、</w:t>
            </w:r>
            <w:r>
              <w:rPr>
                <w:rStyle w:val="VerbatimChar"/>
              </w:rPr>
              <w:t xml:space="preserve">origin/master@5f3bb32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影响域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积分、商品定价、订单、退款、商家结算、支付、财务对账、会员成长、排行榜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决策人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产品负责人、财务负责人、合规/法务负责人、技术负责人</w:t>
            </w:r>
          </w:p>
        </w:tc>
      </w:tr>
    </w:tbl>
    <w:p>
      <w:pPr>
        <w:pStyle w:val="BlockText"/>
      </w:pPr>
      <w:r>
        <w:t xml:space="preserve">本文是产品与工程规格，不构成会计、税务或法律意见。启用用户充值、现金赎回、用户间转账、商家法币/稳定币出款前，必须由运营主体所在司法辖区的专业顾问书面确认。</w:t>
      </w:r>
    </w:p>
    <w:p>
      <w:pPr>
        <w:pStyle w:val="Heading2"/>
      </w:pPr>
      <w:bookmarkStart w:name="X0a4837d6e5bd2d533585fa667a3812324ffb944" w:id="21"/>
      <w:r>
        <w:t xml:space="preserve">0. 执行摘要</w:t>
      </w:r>
      <w:bookmarkEnd w:id="21"/>
    </w:p>
    <w:p>
      <w:pPr>
        <w:pStyle w:val="Heading3"/>
      </w:pPr>
      <w:bookmarkStart w:name="Xe8d3e1d893cd3b811c7cfd7172300175e26e394" w:id="22"/>
      <w:r>
        <w:t xml:space="preserve">0.1 推荐结论</w:t>
      </w:r>
      <w:bookmarkEnd w:id="22"/>
    </w:p>
    <w:p>
      <w:pPr>
        <w:pStyle w:val="FirstParagraph"/>
      </w:pPr>
      <w:r>
        <w:t xml:space="preserve">MoNexus 不应让积分余额随 CNY、USD 或 USDT 的市场汇率每日变化，也不应把 USDT 当作美元本身。推荐采用以下三层模型：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价值本位币（valuation currency）：全平台只选一个，作为商品参考价值、财务报表和商家应付的统一尺度。首个生产租户已决定选择 CNY，决策日期为 2026-08-17。USD 只作为未来可能的支付/展示报价币种或独立租户方案，不与 CNY 构成等价锚。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固定积分面值（fixed face value）：积分与本位币采用版本化、长期固定的比例。推荐候选为 100 PTS = 1 CNY 或 100 PTS = 1 USD，两者是互斥方案，绝不表示 1 CNY = 1 USD。一个租户在任一时期只能选择一种价值本位币：选择 CNY 时，积分面值只以 CNY 定义；选择 USD 时，积分面值只以 USD 定义。其他币种或资产必须通过订单级 FX 报价换算。该候选比例使 1 积分恰好对应所选本位币的最小单位，避免小数积分与循环舍入；最终比例应在上线前用真实商品价格分布、奖励成本与预算回测后批准。</w:t>
      </w:r>
    </w:p>
    <w:p>
      <w:pPr>
        <w:pStyle w:val="Compact"/>
        <w:numPr>
          <w:ilvl w:val="0"/>
          <w:numId w:val="1001"/>
        </w:numPr>
      </w:pPr>
      <w:r>
        <w:rPr>
          <w:b/>
        </w:rPr>
        <w:t xml:space="preserve">支付/结算资产（payment and settlement assets）</w:t>
      </w:r>
      <w:r>
        <w:t xml:space="preserve">：CNY、USD、USDT 等只在充值、支付或商家出款边界使用；每次生成有时效的报价并在订单上快照。USDT 必须细分网络与合约，例如 </w:t>
      </w:r>
      <w:r>
        <w:rPr>
          <w:rStyle w:val="VerbatimChar"/>
        </w:rPr>
        <w:t xml:space="preserve">USDT-TRON</w:t>
      </w:r>
      <w:r>
        <w:t xml:space="preserve">、</w:t>
      </w:r>
      <w:r>
        <w:rPr>
          <w:rStyle w:val="VerbatimChar"/>
        </w:rPr>
        <w:t xml:space="preserve">USDT-ETHEREUM</w:t>
      </w:r>
      <w:r>
        <w:t xml:space="preserve">，不能只记录 </w:t>
      </w:r>
      <w:r>
        <w:rPr>
          <w:rStyle w:val="VerbatimChar"/>
        </w:rPr>
        <w:t xml:space="preserve">USDT</w:t>
      </w:r>
      <w:r>
        <w:t xml:space="preserve">。</w:t>
      </w:r>
    </w:p>
    <w:p>
      <w:pPr>
        <w:pStyle w:val="Heading3"/>
      </w:pPr>
      <w:bookmarkStart w:name="X5b405d808ca53fbee8f46de3248d8a79d840a26" w:id="23"/>
      <w:r>
        <w:t xml:space="preserve">0.2 立即实施范围</w:t>
      </w:r>
      <w:bookmarkEnd w:id="23"/>
    </w:p>
    <w:p>
      <w:pPr>
        <w:pStyle w:val="FirstParagraph"/>
      </w:pPr>
      <w:r>
        <w:t xml:space="preserve">首期只做 </w:t>
      </w:r>
      <w:r>
        <w:rPr>
          <w:b/>
        </w:rPr>
        <w:t xml:space="preserve">“参考价值锚定 + 账本基础改造”</w:t>
      </w:r>
      <w: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保留积分不可转让、不可现金赎回、不可用户充值的现有闭环边界；</w:t>
      </w:r>
    </w:p>
    <w:p>
      <w:pPr>
        <w:pStyle w:val="Compact"/>
        <w:numPr>
          <w:ilvl w:val="0"/>
          <w:numId w:val="1002"/>
        </w:numPr>
      </w:pPr>
      <w:r>
        <w:t xml:space="preserve">商品、结算预览、订单和流水增加参考价值与价值政策版本；</w:t>
      </w:r>
    </w:p>
    <w:p>
      <w:pPr>
        <w:pStyle w:val="Compact"/>
        <w:numPr>
          <w:ilvl w:val="0"/>
          <w:numId w:val="1002"/>
        </w:numPr>
      </w:pPr>
      <w:r>
        <w:t xml:space="preserve">把“奖励积分”“可购买储值”“会员成长值”“商家应付”在领域模型上拆开；</w:t>
      </w:r>
    </w:p>
    <w:p>
      <w:pPr>
        <w:pStyle w:val="Compact"/>
        <w:numPr>
          <w:ilvl w:val="0"/>
          <w:numId w:val="1002"/>
        </w:numPr>
      </w:pPr>
      <w:r>
        <w:t xml:space="preserve">引入不可变双重记账、明确舍入和幂等规则，为后续真实支付留接口；</w:t>
      </w:r>
    </w:p>
    <w:p>
      <w:pPr>
        <w:pStyle w:val="Compact"/>
        <w:numPr>
          <w:ilvl w:val="0"/>
          <w:numId w:val="1002"/>
        </w:numPr>
      </w:pPr>
      <w:r>
        <w:rPr>
          <w:b/>
        </w:rPr>
        <w:t xml:space="preserve">不在首期接入银行卡、微信/支付宝、Stripe、银行出款或链上 USDT。</w:t>
      </w:r>
    </w:p>
    <w:p>
      <w:pPr>
        <w:pStyle w:val="FirstParagraph"/>
      </w:pPr>
      <w:r>
        <w:t xml:space="preserve">用户充值、商家真实货币出款与 USDT 分别作为独立阶段，只有财务、合规、风控和对账门禁全部通过后才能启用。</w:t>
      </w:r>
    </w:p>
    <w:p>
      <w:pPr>
        <w:pStyle w:val="Heading3"/>
      </w:pPr>
      <w:bookmarkStart w:name="X4c060f86b2a3d122525135d035b149ff4fc1af0" w:id="24"/>
      <w:r>
        <w:t xml:space="preserve">0.3 为什么不是“1 积分永远等于 1 USDT”</w:t>
      </w:r>
      <w:bookmarkEnd w:id="24"/>
    </w:p>
    <w:p>
      <w:pPr>
        <w:pStyle w:val="Compact"/>
        <w:numPr>
          <w:ilvl w:val="0"/>
          <w:numId w:val="1003"/>
        </w:numPr>
      </w:pPr>
      <w:r>
        <w:t xml:space="preserve">USDT 是由私人发行方发行、存在于多条链上的代币，不是 USD 法币或银行存款；网络选错可能导致资产损失。</w:t>
      </w:r>
    </w:p>
    <w:p>
      <w:pPr>
        <w:pStyle w:val="Compact"/>
        <w:numPr>
          <w:ilvl w:val="0"/>
          <w:numId w:val="1003"/>
        </w:numPr>
      </w:pPr>
      <w:r>
        <w:t xml:space="preserve">Tether 官方要求平台明确列出支持的协议，并会停止旧协议的发行或赎回义务。</w:t>
      </w:r>
    </w:p>
    <w:p>
      <w:pPr>
        <w:pStyle w:val="Compact"/>
        <w:numPr>
          <w:ilvl w:val="0"/>
          <w:numId w:val="1003"/>
        </w:numPr>
      </w:pPr>
      <w:r>
        <w:t xml:space="preserve">Tether 官方直接法币赎回要求验证账户，当前页面列出的最低赎回金额为 100,000 美元等值。</w:t>
      </w:r>
    </w:p>
    <w:p>
      <w:pPr>
        <w:pStyle w:val="Compact"/>
        <w:numPr>
          <w:ilvl w:val="0"/>
          <w:numId w:val="1003"/>
        </w:numPr>
      </w:pPr>
      <w:r>
        <w:t xml:space="preserve">稳定币可能发生脱锚、冻结、链拥堵、合约与交易对手风险；因此 USDT 适合作为可选支付轨道，不适合作为平台唯一价值本位币。</w:t>
      </w:r>
    </w:p>
    <w:p>
      <w:pPr>
        <w:pStyle w:val="Heading2"/>
      </w:pPr>
      <w:bookmarkStart w:name="X583d3a7959f3eb368f70f60b93b2338e02438b4" w:id="25"/>
      <w:r>
        <w:t xml:space="preserve">1. 背景与现状</w:t>
      </w:r>
      <w:bookmarkEnd w:id="25"/>
    </w:p>
    <w:p>
      <w:pPr>
        <w:pStyle w:val="Heading3"/>
      </w:pPr>
      <w:bookmarkStart w:name="X3e8e4a017684f9b7cbf4c415f5c7899f5a773a8" w:id="26"/>
      <w:r>
        <w:t xml:space="preserve">1.1 当前实现事实</w:t>
      </w:r>
      <w:bookmarkEnd w:id="26"/>
    </w:p>
    <w:p>
      <w:pPr>
        <w:pStyle w:val="FirstParagraph"/>
      </w:pPr>
      <w:r>
        <w:t xml:space="preserve">当前 </w:t>
      </w:r>
      <w:r>
        <w:rPr>
          <w:rStyle w:val="VerbatimChar"/>
        </w:rPr>
        <w:t xml:space="preserve">develop</w:t>
      </w:r>
      <w:r>
        <w:t xml:space="preserve"> 与 </w:t>
      </w:r>
      <w:r>
        <w:rPr>
          <w:rStyle w:val="VerbatimChar"/>
        </w:rPr>
        <w:t xml:space="preserve">master</w:t>
      </w:r>
      <w:r>
        <w:t xml:space="preserve"> 的积分相关代码无差异。系统明确定位为纯内部积分平台，真实支付、用户充值和法币提现均在现有产品边界之外。</w:t>
      </w:r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现状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代码/文档依据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影响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用户账户只有 </w:t>
            </w:r>
            <w:r>
              <w:rPr>
                <w:rStyle w:val="VerbatimChar"/>
              </w:rPr>
              <w:t xml:space="preserve">balance Int</w:t>
            </w:r>
            <w:r>
              <w:t xml:space="preserve"> 与 </w:t>
            </w:r>
            <w:r>
              <w:rPr>
                <w:rStyle w:val="VerbatimChar"/>
              </w:rPr>
              <w:t xml:space="preserve">frozenBalance Int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server/prisma/schema.prisma</w:t>
            </w:r>
            <w:r>
              <w:t xml:space="preserve"> 的 </w:t>
            </w:r>
            <w:r>
              <w:rPr>
                <w:rStyle w:val="VerbatimChar"/>
              </w:rPr>
              <w:t xml:space="preserve">PointAccount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无币种、精度、资金来源或负债分类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流水只有 </w:t>
            </w:r>
            <w:r>
              <w:rPr>
                <w:rStyle w:val="VerbatimChar"/>
              </w:rPr>
              <w:t xml:space="preserve">in/out/hold/release/refund</w:t>
            </w:r>
            <w:r>
              <w:t xml:space="preserve">、</w:t>
            </w:r>
            <w:r>
              <w:rPr>
                <w:rStyle w:val="VerbatimChar"/>
              </w:rPr>
              <w:t xml:space="preserve">amount Int</w:t>
            </w:r>
            <w:r>
              <w:t xml:space="preserve">、</w:t>
            </w:r>
            <w:r>
              <w:rPr>
                <w:rStyle w:val="VerbatimChar"/>
              </w:rPr>
              <w:t xml:space="preserve">balanceAfter Int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PointLog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奖励、购买、退款、结算语义混在一个日志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商品、Offer、订单价格均为整数积分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Product.price</w:t>
            </w:r>
            <w:r>
              <w:t xml:space="preserve">、</w:t>
            </w:r>
            <w:r>
              <w:rPr>
                <w:rStyle w:val="VerbatimChar"/>
              </w:rPr>
              <w:t xml:space="preserve">Offer.price</w:t>
            </w:r>
            <w:r>
              <w:t xml:space="preserve">、</w:t>
            </w:r>
            <w:r>
              <w:rPr>
                <w:rStyle w:val="VerbatimChar"/>
              </w:rPr>
              <w:t xml:space="preserve">Order.price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无参考币种和下单汇率快照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Settlement 金额仍是整数积分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Settlement.orderAmount/commissionAmount/settlementAmount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当前“商家结算”只是给商家积分账户入账，不是外部出款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佣金率是 </w:t>
            </w:r>
            <w:r>
              <w:rPr>
                <w:rStyle w:val="VerbatimChar"/>
              </w:rPr>
              <w:t xml:space="preserve">Decimal(5,4)</w:t>
            </w:r>
            <w:r>
              <w:t xml:space="preserve">，金额用 </w:t>
            </w:r>
            <w:r>
              <w:rPr>
                <w:rStyle w:val="VerbatimChar"/>
              </w:rPr>
              <w:t xml:space="preserve">Math.floor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server/src/modules/orders/service.ts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有隐含舍入规则，未形成公开契约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即时商品扣余额，人工服务在 available/frozen 间冻结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server/src/modules/orders/accounting.ts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原子性正确，应保留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下单已支持 </w:t>
            </w:r>
            <w:r>
              <w:rPr>
                <w:rStyle w:val="VerbatimChar"/>
              </w:rPr>
              <w:t xml:space="preserve">expectedPrice</w:t>
            </w:r>
            <w:r>
              <w:t xml:space="preserve"> 与幂等键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server/src/modules/orders/service.ts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可扩展为“价格 + 价值政策 + 报价”三重校验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会员成长和排行榜只统计 </w:t>
            </w:r>
            <w:r>
              <w:rPr>
                <w:rStyle w:val="VerbatimChar"/>
              </w:rPr>
              <w:t xml:space="preserve">PointLog.type='in'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server/src/modules/points/service.ts</w:t>
            </w:r>
            <w:r>
              <w:t xml:space="preserve">、</w:t>
            </w:r>
            <w:r>
              <w:rPr>
                <w:rStyle w:val="VerbatimChar"/>
              </w:rPr>
              <w:t xml:space="preserve">server/src/modules/leaderboard/service.ts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充值若也写 </w:t>
            </w:r>
            <w:r>
              <w:rPr>
                <w:rStyle w:val="VerbatimChar"/>
              </w:rPr>
              <w:t xml:space="preserve">in</w:t>
            </w:r>
            <w:r>
              <w:t xml:space="preserve"> 会污染等级与排行榜</w:t>
            </w:r>
          </w:p>
        </w:tc>
      </w:tr>
    </w:tbl>
    <w:p>
      <w:pPr>
        <w:pStyle w:val="Heading3"/>
      </w:pPr>
      <w:bookmarkStart w:name="X59cbfabb1035e92f8df52e34f4f9f40fd9cb262" w:id="27"/>
      <w:r>
        <w:t xml:space="preserve">1.2 核心问题</w:t>
      </w:r>
      <w:bookmarkEnd w:id="27"/>
    </w:p>
    <w:p>
      <w:pPr>
        <w:pStyle w:val="FirstParagraph"/>
      </w:pPr>
      <w:r>
        <w:t xml:space="preserve">当前一个整数同时承担四种不同概念：</w:t>
      </w:r>
    </w:p>
    <w:p>
      <w:pPr>
        <w:pStyle w:val="Compact"/>
        <w:numPr>
          <w:ilvl w:val="0"/>
          <w:numId w:val="1004"/>
        </w:numPr>
      </w:pPr>
      <w:r>
        <w:t xml:space="preserve">用户通过签到/邀请获得的促销权益；</w:t>
      </w:r>
    </w:p>
    <w:p>
      <w:pPr>
        <w:pStyle w:val="Compact"/>
        <w:numPr>
          <w:ilvl w:val="0"/>
          <w:numId w:val="1004"/>
        </w:numPr>
      </w:pPr>
      <w:r>
        <w:t xml:space="preserve">购买商品时使用的支付单位；</w:t>
      </w:r>
    </w:p>
    <w:p>
      <w:pPr>
        <w:pStyle w:val="Compact"/>
        <w:numPr>
          <w:ilvl w:val="0"/>
          <w:numId w:val="1004"/>
        </w:numPr>
      </w:pPr>
      <w:r>
        <w:t xml:space="preserve">商家销售后收到的结算资产；</w:t>
      </w:r>
    </w:p>
    <w:p>
      <w:pPr>
        <w:pStyle w:val="Compact"/>
        <w:numPr>
          <w:ilvl w:val="0"/>
          <w:numId w:val="1004"/>
        </w:numPr>
      </w:pPr>
      <w:r>
        <w:t xml:space="preserve">用户等级和排行榜的成长度量。</w:t>
      </w:r>
    </w:p>
    <w:p>
      <w:pPr>
        <w:pStyle w:val="FirstParagraph"/>
      </w:pPr>
      <w:r>
        <w:t xml:space="preserve">只在 UI 上加一个 </w:t>
      </w:r>
      <w:r>
        <w:rPr>
          <w:rStyle w:val="VerbatimChar"/>
        </w:rPr>
        <w:t xml:space="preserve">≈ ¥x.xx</w:t>
      </w:r>
      <w:r>
        <w:t xml:space="preserve"> 或 </w:t>
      </w:r>
      <w:r>
        <w:rPr>
          <w:rStyle w:val="VerbatimChar"/>
        </w:rPr>
        <w:t xml:space="preserve">≈ $x.xx</w:t>
      </w:r>
      <w:r>
        <w:t xml:space="preserve"> 无法解决责任边界。若未来用户可用真钱购买积分，预收款通常会形成待履约义务；若又允许赎回、转让或跨商户使用，则可能进入预付价值、支付工具、反洗钱和资金存管范畴。设计必须先拆语义，再接支付。</w:t>
      </w:r>
    </w:p>
    <w:p>
      <w:pPr>
        <w:pStyle w:val="Heading2"/>
      </w:pPr>
      <w:bookmarkStart w:name="Xa42fbe99e3b5c8bdcdbe01d7852d537c1e0d1d0" w:id="28"/>
      <w:r>
        <w:t xml:space="preserve">2. 目标与非目标</w:t>
      </w:r>
      <w:bookmarkEnd w:id="28"/>
    </w:p>
    <w:p>
      <w:pPr>
        <w:pStyle w:val="Heading3"/>
      </w:pPr>
      <w:bookmarkStart w:name="Xb7d019269b79d8eddeb837ff95186bbe83b99d7" w:id="29"/>
      <w:r>
        <w:t xml:space="preserve">2.1 目标</w:t>
      </w:r>
      <w:bookmarkEnd w:id="29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目标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G-01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用户能理解积分的大致真实价值，商品之间可比较，价格不再是抽象数字。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G-02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任一历史订单都能还原下单时的积分价格、本位币参考价值、支付报价和舍入结果。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G-03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账本在并发、重试、退款、冻结、解冻、结算和外部回调下保持可审计、可对账。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G-04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奖励积分、购买型储值、会员成长值与商家应付彻底分离，避免财务和运营口径互相污染。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G-05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为未来 CNY 或 USD 法币支付及指定网络 USDT 的合规评估预留清晰接口；是否启用必须另立项目并通过门禁，本文不作能力承诺。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G-06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迁移过程中不改写既有历史，不重复扣款，不制造负余额，支持灰度回滚。</w:t>
            </w:r>
          </w:p>
        </w:tc>
      </w:tr>
    </w:tbl>
    <w:p>
      <w:pPr>
        <w:pStyle w:val="Heading3"/>
      </w:pPr>
      <w:bookmarkStart w:name="X9cfb67ffcf90807db61756d02e206729f56885b" w:id="30"/>
      <w:r>
        <w:t xml:space="preserve">2.2 非目标</w:t>
      </w:r>
      <w:bookmarkEnd w:id="30"/>
    </w:p>
    <w:p>
      <w:pPr>
        <w:pStyle w:val="Compact"/>
        <w:numPr>
          <w:ilvl w:val="0"/>
          <w:numId w:val="1005"/>
        </w:numPr>
      </w:pPr>
      <w:r>
        <w:t xml:space="preserve">本文不选择具体支付服务商、交易所、托管商或银行。</w:t>
      </w:r>
    </w:p>
    <w:p>
      <w:pPr>
        <w:pStyle w:val="Compact"/>
        <w:numPr>
          <w:ilvl w:val="0"/>
          <w:numId w:val="1005"/>
        </w:numPr>
      </w:pPr>
      <w:r>
        <w:t xml:space="preserve">本文不提供任何司法辖区的牌照结论。</w:t>
      </w:r>
    </w:p>
    <w:p>
      <w:pPr>
        <w:pStyle w:val="Compact"/>
        <w:numPr>
          <w:ilvl w:val="0"/>
          <w:numId w:val="1005"/>
        </w:numPr>
      </w:pPr>
      <w:r>
        <w:t xml:space="preserve">首期不支持用户间转账、积分交易、现金赎回、链上钱包托管或自动做市。</w:t>
      </w:r>
    </w:p>
    <w:p>
      <w:pPr>
        <w:pStyle w:val="Compact"/>
        <w:numPr>
          <w:ilvl w:val="0"/>
          <w:numId w:val="1005"/>
        </w:numPr>
      </w:pPr>
      <w:r>
        <w:t xml:space="preserve">首期不承诺积分由现金、存款或 USDT 逐枚储备支持。</w:t>
      </w:r>
    </w:p>
    <w:p>
      <w:pPr>
        <w:pStyle w:val="Compact"/>
        <w:numPr>
          <w:ilvl w:val="0"/>
          <w:numId w:val="1005"/>
        </w:numPr>
      </w:pPr>
      <w:r>
        <w:t xml:space="preserve">不用实时外汇价格重估用户已有积分余额。</w:t>
      </w:r>
    </w:p>
    <w:p>
      <w:pPr>
        <w:pStyle w:val="Heading2"/>
      </w:pPr>
      <w:bookmarkStart w:name="X459c52348882627d1a453729378c28cc0b87206" w:id="31"/>
      <w:r>
        <w:t xml:space="preserve">3. 术语与资产分类</w:t>
      </w:r>
      <w:bookmarkEnd w:id="31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代码示例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定义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奖励积分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RP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签到、邀请、活动、管理员奖励产生；不可购买、转让或赎回。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购买型价值额度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VC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未来由真实付款获得的闭环储值；首期禁用。即使 UI 合并展示，账本必须独立。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成长值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XP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驱动会员等级/排行榜的非消费型指标；只由合格奖励行为产生。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价值本位币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CNY</w:t>
            </w:r>
            <w:r>
              <w:t xml:space="preserve"> 或 </w:t>
            </w:r>
            <w:r>
              <w:rPr>
                <w:rStyle w:val="VerbatimChar"/>
              </w:rPr>
              <w:t xml:space="preserve">USD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商品参考价值、财务汇总、商家应付的唯一统一尺度。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支付资产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CNY</w:t>
            </w:r>
            <w:r>
              <w:t xml:space="preserve">、</w:t>
            </w:r>
            <w:r>
              <w:rPr>
                <w:rStyle w:val="VerbatimChar"/>
              </w:rPr>
              <w:t xml:space="preserve">USD</w:t>
            </w:r>
            <w:r>
              <w:t xml:space="preserve">、</w:t>
            </w:r>
            <w:r>
              <w:rPr>
                <w:rStyle w:val="VerbatimChar"/>
              </w:rPr>
              <w:t xml:space="preserve">USDT-TRON</w:t>
            </w:r>
            <w:r>
              <w:t xml:space="preserve"> 等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用户实际付款所用资产。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结算资产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CNY</w:t>
            </w:r>
            <w:r>
              <w:t xml:space="preserve">、</w:t>
            </w:r>
            <w:r>
              <w:rPr>
                <w:rStyle w:val="VerbatimChar"/>
              </w:rPr>
              <w:t xml:space="preserve">USD</w:t>
            </w:r>
            <w:r>
              <w:t xml:space="preserve">、指定网络 USDT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平台对商家实际出款所用资产。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原子单位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minor/atomic unit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数据库存储的最小整数单位，如分/美分或代币合约精度对应单位。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价值政策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ValuePolicy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积分面值、本位币、舍入规则及生效时间的不可变版本。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报价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FxQuote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特定资产对、金额、费率、来源和有效期的不可变快照。</w:t>
            </w:r>
          </w:p>
        </w:tc>
      </w:tr>
    </w:tbl>
    <w:p>
      <w:pPr>
        <w:pStyle w:val="Heading2"/>
      </w:pPr>
      <w:bookmarkStart w:name="X90b83228a13fdb495648d9de3fb6bc8eabf8a76" w:id="32"/>
      <w:r>
        <w:t xml:space="preserve">4. 方案比较与决策</w:t>
      </w:r>
      <w:bookmarkEnd w:id="32"/>
    </w:p>
    <w:p>
      <w:pPr>
        <w:pStyle w:val="Heading3"/>
      </w:pPr>
      <w:bookmarkStart w:name="X9d8a9d6206b4bd1663bdbe3cdec2e4676f55f54" w:id="33"/>
      <w:r>
        <w:t xml:space="preserve">4.1 方案矩阵</w:t>
      </w:r>
      <w:bookmarkEnd w:id="33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优点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主要问题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结论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A. 仅展示动态等值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每次按实时 FX 分别显示积分的 CNY、USD 或 USDT 等值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实现快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同一积分每天价值不同；退款、商家结算和负债不可解释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拒绝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B. 固定面值 + 单一本位币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积分面值长期固定，其他资产按订单报价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价格稳定、可审计、易迁移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改面值需治理；跨币种有 FX 风险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</w:rPr>
              <w:t xml:space="preserve">采用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C. 多币种积分钱包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每种货币都有一种积分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可保留币种价值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UX 复杂、流动性碎片化、结算与税务复杂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暂不采用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D. 1 积分 = 1 USDT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USDT 同时做本位币与支付资产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链上结算直观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USDT 非 USD、网络/发行方/脱锚/合规风险集中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拒绝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E. 积分完全改成现金钱包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余额直接按法币/稳定币记账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资金语义直接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产品与监管属性发生根本变化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仅在独立持牌/合作方案中评估</w:t>
            </w:r>
          </w:p>
        </w:tc>
      </w:tr>
    </w:tbl>
    <w:p>
      <w:pPr>
        <w:pStyle w:val="Heading3"/>
      </w:pPr>
      <w:bookmarkStart w:name="X41b73073e059b585e8301ceb430968e5c8b739d" w:id="34"/>
      <w:r>
        <w:t xml:space="preserve">4.2 本位币选择规则</w:t>
      </w:r>
      <w:bookmarkEnd w:id="34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推荐本位币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运营主体、财务账簿、商品成本、商家合同和用户主要位于中国大陆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CNY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财务功能货币、商品采购、商家合同和主要市场以美元为主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USD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仅因“链上方便”想选择 USDT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仍选 </w:t>
            </w:r>
            <w:r>
              <w:rPr>
                <w:rStyle w:val="VerbatimChar"/>
              </w:rPr>
              <w:t xml:space="preserve">USD</w:t>
            </w:r>
            <w:r>
              <w:t xml:space="preserve">，USDT 只做支付/结算资产</w:t>
            </w:r>
          </w:p>
        </w:tc>
      </w:tr>
    </w:tbl>
    <w:p>
      <w:pPr>
        <w:pStyle w:val="BodyText"/>
      </w:pPr>
      <w:r>
        <w:t xml:space="preserve">本位币是租户级、长期决策，不是普通后台配置。任一时点只能存在一个本位币；更换本位币是需要重定价、余额与负债评估、历史连续性处理的迁移项目，不是一次普通汇率更新。生产环境变更必须新建政策版本、双人审批、设定未来生效时间并完成财务影响评估；禁止原地修改历史政策。生产决策 D-01（已批准，2026-08-17）：MoNexus 首个生产租户的价值本位币为 CNY。通用数据模型可以保留未来支持 USD 的能力，但首期不得创建或激活以 USD、USDT 为本位币的生产价值政策。</w:t>
      </w:r>
    </w:p>
    <w:p>
      <w:pPr>
        <w:pStyle w:val="Heading3"/>
      </w:pPr>
      <w:bookmarkStart w:name="Xb6f6fbfd71c0448b57d3d8bde872da46f32d6a2" w:id="35"/>
      <w:r>
        <w:t xml:space="preserve">4.3 面值候选</w:t>
      </w:r>
      <w:bookmarkEnd w:id="35"/>
    </w:p>
    <w:p>
      <w:pPr>
        <w:pStyle w:val="FirstParagraph"/>
      </w:pPr>
      <w:r>
        <w:t xml:space="preserve">推荐候选如下，但每个租户只能选择其中一项：</w:t>
      </w:r>
    </w:p>
    <w:p>
      <w:pPr>
        <w:pStyle w:val="SourceCode"/>
      </w:pPr>
      <w:r>
        <w:rPr>
          <w:rStyle w:val="VerbatimChar"/>
        </w:rPr>
        <w:t xml:space="preserve">100 PTS = 1.00 CNY  （若本位币为 CNY）100 PTS = 1.00 USD  （若本位币为 USD；仅可作为独立回测后的新方案）</w:t>
      </w:r>
    </w:p>
    <w:p>
      <w:pPr>
        <w:pStyle w:val="FirstParagraph"/>
      </w:pPr>
      <w:r>
        <w:t xml:space="preserve">这两个候选不具备相同经济价值。新租户必须根据自己的本位币与单位经济模型独立回测；既有积分计划更换本位币时，则必须按迁移基准汇率保持积分经济价值，不能直接沿用相同数字比例。换算公式为 新每本位币积分数 = 旧每本位币积分数 × 新本位币兑旧本位币汇率。例如旧政策为 100 PTS = 1 CNY，迁移基准汇率为 1 USD = 7.20 CNY，则价值保持的新政策约为 720 PTS = 1 USD，而不是 100 PTS = 1 USD；精确比例、舍入方式和生效时点必须写入迁移政策快照。
100 PTS = 1 个本位币主单位的工程优势是 1 PTS = 1 个本位币最小单位，积分价格转参考价值为精确整数乘法。当前演示商品价格约为 300–1,500 积分，对应 3.00–15.00 个本位币主单位，具备可读性；但生产比例必须通过以下数据回测后冻结：</w:t>
      </w:r>
    </w:p>
    <w:p>
      <w:pPr>
        <w:pStyle w:val="Compact"/>
        <w:numPr>
          <w:ilvl w:val="0"/>
          <w:numId w:val="1006"/>
        </w:numPr>
      </w:pPr>
      <w:r>
        <w:t xml:space="preserve">商品 P10/P50/P90 价格；</w:t>
      </w:r>
    </w:p>
    <w:p>
      <w:pPr>
        <w:pStyle w:val="Compact"/>
        <w:numPr>
          <w:ilvl w:val="0"/>
          <w:numId w:val="1006"/>
        </w:numPr>
      </w:pPr>
      <w:r>
        <w:t xml:space="preserve">用户月均获得、消费和结余积分；</w:t>
      </w:r>
    </w:p>
    <w:p>
      <w:pPr>
        <w:pStyle w:val="Compact"/>
        <w:numPr>
          <w:ilvl w:val="0"/>
          <w:numId w:val="1006"/>
        </w:numPr>
      </w:pPr>
      <w:r>
        <w:t xml:space="preserve">平台奖励预算与预计核销率；</w:t>
      </w:r>
    </w:p>
    <w:p>
      <w:pPr>
        <w:pStyle w:val="Compact"/>
        <w:numPr>
          <w:ilvl w:val="0"/>
          <w:numId w:val="1006"/>
        </w:numPr>
      </w:pPr>
      <w:r>
        <w:t xml:space="preserve">商家成本、佣金和最低结算额；</w:t>
      </w:r>
    </w:p>
    <w:p>
      <w:pPr>
        <w:pStyle w:val="Compact"/>
        <w:numPr>
          <w:ilvl w:val="0"/>
          <w:numId w:val="1006"/>
        </w:numPr>
      </w:pPr>
      <w:r>
        <w:t xml:space="preserve">若启用购买型额度，预收资金与未履约余额峰值。</w:t>
      </w:r>
    </w:p>
    <w:p>
      <w:pPr>
        <w:pStyle w:val="Heading2"/>
      </w:pPr>
      <w:bookmarkStart w:name="Xbfcd29cfd11eeea50ede5542bb372f78bef15a2" w:id="36"/>
      <w:r>
        <w:t xml:space="preserve">5. 领域不变量</w:t>
      </w:r>
      <w:bookmarkEnd w:id="36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不变量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INV-01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每种资产内，同一 </w:t>
            </w:r>
            <w:r>
              <w:rPr>
                <w:rStyle w:val="VerbatimChar"/>
              </w:rPr>
              <w:t xml:space="preserve">LedgerTransaction</w:t>
            </w:r>
            <w:r>
              <w:t xml:space="preserve"> 的借方总额必须等于贷方总额。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INV-02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金额只用整数原子单位；API 用十进制字符串传输，禁止 JavaScript </w:t>
            </w:r>
            <w:r>
              <w:rPr>
                <w:rStyle w:val="VerbatimChar"/>
              </w:rPr>
              <w:t xml:space="preserve">number</w:t>
            </w:r>
            <w:r>
              <w:t xml:space="preserve"> 承载真实货币。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INV-03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LedgerEntry</w:t>
            </w:r>
            <w:r>
              <w:t xml:space="preserve"> 只追加，不更新、不删除；纠错必须写反向交易。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INV-04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每个外部事件、业务命令与账本交易均有唯一幂等键及请求指纹。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INV-05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available &gt;= 0</w:t>
            </w:r>
            <w:r>
              <w:t xml:space="preserve">、</w:t>
            </w:r>
            <w:r>
              <w:rPr>
                <w:rStyle w:val="VerbatimChar"/>
              </w:rPr>
              <w:t xml:space="preserve">frozen &gt;= 0</w:t>
            </w:r>
            <w:r>
              <w:t xml:space="preserve">；所有用户分桶之和必须等于账本投影。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INV-06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冻结只在 available 与 frozen 账户间转移，总权益不变。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INV-07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退款按原消费分配逐笔原路恢复，不能把购买额度退款成奖励积分，反之亦然。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INV-08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订单价格、价值政策、FX 报价、费用和舍入结果在确认时快照，历史不得重算。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INV-09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RP/VC/XP/merchant payable</w:t>
            </w:r>
            <w:r>
              <w:t xml:space="preserve"> 不得共用账户或事件类型。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INV-10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USDT 资产标识必须包含网络、链 ID、合约地址与精度；symbol 不可作为唯一身份。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INV-11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已成功入账的外部支付回调可重复接收，但账本效果只能发生一次。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INV-12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商家出款必须以外部确认与日终对账为终态，不能以“请求已发送”视为成功。</w:t>
            </w:r>
          </w:p>
        </w:tc>
      </w:tr>
    </w:tbl>
    <w:p>
      <w:pPr>
        <w:pStyle w:val="Heading2"/>
      </w:pPr>
      <w:bookmarkStart w:name="X7fa319bc27a17278f74acd3d55219c4b0969455" w:id="37"/>
      <w:r>
        <w:t xml:space="preserve">6. 金额、汇率与舍入</w:t>
      </w:r>
      <w:bookmarkEnd w:id="37"/>
    </w:p>
    <w:p>
      <w:pPr>
        <w:pStyle w:val="Heading3"/>
      </w:pPr>
      <w:bookmarkStart w:name="X32e36f78ab5d47540364530b8cd49a6c4d5e345" w:id="38"/>
      <w:r>
        <w:t xml:space="preserve">6.1 统一 Money 类型</w:t>
      </w:r>
      <w:bookmarkEnd w:id="38"/>
    </w:p>
    <w:p>
      <w:pPr>
        <w:pStyle w:val="FirstParagraph"/>
      </w:pPr>
      <w:r>
        <w:t xml:space="preserve">所有新 API 使用：</w:t>
      </w:r>
    </w:p>
    <w:p>
      <w:pPr>
        <w:pStyle w:val="SourceCode"/>
      </w:pPr>
      <w:r>
        <w:rPr>
          <w:rStyle w:val="NormalTok"/>
        </w:rPr>
        <w:t xml:space="preserve">interface AtomicAmount {</w:t>
      </w:r>
      <w:r>
        <w:br/>
      </w:r>
      <w:r>
        <w:rPr>
          <w:rStyle w:val="NormalTok"/>
        </w:rPr>
        <w:t xml:space="preserve">  assetCode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CNY, USD, RP, VC, USDT-TRON...</w:t>
      </w:r>
      <w:r>
        <w:br/>
      </w:r>
      <w:r>
        <w:rPr>
          <w:rStyle w:val="NormalTok"/>
        </w:rPr>
        <w:t xml:space="preserve">  amountAtomic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非负十进制整数字符串</w:t>
      </w:r>
      <w:r>
        <w:br/>
      </w:r>
      <w:r>
        <w:rPr>
          <w:rStyle w:val="NormalTok"/>
        </w:rPr>
        <w:t xml:space="preserve">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展示精度；服务端资产表为权威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示例：</w:t>
      </w:r>
      <w:r>
        <w:rPr>
          <w:rStyle w:val="VerbatimChar"/>
        </w:rPr>
        <w:t xml:space="preserve">{ assetCode: 'CNY', amountAtomic: '1200', scale: 2 }</w:t>
      </w:r>
      <w:r>
        <w:t xml:space="preserve"> 表示 ¥12.00。ISO 4217 中不同币种的最小单位关系不同，不能假设所有法币都是两位小数；支付提供商还可能对付款和出款设置特殊规则。</w:t>
      </w:r>
    </w:p>
    <w:p>
      <w:pPr>
        <w:pStyle w:val="Heading3"/>
      </w:pPr>
      <w:bookmarkStart w:name="X7439fe4851e37311133cc86399b3c50333c15e5" w:id="39"/>
      <w:r>
        <w:t xml:space="preserve">6.2 固定积分换算</w:t>
      </w:r>
      <w:bookmarkEnd w:id="39"/>
    </w:p>
    <w:p>
      <w:pPr>
        <w:pStyle w:val="FirstParagraph"/>
      </w:pPr>
      <w:r>
        <w:t xml:space="preserve">政策字段使用整数有理数。</w:t>
      </w:r>
      <w:r>
        <w:rPr>
          <w:rStyle w:val="VerbatimChar"/>
        </w:rPr>
        <w:t xml:space="preserve">RP</w:t>
      </w:r>
      <w:r>
        <w:t xml:space="preserve"> 与 </w:t>
      </w:r>
      <w:r>
        <w:rPr>
          <w:rStyle w:val="VerbatimChar"/>
        </w:rPr>
        <w:t xml:space="preserve">VC</w:t>
      </w:r>
      <w:r>
        <w:t xml:space="preserve"> 分别绑定自己的经济政策，不能只因显示比例相同就共用资产：</w:t>
      </w:r>
    </w:p>
    <w:p>
      <w:pPr>
        <w:pStyle w:val="SourceCode"/>
      </w:pPr>
      <w:r>
        <w:rPr>
          <w:rStyle w:val="NormalTok"/>
        </w:rPr>
        <w:t xml:space="preserve">interface ValuePolicy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pointAssetCode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'VC'</w:t>
      </w:r>
      <w:r>
        <w:br/>
      </w:r>
      <w:r>
        <w:rPr>
          <w:rStyle w:val="NormalTok"/>
        </w:rPr>
        <w:t xml:space="preserve">  referenceAssetCode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br/>
      </w:r>
      <w:r>
        <w:rPr>
          <w:rStyle w:val="NormalTok"/>
        </w:rPr>
        <w:t xml:space="preserve">  pointsNumerator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100</w:t>
      </w:r>
      <w:r>
        <w:br/>
      </w:r>
      <w:r>
        <w:rPr>
          <w:rStyle w:val="NormalTok"/>
        </w:rPr>
        <w:t xml:space="preserve">  referenceMajorDenominator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effectiveAt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'retired'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为避免表意歧义，实现中另存规范化字段 </w:t>
      </w:r>
      <w:r>
        <w:rPr>
          <w:rStyle w:val="VerbatimChar"/>
        </w:rPr>
        <w:t xml:space="preserve">referenceAtomicPerPointNumerator/Denominator</w:t>
      </w:r>
      <w:r>
        <w:t xml:space="preserve">。推荐比例下为 </w:t>
      </w:r>
      <w:r>
        <w:rPr>
          <w:rStyle w:val="VerbatimChar"/>
        </w:rPr>
        <w:t xml:space="preserve">1/1</w:t>
      </w:r>
      <w:r>
        <w:t xml:space="preserve">，即一个积分对应一个本位币原子单位。</w:t>
      </w:r>
    </w:p>
    <w:p>
      <w:pPr>
        <w:pStyle w:val="BodyText"/>
      </w:pPr>
      <w:r>
        <w:rPr>
          <w:b/>
        </w:rPr>
        <w:t xml:space="preserve">经济面值不得通过普通 policy version 修改。</w:t>
      </w:r>
      <w:r>
        <w:t xml:space="preserve"> </w:t>
      </w:r>
      <w:r>
        <w:rPr>
          <w:rStyle w:val="VerbatimChar"/>
        </w:rPr>
        <w:t xml:space="preserve">RP</w:t>
      </w:r>
      <w:r>
        <w:t xml:space="preserve"> 或 </w:t>
      </w:r>
      <w:r>
        <w:rPr>
          <w:rStyle w:val="VerbatimChar"/>
        </w:rPr>
        <w:t xml:space="preserve">VC</w:t>
      </w:r>
      <w:r>
        <w:t xml:space="preserve"> 一旦启用，面值比例即成为该资产身份的一部分。若确需改变比例，必须创建新资产代码（例如 </w:t>
      </w:r>
      <w:r>
        <w:rPr>
          <w:rStyle w:val="VerbatimChar"/>
        </w:rPr>
        <w:t xml:space="preserve">RP2</w:t>
      </w:r>
      <w:r>
        <w:t xml:space="preserve">），定义存量资产是否转换、转换窗口与用户披露，并走完整迁移；禁止让同一资产的旧余额在某天被静默重估。非经济字段（披露文案、显示格式等）可以新建 policy version。</w:t>
      </w:r>
    </w:p>
    <w:p>
      <w:pPr>
        <w:pStyle w:val="Heading3"/>
      </w:pPr>
      <w:bookmarkStart w:name="X3f104f1e25567d48de4ea8b917b243fe71a6926" w:id="40"/>
      <w:r>
        <w:t xml:space="preserve">6.3 FX 报价</w:t>
      </w:r>
      <w:bookmarkEnd w:id="40"/>
    </w:p>
    <w:p>
      <w:pPr>
        <w:pStyle w:val="SourceCode"/>
      </w:pPr>
      <w:r>
        <w:rPr>
          <w:rStyle w:val="NormalTok"/>
        </w:rPr>
        <w:t xml:space="preserve">interface FxQuote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baseAssetCode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quoteAssetCode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baseAmountAtomic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quoteAmountAtomic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rateNumerator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rateDenominator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feeAmountAtomic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spreadBps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roundingMode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'HALF_EVEN'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'HALF_UP'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'CEILING'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observedAt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'consumed'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规则：</w:t>
      </w:r>
    </w:p>
    <w:p>
      <w:pPr>
        <w:pStyle w:val="Compact"/>
        <w:numPr>
          <w:ilvl w:val="0"/>
          <w:numId w:val="1007"/>
        </w:numPr>
      </w:pPr>
      <w:r>
        <w:t xml:space="preserve">报价必须绑定用户、用途、订单/充值意图和金额范围，禁止跨用户复用。</w:t>
      </w:r>
    </w:p>
    <w:p>
      <w:pPr>
        <w:pStyle w:val="Compact"/>
        <w:numPr>
          <w:ilvl w:val="0"/>
          <w:numId w:val="1007"/>
        </w:numPr>
      </w:pPr>
      <w:r>
        <w:t xml:space="preserve">确认时校验报价未过期、未消费、资产/金额/政策版本一致。</w:t>
      </w:r>
    </w:p>
    <w:p>
      <w:pPr>
        <w:pStyle w:val="Compact"/>
        <w:numPr>
          <w:ilvl w:val="0"/>
          <w:numId w:val="1007"/>
        </w:numPr>
      </w:pPr>
      <w:r>
        <w:t xml:space="preserve">支付金额转换默认 </w:t>
      </w:r>
      <w:r>
        <w:rPr>
          <w:rStyle w:val="VerbatimChar"/>
        </w:rPr>
        <w:t xml:space="preserve">HALF_EVEN</w:t>
      </w:r>
      <w:r>
        <w:t xml:space="preserve">；若业务需要向上取整，必须以显式费用/点差实现，不得隐藏在舍入里。</w:t>
      </w:r>
    </w:p>
    <w:p>
      <w:pPr>
        <w:pStyle w:val="Compact"/>
        <w:numPr>
          <w:ilvl w:val="0"/>
          <w:numId w:val="1007"/>
        </w:numPr>
      </w:pPr>
      <w:r>
        <w:t xml:space="preserve">当前佣金 </w:t>
      </w:r>
      <w:r>
        <w:rPr>
          <w:rStyle w:val="VerbatimChar"/>
        </w:rPr>
        <w:t xml:space="preserve">Math.floor</w:t>
      </w:r>
      <w:r>
        <w:t xml:space="preserve"> 行为作为 legacy 兼容规则保留；新订单若改变规则，必须新建 </w:t>
      </w:r>
      <w:r>
        <w:rPr>
          <w:rStyle w:val="VerbatimChar"/>
        </w:rPr>
        <w:t xml:space="preserve">commissionPolicyVersion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任一舍入差额记入专用 rounding account，不能静默丢失。</w:t>
      </w:r>
    </w:p>
    <w:p>
      <w:pPr>
        <w:pStyle w:val="Compact"/>
        <w:numPr>
          <w:ilvl w:val="0"/>
          <w:numId w:val="1007"/>
        </w:numPr>
      </w:pPr>
      <w:r>
        <w:t xml:space="preserve">不用浮点数存汇率；数据库用 </w:t>
      </w:r>
      <w:r>
        <w:rPr>
          <w:rStyle w:val="VerbatimChar"/>
        </w:rPr>
        <w:t xml:space="preserve">NUMERIC(38,18)</w:t>
      </w:r>
      <w:r>
        <w:t xml:space="preserve"> 或分子/分母，业务计算使用 decimal/bigint 库。</w:t>
      </w:r>
    </w:p>
    <w:p>
      <w:pPr>
        <w:pStyle w:val="Heading3"/>
      </w:pPr>
      <w:bookmarkStart w:name="Xff05ee562105a818e00a50852a8d4b00d36c5ac" w:id="41"/>
      <w:r>
        <w:t xml:space="preserve">6.4 说明性示例</w:t>
      </w:r>
      <w:bookmarkEnd w:id="41"/>
    </w:p>
    <w:p>
      <w:pPr>
        <w:pStyle w:val="FirstParagraph"/>
      </w:pPr>
      <w:r>
        <w:t xml:space="preserve">假设政策为 </w:t>
      </w:r>
      <w:r>
        <w:rPr>
          <w:rStyle w:val="VerbatimChar"/>
        </w:rPr>
        <w:t xml:space="preserve">100 PTS = 1 CNY</w:t>
      </w:r>
      <w:r>
        <w:t xml:space="preserve">，商品价格 1,200 PTS：</w:t>
      </w:r>
    </w:p>
    <w:p>
      <w:pPr>
        <w:pStyle w:val="SourceCode"/>
      </w:pPr>
      <w:r>
        <w:rPr>
          <w:rStyle w:val="VerbatimChar"/>
        </w:rPr>
        <w:t xml:space="preserve">积分价格       1,200 PTS</w:t>
      </w:r>
      <w:r>
        <w:br/>
      </w:r>
      <w:r>
        <w:rPr>
          <w:rStyle w:val="VerbatimChar"/>
        </w:rPr>
        <w:t xml:space="preserve">参考价值       CNY 12.00（精确）</w:t>
      </w:r>
      <w:r>
        <w:br/>
      </w:r>
      <w:r>
        <w:rPr>
          <w:rStyle w:val="VerbatimChar"/>
        </w:rPr>
        <w:t xml:space="preserve">支付资产       USD 或 USDT-TRON</w:t>
      </w:r>
      <w:r>
        <w:br/>
      </w:r>
      <w:r>
        <w:rPr>
          <w:rStyle w:val="VerbatimChar"/>
        </w:rPr>
        <w:t xml:space="preserve">支付金额       由当次报价计算并锁定；不得用本示例中的假设汇率投入生产</w:t>
      </w:r>
    </w:p>
    <w:p>
      <w:pPr>
        <w:pStyle w:val="FirstParagraph"/>
      </w:pPr>
      <w:r>
        <w:t xml:space="preserve">退款必须读取订单快照和原始资金分配，不使用退款日汇率重算积分。</w:t>
      </w:r>
    </w:p>
    <w:p>
      <w:pPr>
        <w:pStyle w:val="Heading2"/>
      </w:pPr>
      <w:bookmarkStart w:name="X78e5dde243313c8457114313920af9e9e48e56c" w:id="42"/>
      <w:r>
        <w:t xml:space="preserve">7. 目标账本架构</w:t>
      </w:r>
      <w:bookmarkEnd w:id="42"/>
    </w:p>
    <w:p>
      <w:pPr>
        <w:pStyle w:val="Heading3"/>
      </w:pPr>
      <w:bookmarkStart w:name="Xa8fa5ac26adf5eea266d3740f05e2df71eab11c" w:id="43"/>
      <w:r>
        <w:t xml:space="preserve">7.1 总体结构</w:t>
      </w:r>
      <w:bookmarkEnd w:id="43"/>
    </w:p>
    <w:p>
      <w:pPr>
        <w:pStyle w:val="SourceCode"/>
      </w:pPr>
      <w:r>
        <w:rPr>
          <w:rStyle w:val="VerbatimChar"/>
        </w:rPr>
        <w:t xml:space="preserve">业务命令 / 外部回调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Idempotency + Inbox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LedgerTransaction ── LedgerEntry（不可变、双重记账）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   ├── Outbox               ├── BalanceProjection</w:t>
      </w:r>
      <w:r>
        <w:br/>
      </w:r>
      <w:r>
        <w:rPr>
          <w:rStyle w:val="VerbatimChar"/>
        </w:rPr>
        <w:t xml:space="preserve">        ├── PointLog 兼容投影     ├── OrderPricingSnapshot</w:t>
      </w:r>
      <w:r>
        <w:br/>
      </w:r>
      <w:r>
        <w:rPr>
          <w:rStyle w:val="VerbatimChar"/>
        </w:rPr>
        <w:t xml:space="preserve">        └── 财务/对账事件         └── Settlement/Payout</w:t>
      </w:r>
    </w:p>
    <w:p>
      <w:pPr>
        <w:pStyle w:val="Heading3"/>
      </w:pPr>
      <w:bookmarkStart w:name="X33e93b88015312e6cba87a423d09278ee71de48" w:id="44"/>
      <w:r>
        <w:t xml:space="preserve">7.2 核心数据模型</w:t>
      </w:r>
      <w:bookmarkEnd w:id="44"/>
    </w:p>
    <w:p>
      <w:pPr>
        <w:pStyle w:val="Heading4"/>
      </w:pPr>
      <w:bookmarkStart w:name="assetdefinition" w:id="45"/>
      <w:r>
        <w:t xml:space="preserve">AssetDefinition</w:t>
      </w:r>
      <w:bookmarkEnd w:id="45"/>
    </w:p>
    <w:p>
      <w:pPr>
        <w:pStyle w:val="SourceCode"/>
      </w:pPr>
      <w:r>
        <w:rPr>
          <w:rStyle w:val="VerbatimChar"/>
        </w:rPr>
        <w:t xml:space="preserve">model AssetDefinition {</w:t>
      </w:r>
      <w:r>
        <w:br/>
      </w:r>
      <w:r>
        <w:rPr>
          <w:rStyle w:val="VerbatimChar"/>
        </w:rPr>
        <w:t xml:space="preserve">  code            String   @id</w:t>
      </w:r>
      <w:r>
        <w:br/>
      </w:r>
      <w:r>
        <w:rPr>
          <w:rStyle w:val="VerbatimChar"/>
        </w:rPr>
        <w:t xml:space="preserve">  kind            String   // reward_point | value_credit | fiat | stablecoin</w:t>
      </w:r>
      <w:r>
        <w:br/>
      </w:r>
      <w:r>
        <w:rPr>
          <w:rStyle w:val="VerbatimChar"/>
        </w:rPr>
        <w:t xml:space="preserve">  currencyCode    String?</w:t>
      </w:r>
      <w:r>
        <w:br/>
      </w:r>
      <w:r>
        <w:rPr>
          <w:rStyle w:val="VerbatimChar"/>
        </w:rPr>
        <w:t xml:space="preserve">  network         String?</w:t>
      </w:r>
      <w:r>
        <w:br/>
      </w:r>
      <w:r>
        <w:rPr>
          <w:rStyle w:val="VerbatimChar"/>
        </w:rPr>
        <w:t xml:space="preserve">  chainId         String?</w:t>
      </w:r>
      <w:r>
        <w:br/>
      </w:r>
      <w:r>
        <w:rPr>
          <w:rStyle w:val="VerbatimChar"/>
        </w:rPr>
        <w:t xml:space="preserve">  contractAddress String?</w:t>
      </w:r>
      <w:r>
        <w:br/>
      </w:r>
      <w:r>
        <w:rPr>
          <w:rStyle w:val="VerbatimChar"/>
        </w:rPr>
        <w:t xml:space="preserve">  scale           Int</w:t>
      </w:r>
      <w:r>
        <w:br/>
      </w:r>
      <w:r>
        <w:rPr>
          <w:rStyle w:val="VerbatimChar"/>
        </w:rPr>
        <w:t xml:space="preserve">  enabled         Boolean  @default(false)</w:t>
      </w:r>
      <w:r>
        <w:br/>
      </w:r>
      <w:r>
        <w:rPr>
          <w:rStyle w:val="VerbatimChar"/>
        </w:rPr>
        <w:t xml:space="preserve">  metadataVersion Int</w:t>
      </w:r>
      <w:r>
        <w:br/>
      </w:r>
      <w:r>
        <w:rPr>
          <w:rStyle w:val="VerbatimChar"/>
        </w:rPr>
        <w:t xml:space="preserve">  createdAt       DateTime @default(now())</w:t>
      </w:r>
      <w:r>
        <w:br/>
      </w:r>
      <w:r>
        <w:rPr>
          <w:rStyle w:val="VerbatimChar"/>
        </w:rPr>
        <w:t xml:space="preserve">  retiredAt       DateTime?</w:t>
      </w:r>
      <w:r>
        <w:br/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code</w:t>
      </w:r>
      <w:r>
        <w:t xml:space="preserve"> 主键保证所有资产唯一。数据库 migration 另加仅针对 </w:t>
      </w:r>
      <w:r>
        <w:rPr>
          <w:rStyle w:val="VerbatimChar"/>
        </w:rPr>
        <w:t xml:space="preserve">kind='stablecoin'</w:t>
      </w:r>
      <w:r>
        <w:t xml:space="preserve"> 的 partial unique index </w:t>
      </w:r>
      <w:r>
        <w:rPr>
          <w:rStyle w:val="VerbatimChar"/>
        </w:rPr>
        <w:t xml:space="preserve">(network, chain_id, lower(contract_address))</w:t>
      </w:r>
      <w:r>
        <w:t xml:space="preserve">，以及以下 CHECK：法币不得带 network/contract；稳定币必须同时带 network、chainId、contractAddress 且 </w:t>
      </w:r>
      <w:r>
        <w:rPr>
          <w:rStyle w:val="VerbatimChar"/>
        </w:rPr>
        <w:t xml:space="preserve">scale &gt; 0</w:t>
      </w:r>
      <w:r>
        <w:t xml:space="preserve">；</w:t>
      </w:r>
      <w:r>
        <w:rPr>
          <w:rStyle w:val="VerbatimChar"/>
        </w:rPr>
        <w:t xml:space="preserve">scale</w:t>
      </w:r>
      <w:r>
        <w:t xml:space="preserve"> 在允许范围内。稳定币资产必须由白名单配置创建。收到链上资产前同时校验网络、链 ID、合约地址、精度和确认数；任何一项不符都进入人工隔离，不自动入账。</w:t>
      </w:r>
    </w:p>
    <w:p>
      <w:pPr>
        <w:pStyle w:val="Heading4"/>
      </w:pPr>
      <w:bookmarkStart w:name="ledgeraccount" w:id="46"/>
      <w:r>
        <w:t xml:space="preserve">LedgerAccount</w:t>
      </w:r>
      <w:bookmarkEnd w:id="46"/>
    </w:p>
    <w:p>
      <w:pPr>
        <w:pStyle w:val="SourceCode"/>
      </w:pPr>
      <w:r>
        <w:rPr>
          <w:rStyle w:val="VerbatimChar"/>
        </w:rPr>
        <w:t xml:space="preserve">model LedgerAccount {</w:t>
      </w:r>
      <w:r>
        <w:br/>
      </w:r>
      <w:r>
        <w:rPr>
          <w:rStyle w:val="VerbatimChar"/>
        </w:rPr>
        <w:t xml:space="preserve">  id          BigInt   @id @default(autoincrement())</w:t>
      </w:r>
      <w:r>
        <w:br/>
      </w:r>
      <w:r>
        <w:rPr>
          <w:rStyle w:val="VerbatimChar"/>
        </w:rPr>
        <w:t xml:space="preserve">  ownerType   String   // user | merchant | platform | provider</w:t>
      </w:r>
      <w:r>
        <w:br/>
      </w:r>
      <w:r>
        <w:rPr>
          <w:rStyle w:val="VerbatimChar"/>
        </w:rPr>
        <w:t xml:space="preserve">  ownerId     String</w:t>
      </w:r>
      <w:r>
        <w:br/>
      </w:r>
      <w:r>
        <w:rPr>
          <w:rStyle w:val="VerbatimChar"/>
        </w:rPr>
        <w:t xml:space="preserve">  assetCode   String</w:t>
      </w:r>
      <w:r>
        <w:br/>
      </w:r>
      <w:r>
        <w:rPr>
          <w:rStyle w:val="VerbatimChar"/>
        </w:rPr>
        <w:t xml:space="preserve">  purpose     String   // available | frozen | issued | redeemed | clearing | payable...</w:t>
      </w:r>
      <w:r>
        <w:br/>
      </w:r>
      <w:r>
        <w:rPr>
          <w:rStyle w:val="VerbatimChar"/>
        </w:rPr>
        <w:t xml:space="preserve">  normalSide  String   // debit | credit</w:t>
      </w:r>
      <w:r>
        <w:br/>
      </w:r>
      <w:r>
        <w:rPr>
          <w:rStyle w:val="VerbatimChar"/>
        </w:rPr>
        <w:t xml:space="preserve">  status      String   // active | frozen | closed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br/>
      </w:r>
      <w:r>
        <w:rPr>
          <w:rStyle w:val="VerbatimChar"/>
        </w:rPr>
        <w:t xml:space="preserve">  @@unique([ownerType, ownerId, assetCode, purpose])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ownerType</w:t>
      </w:r>
      <w:r>
        <w:t xml:space="preserve">、</w:t>
      </w:r>
      <w:r>
        <w:rPr>
          <w:rStyle w:val="VerbatimChar"/>
        </w:rPr>
        <w:t xml:space="preserve">purpose</w:t>
      </w:r>
      <w:r>
        <w:t xml:space="preserve">、</w:t>
      </w:r>
      <w:r>
        <w:rPr>
          <w:rStyle w:val="VerbatimChar"/>
        </w:rPr>
        <w:t xml:space="preserve">normalSide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 和资产 kind 在 Prisma 使用 enum；数据库同时保留 CHECK/FK，避免绕过 ORM 时写入任意字符串。</w:t>
      </w:r>
      <w:r>
        <w:rPr>
          <w:rStyle w:val="VerbatimChar"/>
        </w:rPr>
        <w:t xml:space="preserve">assetCode</w:t>
      </w:r>
      <w:r>
        <w:t xml:space="preserve"> 外键指向 </w:t>
      </w:r>
      <w:r>
        <w:rPr>
          <w:rStyle w:val="VerbatimChar"/>
        </w:rPr>
        <w:t xml:space="preserve">AssetDefinition.code</w:t>
      </w:r>
      <w:r>
        <w:t xml:space="preserve">。</w:t>
      </w:r>
    </w:p>
    <w:p>
      <w:pPr>
        <w:pStyle w:val="Heading4"/>
      </w:pPr>
      <w:bookmarkStart w:name="ledgertransaction--ledgerentry" w:id="47"/>
      <w:r>
        <w:t xml:space="preserve">LedgerTransaction / LedgerEntry</w:t>
      </w:r>
      <w:bookmarkEnd w:id="47"/>
    </w:p>
    <w:p>
      <w:pPr>
        <w:pStyle w:val="SourceCode"/>
      </w:pPr>
      <w:r>
        <w:rPr>
          <w:rStyle w:val="VerbatimChar"/>
        </w:rPr>
        <w:t xml:space="preserve">model LedgerTransaction {</w:t>
      </w:r>
      <w:r>
        <w:br/>
      </w:r>
      <w:r>
        <w:rPr>
          <w:rStyle w:val="VerbatimChar"/>
        </w:rPr>
        <w:t xml:space="preserve">  id              String   @id // UUID/ULID</w:t>
      </w:r>
      <w:r>
        <w:br/>
      </w:r>
      <w:r>
        <w:rPr>
          <w:rStyle w:val="VerbatimChar"/>
        </w:rPr>
        <w:t xml:space="preserve">  code            String   // reward_grant | order_hold | order_capture | refund...</w:t>
      </w:r>
      <w:r>
        <w:br/>
      </w:r>
      <w:r>
        <w:rPr>
          <w:rStyle w:val="VerbatimChar"/>
        </w:rPr>
        <w:t xml:space="preserve">  status          String   // posted | reversed</w:t>
      </w:r>
      <w:r>
        <w:br/>
      </w:r>
      <w:r>
        <w:rPr>
          <w:rStyle w:val="VerbatimChar"/>
        </w:rPr>
        <w:t xml:space="preserve">  idempotencyKey  String</w:t>
      </w:r>
      <w:r>
        <w:br/>
      </w:r>
      <w:r>
        <w:rPr>
          <w:rStyle w:val="VerbatimChar"/>
        </w:rPr>
        <w:t xml:space="preserve">  requestHash     String</w:t>
      </w:r>
      <w:r>
        <w:br/>
      </w:r>
      <w:r>
        <w:rPr>
          <w:rStyle w:val="VerbatimChar"/>
        </w:rPr>
        <w:t xml:space="preserve">  sourceType      String</w:t>
      </w:r>
      <w:r>
        <w:br/>
      </w:r>
      <w:r>
        <w:rPr>
          <w:rStyle w:val="VerbatimChar"/>
        </w:rPr>
        <w:t xml:space="preserve">  sourceId        String</w:t>
      </w:r>
      <w:r>
        <w:br/>
      </w:r>
      <w:r>
        <w:rPr>
          <w:rStyle w:val="VerbatimChar"/>
        </w:rPr>
        <w:t xml:space="preserve">  sequence        Int      @default(0)</w:t>
      </w:r>
      <w:r>
        <w:br/>
      </w:r>
      <w:r>
        <w:rPr>
          <w:rStyle w:val="VerbatimChar"/>
        </w:rPr>
        <w:t xml:space="preserve">  reversalOfId    String?</w:t>
      </w:r>
      <w:r>
        <w:br/>
      </w:r>
      <w:r>
        <w:rPr>
          <w:rStyle w:val="VerbatimChar"/>
        </w:rPr>
        <w:t xml:space="preserve">  valuePolicyId   String?</w:t>
      </w:r>
      <w:r>
        <w:br/>
      </w:r>
      <w:r>
        <w:rPr>
          <w:rStyle w:val="VerbatimChar"/>
        </w:rPr>
        <w:t xml:space="preserve">  correlationId   String</w:t>
      </w:r>
      <w:r>
        <w:br/>
      </w:r>
      <w:r>
        <w:rPr>
          <w:rStyle w:val="VerbatimChar"/>
        </w:rPr>
        <w:t xml:space="preserve">  occurredAt      DateTime</w:t>
      </w:r>
      <w:r>
        <w:br/>
      </w:r>
      <w:r>
        <w:rPr>
          <w:rStyle w:val="VerbatimChar"/>
        </w:rPr>
        <w:t xml:space="preserve">  postedAt        DateTime @default(now())</w:t>
      </w:r>
      <w:r>
        <w:br/>
      </w:r>
      <w:r>
        <w:rPr>
          <w:rStyle w:val="VerbatimChar"/>
        </w:rPr>
        <w:t xml:space="preserve">  metadata        Json</w:t>
      </w:r>
      <w:r>
        <w:br/>
      </w:r>
      <w:r>
        <w:br/>
      </w:r>
      <w:r>
        <w:rPr>
          <w:rStyle w:val="VerbatimChar"/>
        </w:rPr>
        <w:t xml:space="preserve">  @@unique([sourceType, sourceId, code, sequence])</w:t>
      </w:r>
      <w:r>
        <w:br/>
      </w:r>
      <w:r>
        <w:rPr>
          <w:rStyle w:val="VerbatimChar"/>
        </w:rPr>
        <w:t xml:space="preserve">  @@unique([idempotencyKey])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LedgerEntry {</w:t>
      </w:r>
      <w:r>
        <w:br/>
      </w:r>
      <w:r>
        <w:rPr>
          <w:rStyle w:val="VerbatimChar"/>
        </w:rPr>
        <w:t xml:space="preserve">  id            BigInt   @id @default(autoincrement())</w:t>
      </w:r>
      <w:r>
        <w:br/>
      </w:r>
      <w:r>
        <w:rPr>
          <w:rStyle w:val="VerbatimChar"/>
        </w:rPr>
        <w:t xml:space="preserve">  transactionId String</w:t>
      </w:r>
      <w:r>
        <w:br/>
      </w:r>
      <w:r>
        <w:rPr>
          <w:rStyle w:val="VerbatimChar"/>
        </w:rPr>
        <w:t xml:space="preserve">  accountId     BigInt</w:t>
      </w:r>
      <w:r>
        <w:br/>
      </w:r>
      <w:r>
        <w:rPr>
          <w:rStyle w:val="VerbatimChar"/>
        </w:rPr>
        <w:t xml:space="preserve">  assetCode     String</w:t>
      </w:r>
      <w:r>
        <w:br/>
      </w:r>
      <w:r>
        <w:rPr>
          <w:rStyle w:val="VerbatimChar"/>
        </w:rPr>
        <w:t xml:space="preserve">  side          String   // debit | credit</w:t>
      </w:r>
      <w:r>
        <w:br/>
      </w:r>
      <w:r>
        <w:rPr>
          <w:rStyle w:val="VerbatimChar"/>
        </w:rPr>
        <w:t xml:space="preserve">  amountAtomic  BigInt</w:t>
      </w:r>
      <w:r>
        <w:br/>
      </w:r>
      <w:r>
        <w:rPr>
          <w:rStyle w:val="VerbatimChar"/>
        </w:rPr>
        <w:t xml:space="preserve">  createdAt     DateTime @default(now())</w:t>
      </w:r>
      <w:r>
        <w:br/>
      </w:r>
      <w:r>
        <w:br/>
      </w:r>
      <w:r>
        <w:rPr>
          <w:rStyle w:val="VerbatimChar"/>
        </w:rPr>
        <w:t xml:space="preserve">  @@index([accountId, id])</w:t>
      </w:r>
      <w:r>
        <w:br/>
      </w:r>
      <w:r>
        <w:rPr>
          <w:rStyle w:val="VerbatimChar"/>
        </w:rPr>
        <w:t xml:space="preserve">  @@index([transactionId])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实际 schema 必须给 </w:t>
      </w:r>
      <w:r>
        <w:rPr>
          <w:rStyle w:val="VerbatimChar"/>
        </w:rPr>
        <w:t xml:space="preserve">transactionId</w:t>
      </w:r>
      <w:r>
        <w:t xml:space="preserve">、</w:t>
      </w:r>
      <w:r>
        <w:rPr>
          <w:rStyle w:val="VerbatimChar"/>
        </w:rPr>
        <w:t xml:space="preserve">accountId</w:t>
      </w:r>
      <w:r>
        <w:t xml:space="preserve">、</w:t>
      </w:r>
      <w:r>
        <w:rPr>
          <w:rStyle w:val="VerbatimChar"/>
        </w:rPr>
        <w:t xml:space="preserve">assetCode</w:t>
      </w:r>
      <w:r>
        <w:t xml:space="preserve"> 加 FK/@relation，并增加 </w:t>
      </w:r>
      <w:r>
        <w:rPr>
          <w:rStyle w:val="VerbatimChar"/>
        </w:rPr>
        <w:t xml:space="preserve">CHECK(amount_atomic &gt; 0)</w:t>
      </w:r>
      <w:r>
        <w:t xml:space="preserve">；</w:t>
      </w:r>
      <w:r>
        <w:rPr>
          <w:rStyle w:val="VerbatimChar"/>
        </w:rPr>
        <w:t xml:space="preserve">side</w:t>
      </w:r>
      <w:r>
        <w:t xml:space="preserve"> 使用 enum。部分退款应优先以独立 </w:t>
      </w:r>
      <w:r>
        <w:rPr>
          <w:rStyle w:val="VerbatimChar"/>
        </w:rPr>
        <w:t xml:space="preserve">RefundIntent.id</w:t>
      </w:r>
      <w:r>
        <w:t xml:space="preserve"> 作为 </w:t>
      </w:r>
      <w:r>
        <w:rPr>
          <w:rStyle w:val="VerbatimChar"/>
        </w:rPr>
        <w:t xml:space="preserve">sourceId</w:t>
      </w:r>
      <w:r>
        <w:t xml:space="preserve">，</w:t>
      </w:r>
      <w:r>
        <w:rPr>
          <w:rStyle w:val="VerbatimChar"/>
        </w:rPr>
        <w:t xml:space="preserve">sequence</w:t>
      </w:r>
      <w:r>
        <w:t xml:space="preserve"> 只用于同一业务源确有多笔同类合法交易的场景，不能由客户端任意指定。</w:t>
      </w:r>
    </w:p>
    <w:p>
      <w:pPr>
        <w:pStyle w:val="BodyText"/>
      </w:pPr>
      <w:r>
        <w:t xml:space="preserve">数据库必须通过延迟约束、受控 posting 存储过程或事务末尾的强校验保证每个 </w:t>
      </w:r>
      <w:r>
        <w:rPr>
          <w:rStyle w:val="VerbatimChar"/>
        </w:rPr>
        <w:t xml:space="preserve">transactionId + assetCode</w:t>
      </w:r>
      <w:r>
        <w:t xml:space="preserve"> 借贷相等；只依赖应用层单元测试不够。应用角色不得直接 </w:t>
      </w:r>
      <w:r>
        <w:rPr>
          <w:rStyle w:val="VerbatimChar"/>
        </w:rPr>
        <w:t xml:space="preserve">INSERT LedgerEntry</w:t>
      </w:r>
      <w:r>
        <w:t xml:space="preserve"> 或把 transaction 改为 posted，只能调用 posting 接口。数据库触发器拒绝对 posted transaction/entry 的 </w:t>
      </w:r>
      <w:r>
        <w:rPr>
          <w:rStyle w:val="VerbatimChar"/>
        </w:rPr>
        <w:t xml:space="preserve">UPDATE/DELETE</w:t>
      </w:r>
      <w:r>
        <w:t xml:space="preserve">；纠错只允许写 </w:t>
      </w:r>
      <w:r>
        <w:rPr>
          <w:rStyle w:val="VerbatimChar"/>
        </w:rPr>
        <w:t xml:space="preserve">reversalOfId</w:t>
      </w:r>
      <w:r>
        <w:t xml:space="preserve"> 反向交易。</w:t>
      </w:r>
    </w:p>
    <w:p>
      <w:pPr>
        <w:pStyle w:val="Heading4"/>
      </w:pPr>
      <w:bookmarkStart w:name="entitlementlot--consumptionallocation" w:id="48"/>
      <w:r>
        <w:t xml:space="preserve">EntitlementLot / ConsumptionAllocation</w:t>
      </w:r>
      <w:bookmarkEnd w:id="48"/>
    </w:p>
    <w:p>
      <w:pPr>
        <w:pStyle w:val="SourceCode"/>
      </w:pPr>
      <w:r>
        <w:rPr>
          <w:rStyle w:val="VerbatimChar"/>
        </w:rPr>
        <w:t xml:space="preserve">model EntitlementLot {</w:t>
      </w:r>
      <w:r>
        <w:br/>
      </w:r>
      <w:r>
        <w:rPr>
          <w:rStyle w:val="VerbatimChar"/>
        </w:rPr>
        <w:t xml:space="preserve">  id                String   @id</w:t>
      </w:r>
      <w:r>
        <w:br/>
      </w:r>
      <w:r>
        <w:rPr>
          <w:rStyle w:val="VerbatimChar"/>
        </w:rPr>
        <w:t xml:space="preserve">  userId            Int</w:t>
      </w:r>
      <w:r>
        <w:br/>
      </w:r>
      <w:r>
        <w:rPr>
          <w:rStyle w:val="VerbatimChar"/>
        </w:rPr>
        <w:t xml:space="preserve">  assetCode         String   // RP or VC</w:t>
      </w:r>
      <w:r>
        <w:br/>
      </w:r>
      <w:r>
        <w:rPr>
          <w:rStyle w:val="VerbatimChar"/>
        </w:rPr>
        <w:t xml:space="preserve">  originType        String   // checkin | invite | admin | purchase | refund</w:t>
      </w:r>
      <w:r>
        <w:br/>
      </w:r>
      <w:r>
        <w:rPr>
          <w:rStyle w:val="VerbatimChar"/>
        </w:rPr>
        <w:t xml:space="preserve">  originId          String</w:t>
      </w:r>
      <w:r>
        <w:br/>
      </w:r>
      <w:r>
        <w:rPr>
          <w:rStyle w:val="VerbatimChar"/>
        </w:rPr>
        <w:t xml:space="preserve">  grantedAtomic     BigInt</w:t>
      </w:r>
      <w:r>
        <w:br/>
      </w:r>
      <w:r>
        <w:rPr>
          <w:rStyle w:val="VerbatimChar"/>
        </w:rPr>
        <w:t xml:space="preserve">  remainingAtomic   BigInt</w:t>
      </w:r>
      <w:r>
        <w:br/>
      </w:r>
      <w:r>
        <w:rPr>
          <w:rStyle w:val="VerbatimChar"/>
        </w:rPr>
        <w:t xml:space="preserve">  valuePolicyId     String</w:t>
      </w:r>
      <w:r>
        <w:br/>
      </w:r>
      <w:r>
        <w:rPr>
          <w:rStyle w:val="VerbatimChar"/>
        </w:rPr>
        <w:t xml:space="preserve">  expiresAt         DateTime?</w:t>
      </w:r>
      <w:r>
        <w:br/>
      </w:r>
      <w:r>
        <w:rPr>
          <w:rStyle w:val="VerbatimChar"/>
        </w:rPr>
        <w:t xml:space="preserve">  createdAt        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ConsumptionAllocation {</w:t>
      </w:r>
      <w:r>
        <w:br/>
      </w:r>
      <w:r>
        <w:rPr>
          <w:rStyle w:val="VerbatimChar"/>
        </w:rPr>
        <w:t xml:space="preserve">  id             String @id</w:t>
      </w:r>
      <w:r>
        <w:br/>
      </w:r>
      <w:r>
        <w:rPr>
          <w:rStyle w:val="VerbatimChar"/>
        </w:rPr>
        <w:t xml:space="preserve">  orderId        Int</w:t>
      </w:r>
      <w:r>
        <w:br/>
      </w:r>
      <w:r>
        <w:rPr>
          <w:rStyle w:val="VerbatimChar"/>
        </w:rPr>
        <w:t xml:space="preserve">  lotId          String</w:t>
      </w:r>
      <w:r>
        <w:br/>
      </w:r>
      <w:r>
        <w:rPr>
          <w:rStyle w:val="VerbatimChar"/>
        </w:rPr>
        <w:t xml:space="preserve">  amountAtomic   BigInt</w:t>
      </w:r>
      <w:r>
        <w:br/>
      </w:r>
      <w:r>
        <w:rPr>
          <w:rStyle w:val="VerbatimChar"/>
        </w:rPr>
        <w:t xml:space="preserve">  refundRemainingAtomic BigInt</w:t>
      </w:r>
      <w:r>
        <w:br/>
      </w:r>
      <w:r>
        <w:br/>
      </w:r>
      <w:r>
        <w:rPr>
          <w:rStyle w:val="VerbatimChar"/>
        </w:rPr>
        <w:t xml:space="preserve">  @@unique([orderId, lotId])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消费顺序：先用即将到期的 </w:t>
      </w:r>
      <w:r>
        <w:rPr>
          <w:rStyle w:val="VerbatimChar"/>
        </w:rPr>
        <w:t xml:space="preserve">RP</w:t>
      </w:r>
      <w:r>
        <w:t xml:space="preserve">，再用无到期 </w:t>
      </w:r>
      <w:r>
        <w:rPr>
          <w:rStyle w:val="VerbatimChar"/>
        </w:rPr>
        <w:t xml:space="preserve">RP</w:t>
      </w:r>
      <w:r>
        <w:t xml:space="preserve">，最后用 </w:t>
      </w:r>
      <w:r>
        <w:rPr>
          <w:rStyle w:val="VerbatimChar"/>
        </w:rPr>
        <w:t xml:space="preserve">VC</w:t>
      </w:r>
      <w:r>
        <w:t xml:space="preserve">；同类按 </w:t>
      </w:r>
      <w:r>
        <w:rPr>
          <w:rStyle w:val="VerbatimChar"/>
        </w:rPr>
        <w:t xml:space="preserve">expiresAt NULLS LAST, createdAt, id</w:t>
      </w:r>
      <w:r>
        <w:t xml:space="preserve">。退款严格按 </w:t>
      </w:r>
      <w:r>
        <w:rPr>
          <w:rStyle w:val="VerbatimChar"/>
        </w:rPr>
        <w:t xml:space="preserve">ConsumptionAllocation</w:t>
      </w:r>
      <w:r>
        <w:t xml:space="preserve"> 反向恢复原 lot。</w:t>
      </w:r>
    </w:p>
    <w:p>
      <w:pPr>
        <w:pStyle w:val="Heading4"/>
      </w:pPr>
      <w:bookmarkStart w:name="orderpricingsnapshot" w:id="49"/>
      <w:r>
        <w:t xml:space="preserve">OrderPricingSnapshot</w:t>
      </w:r>
      <w:bookmarkEnd w:id="49"/>
    </w:p>
    <w:p>
      <w:pPr>
        <w:pStyle w:val="SourceCode"/>
      </w:pPr>
      <w:r>
        <w:rPr>
          <w:rStyle w:val="VerbatimChar"/>
        </w:rPr>
        <w:t xml:space="preserve">model OrderPricingSnapshot {</w:t>
      </w:r>
      <w:r>
        <w:br/>
      </w:r>
      <w:r>
        <w:rPr>
          <w:rStyle w:val="VerbatimChar"/>
        </w:rPr>
        <w:t xml:space="preserve">  orderId                  Int    @id</w:t>
      </w:r>
      <w:r>
        <w:br/>
      </w:r>
      <w:r>
        <w:rPr>
          <w:rStyle w:val="VerbatimChar"/>
        </w:rPr>
        <w:t xml:space="preserve">  pointsAssetCode          String</w:t>
      </w:r>
      <w:r>
        <w:br/>
      </w:r>
      <w:r>
        <w:rPr>
          <w:rStyle w:val="VerbatimChar"/>
        </w:rPr>
        <w:t xml:space="preserve">  pointsAmountAtomic       BigInt</w:t>
      </w:r>
      <w:r>
        <w:br/>
      </w:r>
      <w:r>
        <w:rPr>
          <w:rStyle w:val="VerbatimChar"/>
        </w:rPr>
        <w:t xml:space="preserve">  valuePolicyId            String</w:t>
      </w:r>
      <w:r>
        <w:br/>
      </w:r>
      <w:r>
        <w:rPr>
          <w:rStyle w:val="VerbatimChar"/>
        </w:rPr>
        <w:t xml:space="preserve">  referenceAssetCode       String</w:t>
      </w:r>
      <w:r>
        <w:br/>
      </w:r>
      <w:r>
        <w:rPr>
          <w:rStyle w:val="VerbatimChar"/>
        </w:rPr>
        <w:t xml:space="preserve">  referenceAmountAtomic    BigInt</w:t>
      </w:r>
      <w:r>
        <w:br/>
      </w:r>
      <w:r>
        <w:rPr>
          <w:rStyle w:val="VerbatimChar"/>
        </w:rPr>
        <w:t xml:space="preserve">  paymentAssetCode         String?</w:t>
      </w:r>
      <w:r>
        <w:br/>
      </w:r>
      <w:r>
        <w:rPr>
          <w:rStyle w:val="VerbatimChar"/>
        </w:rPr>
        <w:t xml:space="preserve">  paymentAmountAtomic      BigInt?</w:t>
      </w:r>
      <w:r>
        <w:br/>
      </w:r>
      <w:r>
        <w:rPr>
          <w:rStyle w:val="VerbatimChar"/>
        </w:rPr>
        <w:t xml:space="preserve">  fxQuoteId                String?</w:t>
      </w:r>
      <w:r>
        <w:br/>
      </w:r>
      <w:r>
        <w:rPr>
          <w:rStyle w:val="VerbatimChar"/>
        </w:rPr>
        <w:t xml:space="preserve">  feeAmountAtomic          BigInt?</w:t>
      </w:r>
      <w:r>
        <w:br/>
      </w:r>
      <w:r>
        <w:rPr>
          <w:rStyle w:val="VerbatimChar"/>
        </w:rPr>
        <w:t xml:space="preserve">  roundingAdjustmentAtomic BigInt @default(0)</w:t>
      </w:r>
      <w:r>
        <w:br/>
      </w:r>
      <w:r>
        <w:rPr>
          <w:rStyle w:val="VerbatimChar"/>
        </w:rPr>
        <w:t xml:space="preserve">  commissionPolicyVersion  Int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bookmarkStart w:name="Xe4bd6e1d930ff52428f1cff9aef341d1c011688" w:id="50"/>
      <w:r>
        <w:t xml:space="preserve">PaymentIntent / PaymentEvent / SettlementV2 / Payout</w:t>
      </w:r>
      <w:bookmarkEnd w:id="50"/>
    </w:p>
    <w:p>
      <w:pPr>
        <w:pStyle w:val="FirstParagraph"/>
      </w:pPr>
      <w:r>
        <w:t xml:space="preserve">外部支付与出款必须独立于 </w:t>
      </w:r>
      <w:r>
        <w:rPr>
          <w:rStyle w:val="VerbatimChar"/>
        </w:rPr>
        <w:t xml:space="preserve">Order</w:t>
      </w:r>
      <w:r>
        <w:t xml:space="preserve"> 和 </w:t>
      </w:r>
      <w:r>
        <w:rPr>
          <w:rStyle w:val="VerbatimChar"/>
        </w:rPr>
        <w:t xml:space="preserve">Settlement</w:t>
      </w:r>
      <w: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PaymentIntent</w:t>
      </w:r>
      <w:r>
        <w:t xml:space="preserve">：请求支付、金额、资产、provider、状态、幂等键；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PaymentEvent</w:t>
      </w:r>
      <w:r>
        <w:t xml:space="preserve">：保存 provider event ID、签名验证结果、原始 payload 哈希和处理状态；数据库唯一约束为 </w:t>
      </w:r>
      <w:r>
        <w:rPr>
          <w:rStyle w:val="VerbatimChar"/>
        </w:rPr>
        <w:t xml:space="preserve">@@unique([provider, providerEventId])</w:t>
      </w:r>
      <w: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RefundIntent</w:t>
      </w:r>
      <w:r>
        <w:t xml:space="preserve">：可部分退款，关联原 payment 与账本反向交易；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Payout</w:t>
      </w:r>
      <w:r>
        <w:t xml:space="preserve">：商家、结算资产、网络/银行目标、费用、provider ID、confirmations；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ReconciliationRecord</w:t>
      </w:r>
      <w:r>
        <w:t xml:space="preserve">：内部账本与 provider/银行/链上记录的逐笔差异。</w:t>
      </w:r>
    </w:p>
    <w:p>
      <w:pPr>
        <w:pStyle w:val="FirstParagraph"/>
      </w:pPr>
      <w:r>
        <w:rPr>
          <w:rStyle w:val="VerbatimChar"/>
        </w:rPr>
        <w:t xml:space="preserve">Settlement.status='settled'</w:t>
      </w:r>
      <w:r>
        <w:t xml:space="preserve"> 不能继续同时表示“商家积分已入账”和“外部资金已到账”。目标状态定义见第 9 节。</w:t>
      </w:r>
    </w:p>
    <w:p>
      <w:pPr>
        <w:pStyle w:val="BodyText"/>
      </w:pPr>
      <w:r>
        <w:t xml:space="preserve">真实出款阶段至少新增以下字段/关系，不能把它们塞回现有积分 </w:t>
      </w:r>
      <w:r>
        <w:rPr>
          <w:rStyle w:val="VerbatimChar"/>
        </w:rPr>
        <w:t xml:space="preserve">Settlement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model SettlementV2 {</w:t>
      </w:r>
      <w:r>
        <w:br/>
      </w:r>
      <w:r>
        <w:rPr>
          <w:rStyle w:val="VerbatimChar"/>
        </w:rPr>
        <w:t xml:space="preserve">  id                       String   @id</w:t>
      </w:r>
      <w:r>
        <w:br/>
      </w:r>
      <w:r>
        <w:rPr>
          <w:rStyle w:val="VerbatimChar"/>
        </w:rPr>
        <w:t xml:space="preserve">  orderId                  Int      @unique</w:t>
      </w:r>
      <w:r>
        <w:br/>
      </w:r>
      <w:r>
        <w:rPr>
          <w:rStyle w:val="VerbatimChar"/>
        </w:rPr>
        <w:t xml:space="preserve">  merchantId               Int</w:t>
      </w:r>
      <w:r>
        <w:br/>
      </w:r>
      <w:r>
        <w:rPr>
          <w:rStyle w:val="VerbatimChar"/>
        </w:rPr>
        <w:t xml:space="preserve">  status                   String</w:t>
      </w:r>
      <w:r>
        <w:br/>
      </w:r>
      <w:r>
        <w:rPr>
          <w:rStyle w:val="VerbatimChar"/>
        </w:rPr>
        <w:t xml:space="preserve">  referenceAssetCode       String</w:t>
      </w:r>
      <w:r>
        <w:br/>
      </w:r>
      <w:r>
        <w:rPr>
          <w:rStyle w:val="VerbatimChar"/>
        </w:rPr>
        <w:t xml:space="preserve">  grossAmountAtomic        BigInt</w:t>
      </w:r>
      <w:r>
        <w:br/>
      </w:r>
      <w:r>
        <w:rPr>
          <w:rStyle w:val="VerbatimChar"/>
        </w:rPr>
        <w:t xml:space="preserve">  commissionAmountAtomic   BigInt</w:t>
      </w:r>
      <w:r>
        <w:br/>
      </w:r>
      <w:r>
        <w:rPr>
          <w:rStyle w:val="VerbatimChar"/>
        </w:rPr>
        <w:t xml:space="preserve">  payableAmountAtomic      BigInt</w:t>
      </w:r>
      <w:r>
        <w:br/>
      </w:r>
      <w:r>
        <w:rPr>
          <w:rStyle w:val="VerbatimChar"/>
        </w:rPr>
        <w:t xml:space="preserve">  valuePolicyId            String</w:t>
      </w:r>
      <w:r>
        <w:br/>
      </w:r>
      <w:r>
        <w:rPr>
          <w:rStyle w:val="VerbatimChar"/>
        </w:rPr>
        <w:t xml:space="preserve">  commissionPolicyVersion  Int</w:t>
      </w:r>
      <w:r>
        <w:br/>
      </w:r>
      <w:r>
        <w:rPr>
          <w:rStyle w:val="VerbatimChar"/>
        </w:rPr>
        <w:t xml:space="preserve">  payableAt                DateTime?</w:t>
      </w:r>
      <w:r>
        <w:br/>
      </w:r>
      <w:r>
        <w:rPr>
          <w:rStyle w:val="VerbatimChar"/>
        </w:rPr>
        <w:t xml:space="preserve">  reversedAmountAtomic     BigInt  @default(0)</w:t>
      </w:r>
      <w:r>
        <w:br/>
      </w:r>
      <w:r>
        <w:rPr>
          <w:rStyle w:val="VerbatimChar"/>
        </w:rPr>
        <w:t xml:space="preserve">  createdAt               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Payout {</w:t>
      </w:r>
      <w:r>
        <w:br/>
      </w:r>
      <w:r>
        <w:rPr>
          <w:rStyle w:val="VerbatimChar"/>
        </w:rPr>
        <w:t xml:space="preserve">  id                     String   @id</w:t>
      </w:r>
      <w:r>
        <w:br/>
      </w:r>
      <w:r>
        <w:rPr>
          <w:rStyle w:val="VerbatimChar"/>
        </w:rPr>
        <w:t xml:space="preserve">  merchantId             Int</w:t>
      </w:r>
      <w:r>
        <w:br/>
      </w:r>
      <w:r>
        <w:rPr>
          <w:rStyle w:val="VerbatimChar"/>
        </w:rPr>
        <w:t xml:space="preserve">  settlementAssetCode    String</w:t>
      </w:r>
      <w:r>
        <w:br/>
      </w:r>
      <w:r>
        <w:rPr>
          <w:rStyle w:val="VerbatimChar"/>
        </w:rPr>
        <w:t xml:space="preserve">  amountAtomic           BigInt</w:t>
      </w:r>
      <w:r>
        <w:br/>
      </w:r>
      <w:r>
        <w:rPr>
          <w:rStyle w:val="VerbatimChar"/>
        </w:rPr>
        <w:t xml:space="preserve">  feeAmountAtomic        BigInt  @default(0)</w:t>
      </w:r>
      <w:r>
        <w:br/>
      </w:r>
      <w:r>
        <w:rPr>
          <w:rStyle w:val="VerbatimChar"/>
        </w:rPr>
        <w:t xml:space="preserve">  provider               String</w:t>
      </w:r>
      <w:r>
        <w:br/>
      </w:r>
      <w:r>
        <w:rPr>
          <w:rStyle w:val="VerbatimChar"/>
        </w:rPr>
        <w:t xml:space="preserve">  providerPayoutId       String?</w:t>
      </w:r>
      <w:r>
        <w:br/>
      </w:r>
      <w:r>
        <w:rPr>
          <w:rStyle w:val="VerbatimChar"/>
        </w:rPr>
        <w:t xml:space="preserve">  destinationFingerprint String</w:t>
      </w:r>
      <w:r>
        <w:br/>
      </w:r>
      <w:r>
        <w:rPr>
          <w:rStyle w:val="VerbatimChar"/>
        </w:rPr>
        <w:t xml:space="preserve">  status                 String</w:t>
      </w:r>
      <w:r>
        <w:br/>
      </w:r>
      <w:r>
        <w:rPr>
          <w:rStyle w:val="VerbatimChar"/>
        </w:rPr>
        <w:t xml:space="preserve">  confirmationRef        String?</w:t>
      </w:r>
      <w:r>
        <w:br/>
      </w:r>
      <w:r>
        <w:rPr>
          <w:rStyle w:val="VerbatimChar"/>
        </w:rPr>
        <w:t xml:space="preserve">  submittedAt            DateTime?</w:t>
      </w:r>
      <w:r>
        <w:br/>
      </w:r>
      <w:r>
        <w:rPr>
          <w:rStyle w:val="VerbatimChar"/>
        </w:rPr>
        <w:t xml:space="preserve">  confirmedAt            DateTime?</w:t>
      </w:r>
      <w:r>
        <w:br/>
      </w:r>
      <w:r>
        <w:rPr>
          <w:rStyle w:val="VerbatimChar"/>
        </w:rPr>
        <w:t xml:space="preserve">  failureCode            String?</w:t>
      </w:r>
      <w:r>
        <w:br/>
      </w:r>
      <w:r>
        <w:rPr>
          <w:rStyle w:val="VerbatimChar"/>
        </w:rPr>
        <w:t xml:space="preserve">  idempotencyKey         String   @unique</w:t>
      </w:r>
      <w:r>
        <w:br/>
      </w:r>
      <w:r>
        <w:rPr>
          <w:rStyle w:val="VerbatimChar"/>
        </w:rPr>
        <w:t xml:space="preserve">  createdAt              DateTime @default(now())</w:t>
      </w:r>
      <w:r>
        <w:br/>
      </w:r>
      <w:r>
        <w:br/>
      </w:r>
      <w:r>
        <w:rPr>
          <w:rStyle w:val="VerbatimChar"/>
        </w:rPr>
        <w:t xml:space="preserve">  @@unique([provider, providerPayoutId])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PayoutAllocation {</w:t>
      </w:r>
      <w:r>
        <w:br/>
      </w:r>
      <w:r>
        <w:rPr>
          <w:rStyle w:val="VerbatimChar"/>
        </w:rPr>
        <w:t xml:space="preserve">  payoutId     String</w:t>
      </w:r>
      <w:r>
        <w:br/>
      </w:r>
      <w:r>
        <w:rPr>
          <w:rStyle w:val="VerbatimChar"/>
        </w:rPr>
        <w:t xml:space="preserve">  settlementId String</w:t>
      </w:r>
      <w:r>
        <w:br/>
      </w:r>
      <w:r>
        <w:rPr>
          <w:rStyle w:val="VerbatimChar"/>
        </w:rPr>
        <w:t xml:space="preserve">  amountAtomic BigInt</w:t>
      </w:r>
      <w:r>
        <w:br/>
      </w:r>
      <w:r>
        <w:br/>
      </w:r>
      <w:r>
        <w:rPr>
          <w:rStyle w:val="VerbatimChar"/>
        </w:rPr>
        <w:t xml:space="preserve">  @@id([payoutId, settlementId])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所有状态字段仍需 enum/CHECK；所有金额需 </w:t>
      </w:r>
      <w:r>
        <w:rPr>
          <w:rStyle w:val="VerbatimChar"/>
        </w:rPr>
        <w:t xml:space="preserve">&gt; 0</w:t>
      </w:r>
      <w:r>
        <w:t xml:space="preserve"> 或按字段语义 </w:t>
      </w:r>
      <w:r>
        <w:rPr>
          <w:rStyle w:val="VerbatimChar"/>
        </w:rPr>
        <w:t xml:space="preserve">&gt;= 0</w:t>
      </w:r>
      <w:r>
        <w:t xml:space="preserve"> 的 CHECK；外键、资产一致性和 allocation 合计由 migration 约束/事务校验补齐。</w:t>
      </w:r>
    </w:p>
    <w:p>
      <w:pPr>
        <w:pStyle w:val="Heading3"/>
      </w:pPr>
      <w:bookmarkStart w:name="X2cd7942c77a5beb92cb0107f0db72186eb07ecb" w:id="51"/>
      <w:r>
        <w:t xml:space="preserve">7.3 典型分录</w:t>
      </w:r>
      <w:bookmarkEnd w:id="51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借方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贷方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发放 500 RP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平台 RP 已发行 500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用户 RP available 500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同时按规则增加 XP；XP 是独立交易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人工订单冻结 300 RP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用户 RP available 300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用户 RP frozen 300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总权益不变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人工订单释放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用户 RP frozen 300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用户 RP available 300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原交易的业务反向，不增加 XP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订单核销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用户 RP/VC 负债账户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平台已核销积分/额度账户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具体 lot 写 allocation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退款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平台已核销账户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原用户 lot/账户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关联原订单与原分录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商家应付确认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订单结算清算账户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商家 payable（本位币）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仅真实出款阶段启用；按订单 </w:t>
            </w:r>
            <w:r>
              <w:rPr>
                <w:rStyle w:val="VerbatimChar"/>
              </w:rPr>
              <w:t xml:space="preserve">valuePolicyId</w:t>
            </w:r>
            <w:r>
              <w:t xml:space="preserve"> 将积分参考值转成本位币分录</w:t>
            </w:r>
          </w:p>
        </w:tc>
      </w:tr>
    </w:tbl>
    <w:p>
      <w:pPr>
        <w:pStyle w:val="BodyText"/>
      </w:pPr>
      <w:r>
        <w:t xml:space="preserve">首期/P1 的现有 Settlement 仍以积分为单位，参考价值只用于展示与报表，不形成法币商家应付。进入真实出款阶段时，</w:t>
      </w:r>
      <w:r>
        <w:rPr>
          <w:rStyle w:val="VerbatimChar"/>
        </w:rPr>
        <w:t xml:space="preserve">SettlementV2</w:t>
      </w:r>
      <w:r>
        <w:t xml:space="preserve"> 使用订单快照中的 </w:t>
      </w:r>
      <w:r>
        <w:rPr>
          <w:rStyle w:val="VerbatimChar"/>
        </w:rPr>
        <w:t xml:space="preserve">referenceAmountAtomic</w:t>
      </w:r>
      <w:r>
        <w:t xml:space="preserve"> 计算 gross/commission/payable；跨资产实际出款另绑定 FX quote 和 Payout，不修改原应付金额。积分操作账与法定财务总账是两个层次。运营账本需产生可映射的会计事件，但最终 GL 科目、收入确认、税费和 breakage 处理由财务政策决定。</w:t>
      </w:r>
    </w:p>
    <w:p>
      <w:pPr>
        <w:pStyle w:val="Heading2"/>
      </w:pPr>
      <w:bookmarkStart w:name="X7b8ac899bf9e570b78cf19f3ee2d3b57b3dca70" w:id="52"/>
      <w:r>
        <w:t xml:space="preserve">8. 积分、成长值与会员体系</w:t>
      </w:r>
      <w:bookmarkEnd w:id="52"/>
    </w:p>
    <w:p>
      <w:pPr>
        <w:pStyle w:val="Heading3"/>
      </w:pPr>
      <w:bookmarkStart w:name="X8e4aa6f931c0d84aa5b70c8f1ae3785a7d5f56e" w:id="53"/>
      <w:r>
        <w:t xml:space="preserve">8.1 必须拆分的计量口径</w:t>
      </w:r>
      <w:bookmarkEnd w:id="53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行为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b/>
                <w:color w:val="1F3864"/>
              </w:rPr>
              <w:t xml:space="preserve">RP 余额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b/>
                <w:color w:val="1F3864"/>
              </w:rPr>
              <w:t xml:space="preserve">VC 余额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b/>
                <w:color w:val="1F3864"/>
              </w:rPr>
              <w:t xml:space="preserve">XP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b/>
                <w:color w:val="1F3864"/>
              </w:rPr>
              <w:t xml:space="preserve">排行榜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财务义务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签到/邀请奖励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增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增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计入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促销权益/待履约分析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用户购买额度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t xml:space="preserve">0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t xml:space="preserve">增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b/>
              </w:rPr>
              <w:t xml:space="preserve">0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b/>
              </w:rPr>
              <w:t xml:space="preserve">不计入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预收/合同负债候选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管理员补偿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按原因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按原因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默认 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默认不计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必须有审批与原因码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退款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t xml:space="preserve">恢复原桶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t xml:space="preserve">恢复原桶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t xml:space="preserve">0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t xml:space="preserve">不计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反向原交易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消费/冻结/释放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减/转移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减/转移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不计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按履约状态处理</w:t>
            </w:r>
          </w:p>
        </w:tc>
      </w:tr>
    </w:tbl>
    <w:p>
      <w:pPr>
        <w:pStyle w:val="BodyText"/>
      </w:pPr>
      <w:r>
        <w:t xml:space="preserve">现有 </w:t>
      </w:r>
      <w:r>
        <w:rPr>
          <w:rStyle w:val="VerbatimChar"/>
        </w:rPr>
        <w:t xml:space="preserve">PointLog.type='in'</w:t>
      </w:r>
      <w:r>
        <w:t xml:space="preserve"> 不能继续作为 XP 与排行榜的唯一判定。目标事件必须有：</w:t>
      </w:r>
    </w:p>
    <w:p>
      <w:pPr>
        <w:pStyle w:val="SourceCode"/>
      </w:pPr>
      <w:r>
        <w:rPr>
          <w:rStyle w:val="Normal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'earned_reward'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'purchased_value'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'compensation'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'migration'</w:t>
      </w:r>
      <w:r>
        <w:br/>
      </w:r>
      <w:r>
        <w:rPr>
          <w:rStyle w:val="NormalTok"/>
        </w:rPr>
        <w:t xml:space="preserve">xpEligible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leaderboardEligible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p>
      <w:pPr>
        <w:pStyle w:val="FirstParagraph"/>
      </w:pPr>
      <w:r>
        <w:t xml:space="preserve">资格由服务端原因码策略决定，管理员不能在普通发放表单中任意勾选。</w:t>
      </w:r>
    </w:p>
    <w:p>
      <w:pPr>
        <w:pStyle w:val="Heading3"/>
      </w:pPr>
      <w:bookmarkStart w:name="X730a1ad28fd1676ed139c48180704c103ef96bc" w:id="54"/>
      <w:r>
        <w:t xml:space="preserve">8.2 到期与 breakage</w:t>
      </w:r>
      <w:bookmarkEnd w:id="54"/>
    </w:p>
    <w:p>
      <w:pPr>
        <w:pStyle w:val="Compact"/>
        <w:numPr>
          <w:ilvl w:val="0"/>
          <w:numId w:val="1009"/>
        </w:numPr>
      </w:pPr>
      <w:r>
        <w:t xml:space="preserve">首期所有既有积分继续不设到期日，避免迁移时削减用户权益。</w:t>
      </w:r>
    </w:p>
    <w:p>
      <w:pPr>
        <w:pStyle w:val="Compact"/>
        <w:numPr>
          <w:ilvl w:val="0"/>
          <w:numId w:val="1009"/>
        </w:numPr>
      </w:pPr>
      <w:r>
        <w:t xml:space="preserve">新奖励积分如需到期，必须在发放前展示条款并保存 lot 到期日。</w:t>
      </w:r>
    </w:p>
    <w:p>
      <w:pPr>
        <w:pStyle w:val="Compact"/>
        <w:numPr>
          <w:ilvl w:val="0"/>
          <w:numId w:val="1009"/>
        </w:numPr>
      </w:pPr>
      <w:r>
        <w:t xml:space="preserve">购买型 VC 默认不得到期；任何到期策略必须先过法律与财务审查。</w:t>
      </w:r>
    </w:p>
    <w:p>
      <w:pPr>
        <w:pStyle w:val="Compact"/>
        <w:numPr>
          <w:ilvl w:val="0"/>
          <w:numId w:val="1009"/>
        </w:numPr>
      </w:pPr>
      <w:r>
        <w:t xml:space="preserve">过期不是删除余额，而是写 </w:t>
      </w:r>
      <w:r>
        <w:rPr>
          <w:rStyle w:val="VerbatimChar"/>
        </w:rPr>
        <w:t xml:space="preserve">expiration</w:t>
      </w:r>
      <w:r>
        <w:t xml:space="preserve"> 账本交易。</w:t>
      </w:r>
    </w:p>
    <w:p>
      <w:pPr>
        <w:pStyle w:val="Compact"/>
        <w:numPr>
          <w:ilvl w:val="0"/>
          <w:numId w:val="1009"/>
        </w:numPr>
      </w:pPr>
      <w:r>
        <w:t xml:space="preserve">对预计不核销余额的收入确认不得在收款时直接完成；应由财务依据适用会计准则和可靠历史数据制定 breakage 政策。</w:t>
      </w:r>
    </w:p>
    <w:p>
      <w:pPr>
        <w:pStyle w:val="Heading2"/>
      </w:pPr>
      <w:bookmarkStart w:name="X4ee526556cf47109144c9dcaa19de079b594a8e" w:id="55"/>
      <w:r>
        <w:t xml:space="preserve">9. 订单、退款与结算状态机</w:t>
      </w:r>
      <w:bookmarkEnd w:id="55"/>
    </w:p>
    <w:p>
      <w:pPr>
        <w:pStyle w:val="Heading3"/>
      </w:pPr>
      <w:bookmarkStart w:name="X71e03c83acf410102b82a9814c86e6163d4730e" w:id="56"/>
      <w:r>
        <w:t xml:space="preserve">9.1 结算预览与确认</w:t>
      </w:r>
      <w:bookmarkEnd w:id="56"/>
    </w:p>
    <w:p>
      <w:pPr>
        <w:pStyle w:val="SourceCode"/>
      </w:pPr>
      <w:r>
        <w:rPr>
          <w:rStyle w:val="VerbatimChar"/>
        </w:rPr>
        <w:t xml:space="preserve">GET /checkout/preview</w:t>
      </w:r>
      <w:r>
        <w:br/>
      </w:r>
      <w:r>
        <w:rPr>
          <w:rStyle w:val="VerbatimChar"/>
        </w:rPr>
        <w:t xml:space="preserve">  └─ 返回 points price + reference value + policy version</w:t>
      </w:r>
      <w:r>
        <w:br/>
      </w:r>
      <w:r>
        <w:rPr>
          <w:rStyle w:val="VerbatimChar"/>
        </w:rPr>
        <w:t xml:space="preserve">     └─ 若选择外部支付：返回 fxQuote + expiresAt + fees</w:t>
      </w:r>
      <w:r>
        <w:br/>
      </w:r>
      <w:r>
        <w:br/>
      </w:r>
      <w:r>
        <w:rPr>
          <w:rStyle w:val="VerbatimChar"/>
        </w:rPr>
        <w:t xml:space="preserve">POST /orders</w:t>
      </w:r>
      <w:r>
        <w:br/>
      </w:r>
      <w:r>
        <w:rPr>
          <w:rStyle w:val="VerbatimChar"/>
        </w:rPr>
        <w:t xml:space="preserve">  ├─ Idempotency-Key</w:t>
      </w:r>
      <w:r>
        <w:br/>
      </w:r>
      <w:r>
        <w:rPr>
          <w:rStyle w:val="VerbatimChar"/>
        </w:rPr>
        <w:t xml:space="preserve">  ├─ expectedPointsPrice</w:t>
      </w:r>
      <w:r>
        <w:br/>
      </w:r>
      <w:r>
        <w:rPr>
          <w:rStyle w:val="VerbatimChar"/>
        </w:rPr>
        <w:t xml:space="preserve">  ├─ expectedValuePolicyId</w:t>
      </w:r>
      <w:r>
        <w:br/>
      </w:r>
      <w:r>
        <w:rPr>
          <w:rStyle w:val="VerbatimChar"/>
        </w:rPr>
        <w:t xml:space="preserve">  └─ fxQuoteId? / paymentIntentId?</w:t>
      </w:r>
    </w:p>
    <w:p>
      <w:pPr>
        <w:pStyle w:val="FirstParagraph"/>
      </w:pPr>
      <w:r>
        <w:t xml:space="preserve">确认时任一字段变化均返回 409，禁止静默使用新价格、新面值或新汇率。</w:t>
      </w:r>
    </w:p>
    <w:p>
      <w:pPr>
        <w:pStyle w:val="Heading3"/>
      </w:pPr>
      <w:bookmarkStart w:name="Xddd7499e83803d14cd067d31b7b718a4f38b53e" w:id="57"/>
      <w:r>
        <w:t xml:space="preserve">9.2 资金动作矩阵</w:t>
      </w:r>
      <w:bookmarkEnd w:id="57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订单/动作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RP/VC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Ledger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Settlement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外部支付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instant 创建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立即核销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order_capture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accruing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若有则须先确认已入账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manual_service 创建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available→frozen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order_hold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holding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资金可先授权/收取，策略需固定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manual_service 完成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frozen→核销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order_capture_held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accruing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不重复扣款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拒单/取消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frozen→available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order_release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voided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未捕获则取消；已收取则退款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全额退款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恢复原 lot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order_refund_full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voided/reversing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建 RefundIntent 并对账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部分退款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按 allocation 恢复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order_refund_partial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partially_reversed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每次退款有独立幂等键</w:t>
            </w:r>
          </w:p>
        </w:tc>
      </w:tr>
    </w:tbl>
    <w:p>
      <w:pPr>
        <w:pStyle w:val="Heading3"/>
      </w:pPr>
      <w:bookmarkStart w:name="Xf0da218a5a159e4027a85e71e848a2ba01f9d02" w:id="58"/>
      <w:r>
        <w:t xml:space="preserve">9.3 Settlement 与 Payout 分离</w:t>
      </w:r>
      <w:bookmarkEnd w:id="58"/>
    </w:p>
    <w:p>
      <w:pPr>
        <w:pStyle w:val="FirstParagraph"/>
      </w:pPr>
      <w:r>
        <w:t xml:space="preserve">目标 Settlement 状态：</w:t>
      </w:r>
    </w:p>
    <w:p>
      <w:pPr>
        <w:pStyle w:val="SourceCode"/>
      </w:pPr>
      <w:r>
        <w:rPr>
          <w:rStyle w:val="VerbatimChar"/>
        </w:rPr>
        <w:t xml:space="preserve">holding -&gt; accruing -&gt; payable -&gt; payout_pending -&gt; paid</w:t>
      </w:r>
      <w:r>
        <w:br/>
      </w:r>
      <w:r>
        <w:rPr>
          <w:rStyle w:val="VerbatimChar"/>
        </w:rPr>
        <w:t xml:space="preserve">              └────&gt; voided</w:t>
      </w:r>
      <w:r>
        <w:br/>
      </w:r>
      <w:r>
        <w:rPr>
          <w:rStyle w:val="VerbatimChar"/>
        </w:rPr>
        <w:t xml:space="preserve">payable/payout_pending -&gt; reversing -&gt; reversed</w:t>
      </w:r>
      <w:r>
        <w:br/>
      </w:r>
      <w:r>
        <w:rPr>
          <w:rStyle w:val="VerbatimChar"/>
        </w:rPr>
        <w:t xml:space="preserve">payout_pending -&gt; payout_failed -&gt; payable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payable</w:t>
      </w:r>
      <w:r>
        <w:t xml:space="preserve">：业务履约完成、退款窗口/争议策略满足，可进入出款；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payout_pending</w:t>
      </w:r>
      <w:r>
        <w:t xml:space="preserve">：已向 provider 提交但尚未确认；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paid</w:t>
      </w:r>
      <w:r>
        <w:t xml:space="preserve">：provider/链上确认且已通过对账；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voided</w:t>
      </w:r>
      <w:r>
        <w:t xml:space="preserve">：从未形成应付；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reversed</w:t>
      </w:r>
      <w:r>
        <w:t xml:space="preserve">：已形成应付后因退款/拒付完成反向处理。</w:t>
      </w:r>
    </w:p>
    <w:p>
      <w:pPr>
        <w:pStyle w:val="FirstParagraph"/>
      </w:pPr>
      <w:r>
        <w:t xml:space="preserve">批量出款不沿用“任一失败则所有外部转账回滚”的假设，因为外部系统无法参加数据库事务。正确做法是：批次在本地原子冻结候选项，每笔独立提交并记录结果，批次汇总允许 </w:t>
      </w:r>
      <w:r>
        <w:rPr>
          <w:rStyle w:val="VerbatimChar"/>
        </w:rPr>
        <w:t xml:space="preserve">partial_failure</w:t>
      </w:r>
      <w:r>
        <w:t xml:space="preserve">，失败项可安全重试。</w:t>
      </w:r>
    </w:p>
    <w:p>
      <w:pPr>
        <w:pStyle w:val="Heading2"/>
      </w:pPr>
      <w:bookmarkStart w:name="Xa14aee42a6d67d33f38bfeec1fbef9a3726a28d" w:id="59"/>
      <w:r>
        <w:t xml:space="preserve">10. API 契约</w:t>
      </w:r>
      <w:bookmarkEnd w:id="59"/>
    </w:p>
    <w:p>
      <w:pPr>
        <w:pStyle w:val="Heading3"/>
      </w:pPr>
      <w:bookmarkStart w:name="X563ef28afb84c128f41b41096bdf0bb1f64cdc6" w:id="60"/>
      <w:r>
        <w:t xml:space="preserve">10.1 价值政策</w:t>
      </w:r>
      <w:bookmarkEnd w:id="60"/>
    </w:p>
    <w:p>
      <w:pPr>
        <w:pStyle w:val="FirstParagraph"/>
      </w:pPr>
      <w:r>
        <w:t xml:space="preserve">新增 API：</w:t>
      </w:r>
      <w:r>
        <w:rPr>
          <w:rStyle w:val="VerbatimChar"/>
        </w:rPr>
        <w:t xml:space="preserve">GET /api/value-policy/current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"vp_2026_01"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"perMajorUnit"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"2026-09-01T00:00:00+08:00"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"disclosure"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"积分为平台内部权益，所示金额仅为参考价值，不代表现金赎回承诺。"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name="X8bc40f0aff86e09891e5cc02cb67d62b3dfc0c6" w:id="61"/>
      <w:r>
        <w:t xml:space="preserve">10.2 结算预览</w:t>
      </w:r>
      <w:bookmarkEnd w:id="61"/>
    </w:p>
    <w:p>
      <w:pPr>
        <w:pStyle w:val="FirstParagraph"/>
      </w:pPr>
      <w:r>
        <w:t xml:space="preserve">扩展现有 API：</w:t>
      </w:r>
      <w:r>
        <w:rPr>
          <w:rStyle w:val="VerbatimChar"/>
        </w:rPr>
        <w:t xml:space="preserve">GET /api/checkout/preview?productId=...&amp;offerId=...&amp;paymentAsset=...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"amountAtomic"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"amountAtomic"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"valuePolicyId"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"vp_2026_01"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"rewardPoints"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"spendableTotal"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"allocationPreview"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"amountAtomic"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"amountAtomic"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"sufficient"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金额字段禁止返回 JSON number。旧版 </w:t>
      </w:r>
      <w:r>
        <w:rPr>
          <w:rStyle w:val="VerbatimChar"/>
        </w:rPr>
        <w:t xml:space="preserve">price: number</w:t>
      </w:r>
      <w:r>
        <w:t xml:space="preserve"> 在兼容期保留，但服务端同时返回 </w:t>
      </w:r>
      <w:r>
        <w:rPr>
          <w:rStyle w:val="VerbatimChar"/>
        </w:rPr>
        <w:t xml:space="preserve">Deprecation</w:t>
      </w:r>
      <w:r>
        <w:t xml:space="preserve">/</w:t>
      </w:r>
      <w:r>
        <w:rPr>
          <w:rStyle w:val="VerbatimChar"/>
        </w:rPr>
        <w:t xml:space="preserve">Sunset</w:t>
      </w:r>
      <w:r>
        <w:t xml:space="preserve"> 头和新结构。</w:t>
      </w:r>
    </w:p>
    <w:p>
      <w:pPr>
        <w:pStyle w:val="Heading3"/>
      </w:pPr>
      <w:bookmarkStart w:name="Xcf5025ae7e2ddae836eb0153a25101937107115" w:id="62"/>
      <w:r>
        <w:t xml:space="preserve">10.3 历史流水</w:t>
      </w:r>
      <w:bookmarkEnd w:id="62"/>
    </w:p>
    <w:p>
      <w:pPr>
        <w:pStyle w:val="FirstParagraph"/>
      </w:pPr>
      <w:r>
        <w:t xml:space="preserve">新增 API：</w:t>
      </w:r>
      <w:r>
        <w:rPr>
          <w:rStyle w:val="VerbatimChar"/>
        </w:rPr>
        <w:t xml:space="preserve">GET /api/wallet/transactions</w:t>
      </w:r>
      <w:r>
        <w:t xml:space="preserve"> 返回交易而不是裸 entry：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"ltx_..."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"order_refund_full"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"reward_points"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"amountAtomic"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"value_credits"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"amountAtomic"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"amountAtomic"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name="X6c8c6c1aeb8a1bc138f7107a726e57f6fd3ed62" w:id="63"/>
      <w:r>
        <w:t xml:space="preserve">10.4 新错误码</w:t>
      </w:r>
      <w:bookmarkEnd w:id="63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right"/>
            </w:pPr>
            <w:r>
              <w:rPr>
                <w:b/>
                <w:color w:val="1F3864"/>
              </w:rP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含义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VALUE_POLICY_CHANGED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积分面值政策变化，需重新确认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t xml:space="preserve">409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QUOTE_EXPIRED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报价过期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QUOTE_ALREADY_CONSUMED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报价已用于其他确认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t xml:space="preserve">409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IDEMPOTENCY_CONFLICT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相同键对应不同请求指纹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ASSET_NETWORK_MISMATCH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稳定币网络/合约不匹配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t xml:space="preserve">422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INSUFFICIENT_SPENDABLE_BALANCE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分桶后总可用余额不足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right"/>
            </w:pPr>
            <w:r>
              <w:t xml:space="preserve">503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PAYMENT_PROVIDER_UNAVAILABLE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支付服务不可用，未入账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right"/>
            </w:pPr>
            <w:r>
              <w:t xml:space="preserve">503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</w:rPr>
              <w:t xml:space="preserve">FX_QUOTE_UNAVAILABLE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无可靠报价，禁止猜测成交</w:t>
            </w:r>
          </w:p>
        </w:tc>
      </w:tr>
    </w:tbl>
    <w:p>
      <w:pPr>
        <w:pStyle w:val="Heading2"/>
      </w:pPr>
      <w:bookmarkStart w:name="Xdcfbc6f9fc6d80a0f809411f471e021276958a0" w:id="64"/>
      <w:r>
        <w:t xml:space="preserve">11. 前端体验</w:t>
      </w:r>
      <w:bookmarkEnd w:id="64"/>
    </w:p>
    <w:p>
      <w:pPr>
        <w:pStyle w:val="Heading3"/>
      </w:pPr>
      <w:bookmarkStart w:name="X3e5097f94cde90a0b3484d02b28b93c563d4a79" w:id="65"/>
      <w:r>
        <w:t xml:space="preserve">11.1 首期展示</w:t>
      </w:r>
      <w:bookmarkEnd w:id="65"/>
    </w:p>
    <w:p>
      <w:pPr>
        <w:pStyle w:val="Compact"/>
        <w:numPr>
          <w:ilvl w:val="0"/>
          <w:numId w:val="1011"/>
        </w:numPr>
      </w:pPr>
      <w:r>
        <w:t xml:space="preserve">商品卡：</w:t>
      </w:r>
      <w:r>
        <w:rPr>
          <w:rStyle w:val="VerbatimChar"/>
        </w:rPr>
        <w:t xml:space="preserve">1,200 积分</w:t>
      </w:r>
      <w:r>
        <w:t xml:space="preserve">，副文案 </w:t>
      </w:r>
      <w:r>
        <w:rPr>
          <w:rStyle w:val="VerbatimChar"/>
        </w:rPr>
        <w:t xml:space="preserve">参考价值 ¥12.00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结算确认：同时显示积分、参考价值、扣前/扣后余额和“积分为平台内部权益，不可提现”。</w:t>
      </w:r>
    </w:p>
    <w:p>
      <w:pPr>
        <w:pStyle w:val="Compact"/>
        <w:numPr>
          <w:ilvl w:val="0"/>
          <w:numId w:val="1011"/>
        </w:numPr>
      </w:pPr>
      <w:r>
        <w:t xml:space="preserve">个人中心：主余额仍显示积分；增加“参考价值”但不使用“现金余额”“资产”“可提现”等词。</w:t>
      </w:r>
    </w:p>
    <w:p>
      <w:pPr>
        <w:pStyle w:val="Compact"/>
        <w:numPr>
          <w:ilvl w:val="0"/>
          <w:numId w:val="1011"/>
        </w:numPr>
      </w:pPr>
      <w:r>
        <w:t xml:space="preserve">流水：明确区分“奖励获得、购买额度、冻结、支付、释放、退款、过期、迁移”。</w:t>
      </w:r>
    </w:p>
    <w:p>
      <w:pPr>
        <w:pStyle w:val="Compact"/>
        <w:numPr>
          <w:ilvl w:val="0"/>
          <w:numId w:val="1011"/>
        </w:numPr>
      </w:pPr>
      <w:r>
        <w:t xml:space="preserve">商家后台：首期仍以积分结算，但同时展示订单参考价值；未启用真实出款前不得显示“已到账 CNY”或“已到账 USDT”。</w:t>
      </w:r>
    </w:p>
    <w:p>
      <w:pPr>
        <w:pStyle w:val="Heading3"/>
      </w:pPr>
      <w:bookmarkStart w:name="X37d2a49b10411a19e0bf141687d237cde684ae0" w:id="66"/>
      <w:r>
        <w:t xml:space="preserve">11.2 未来购买型额度</w:t>
      </w:r>
      <w:bookmarkEnd w:id="66"/>
    </w:p>
    <w:p>
      <w:pPr>
        <w:pStyle w:val="FirstParagraph"/>
      </w:pPr>
      <w:r>
        <w:t xml:space="preserve">余额卡拆为：</w:t>
      </w:r>
    </w:p>
    <w:p>
      <w:pPr>
        <w:pStyle w:val="SourceCode"/>
      </w:pPr>
      <w:r>
        <w:rPr>
          <w:rStyle w:val="VerbatimChar"/>
        </w:rPr>
        <w:t xml:space="preserve">可消费合计  1,300</w:t>
      </w:r>
      <w:r>
        <w:br/>
      </w:r>
      <w:r>
        <w:rPr>
          <w:rStyle w:val="VerbatimChar"/>
        </w:rPr>
        <w:t xml:space="preserve">├─ 奖励积分    800  （不可提现）</w:t>
      </w:r>
      <w:r>
        <w:br/>
      </w:r>
      <w:r>
        <w:rPr>
          <w:rStyle w:val="VerbatimChar"/>
        </w:rPr>
        <w:t xml:space="preserve">└─ 价值额度    500  （由充值获得）</w:t>
      </w:r>
    </w:p>
    <w:p>
      <w:pPr>
        <w:pStyle w:val="FirstParagraph"/>
      </w:pPr>
      <w:r>
        <w:t xml:space="preserve">“余额不足”提供“赚积分”和“充值额度”两条路径，但充值入口受 feature flag、地区、KYC/风控和支付渠道可用性控制。</w:t>
      </w:r>
    </w:p>
    <w:p>
      <w:pPr>
        <w:pStyle w:val="Heading3"/>
      </w:pPr>
      <w:bookmarkStart w:name="X542d9da906ac34b7dda4d9a5e147657cf2627a7" w:id="67"/>
      <w:r>
        <w:t xml:space="preserve">11.3 格式化</w:t>
      </w:r>
      <w:bookmarkEnd w:id="67"/>
    </w:p>
    <w:p>
      <w:pPr>
        <w:pStyle w:val="FirstParagraph"/>
      </w:pPr>
      <w:r>
        <w:t xml:space="preserve">建立统一函数：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formatPoints(amountAtomic)</w:t>
      </w:r>
      <w: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formatMoney(assetCode, amountAtomic, locale)</w:t>
      </w:r>
      <w:r>
        <w:t xml:space="preserve">，基于 </w:t>
      </w:r>
      <w:r>
        <w:rPr>
          <w:rStyle w:val="VerbatimChar"/>
        </w:rPr>
        <w:t xml:space="preserve">Intl.NumberFormat</w:t>
      </w:r>
      <w: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formatCrypto(assetCode, amountAtomic, scale, network)</w:t>
      </w:r>
      <w: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formatRate(quote)</w:t>
      </w:r>
      <w:r>
        <w:t xml:space="preserve">。</w:t>
      </w:r>
    </w:p>
    <w:p>
      <w:pPr>
        <w:pStyle w:val="FirstParagraph"/>
      </w:pPr>
      <w:r>
        <w:t xml:space="preserve">禁止组件自行拼接 </w:t>
      </w:r>
      <w:r>
        <w:rPr>
          <w:rStyle w:val="VerbatimChar"/>
        </w:rPr>
        <w:t xml:space="preserve">+${amount}</w:t>
      </w:r>
      <w:r>
        <w:t xml:space="preserve">、货币符号或固定两位小数。无论 UI 还是导出，都以服务端资产定义为权威。</w:t>
      </w:r>
    </w:p>
    <w:p>
      <w:pPr>
        <w:pStyle w:val="Heading2"/>
      </w:pPr>
      <w:bookmarkStart w:name="X4a06fdaf69226e206e1e22da99d1e4eb6e0ad66" w:id="68"/>
      <w:r>
        <w:t xml:space="preserve">12. 安全、风控、合规与会计门禁</w:t>
      </w:r>
      <w:bookmarkEnd w:id="68"/>
    </w:p>
    <w:p>
      <w:pPr>
        <w:pStyle w:val="Heading3"/>
      </w:pPr>
      <w:bookmarkStart w:name="Xc79dcbea9c283e7a59a30ed094640ce2ea10ea3" w:id="69"/>
      <w:r>
        <w:t xml:space="preserve">12.1 首期保持的产品边界</w:t>
      </w:r>
      <w:bookmarkEnd w:id="69"/>
    </w:p>
    <w:p>
      <w:pPr>
        <w:pStyle w:val="Compact"/>
        <w:numPr>
          <w:ilvl w:val="0"/>
          <w:numId w:val="1013"/>
        </w:numPr>
      </w:pPr>
      <w:r>
        <w:t xml:space="preserve">闭环使用，仅购买 MoNexus 内商品/服务；</w:t>
      </w:r>
    </w:p>
    <w:p>
      <w:pPr>
        <w:pStyle w:val="Compact"/>
        <w:numPr>
          <w:ilvl w:val="0"/>
          <w:numId w:val="1013"/>
        </w:numPr>
      </w:pPr>
      <w:r>
        <w:t xml:space="preserve">不允许 P2P 转账、交易或场外兑换；</w:t>
      </w:r>
    </w:p>
    <w:p>
      <w:pPr>
        <w:pStyle w:val="Compact"/>
        <w:numPr>
          <w:ilvl w:val="0"/>
          <w:numId w:val="1013"/>
        </w:numPr>
      </w:pPr>
      <w:r>
        <w:t xml:space="preserve">不承诺现金赎回；</w:t>
      </w:r>
    </w:p>
    <w:p>
      <w:pPr>
        <w:pStyle w:val="Compact"/>
        <w:numPr>
          <w:ilvl w:val="0"/>
          <w:numId w:val="1013"/>
        </w:numPr>
      </w:pPr>
      <w:r>
        <w:t xml:space="preserve">不允许商家自行发行积分；</w:t>
      </w:r>
    </w:p>
    <w:p>
      <w:pPr>
        <w:pStyle w:val="Compact"/>
        <w:numPr>
          <w:ilvl w:val="0"/>
          <w:numId w:val="1013"/>
        </w:numPr>
      </w:pPr>
      <w:r>
        <w:t xml:space="preserve">管理员调账必须双人审批、原因码、附件和审计日志；</w:t>
      </w:r>
    </w:p>
    <w:p>
      <w:pPr>
        <w:pStyle w:val="Compact"/>
        <w:numPr>
          <w:ilvl w:val="0"/>
          <w:numId w:val="1013"/>
        </w:numPr>
      </w:pPr>
      <w:r>
        <w:t xml:space="preserve">限制单次、单日、单月发放与消费，异常速度触发冻结/复核。</w:t>
      </w:r>
    </w:p>
    <w:p>
      <w:pPr>
        <w:pStyle w:val="Heading3"/>
      </w:pPr>
      <w:bookmarkStart w:name="Xe8427f82e9750bc2f2ea6f0be89f3d5247e652f" w:id="70"/>
      <w:r>
        <w:t xml:space="preserve">12.2 启用真实充值前的硬门禁</w:t>
      </w:r>
      <w:bookmarkEnd w:id="70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门禁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最低要求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法务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确认闭环储值/预付卡/支付工具分类、消费者条款、退款、有效期、地域限制。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财务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确认预收款、履约、退款、breakage、税费、商家应付和 FX 损益政策。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资金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独立清算/存管方案、每日余额证明、provider 结算周期和资金缺口上限。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KYC/AML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根据产品属性和额度确定身份、制裁、交易监控、可疑活动与记录保存要求。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PSP 托管支付页/令牌化，最小化卡数据范围；webhook 签名、重放保护、密钥轮换。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运营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退款、拒付、误充、未到账、对账差异和 provider 故障 SOP。</w:t>
            </w:r>
          </w:p>
        </w:tc>
      </w:tr>
    </w:tbl>
    <w:p>
      <w:pPr>
        <w:pStyle w:val="BodyText"/>
      </w:pPr>
      <w:r>
        <w:t xml:space="preserve">中国大陆的单用途商业预付卡规则包含备案、购卡/充值条款、实名与资金管理要求；美国 FinCEN 对部分 prepaid access provider/seller 规定注册、AML、客户与交易信息义务，同时存在特定闭环和低风险豁免。是否适用取决于运营主体、行业、额度、可充值/转让/跨境等具体特征，不能仅凭“积分”命名规避。</w:t>
      </w:r>
    </w:p>
    <w:p>
      <w:pPr>
        <w:pStyle w:val="Heading3"/>
      </w:pPr>
      <w:bookmarkStart w:name="Xc3e66863d92495002d5683f1b78a440383faff7" w:id="71"/>
      <w:r>
        <w:t xml:space="preserve">12.3 USDT 专项门禁</w:t>
      </w:r>
      <w:bookmarkEnd w:id="71"/>
    </w:p>
    <w:p>
      <w:pPr>
        <w:pStyle w:val="Compact"/>
        <w:numPr>
          <w:ilvl w:val="0"/>
          <w:numId w:val="1014"/>
        </w:numPr>
      </w:pPr>
      <w:r>
        <w:t xml:space="preserve">只支持一个经过批准的首发网络；新增网络视同新增支付渠道，单独评审。</w:t>
      </w:r>
    </w:p>
    <w:p>
      <w:pPr>
        <w:pStyle w:val="Compact"/>
        <w:numPr>
          <w:ilvl w:val="0"/>
          <w:numId w:val="1014"/>
        </w:numPr>
      </w:pPr>
      <w:r>
        <w:t xml:space="preserve">配置链 ID、官方合约地址、精度、最小确认数、最小充值/出款额和网络费策略。</w:t>
      </w:r>
    </w:p>
    <w:p>
      <w:pPr>
        <w:pStyle w:val="Compact"/>
        <w:numPr>
          <w:ilvl w:val="0"/>
          <w:numId w:val="1014"/>
        </w:numPr>
      </w:pPr>
      <w:r>
        <w:t xml:space="preserve">使用合格托管/支付合作方优先于平台自管私钥；若自管，必须 HSM/MPC、冷热分离、限额与多人审批。</w:t>
      </w:r>
    </w:p>
    <w:p>
      <w:pPr>
        <w:pStyle w:val="Compact"/>
        <w:numPr>
          <w:ilvl w:val="0"/>
          <w:numId w:val="1014"/>
        </w:numPr>
      </w:pPr>
      <w:r>
        <w:t xml:space="preserve">充值地址、memo/tag、链重组、错链转入、合约冻结、制裁地址、dust 与网络拥堵均需 SOP。</w:t>
      </w:r>
    </w:p>
    <w:p>
      <w:pPr>
        <w:pStyle w:val="Compact"/>
        <w:numPr>
          <w:ilvl w:val="0"/>
          <w:numId w:val="1014"/>
        </w:numPr>
      </w:pPr>
      <w:r>
        <w:t xml:space="preserve">计价本位仍为已选定的单一法币（USD 或 CNY）；每笔 USDT 交易保存市场报价和脱锚保护阈值。</w:t>
      </w:r>
    </w:p>
    <w:p>
      <w:pPr>
        <w:pStyle w:val="Compact"/>
        <w:numPr>
          <w:ilvl w:val="0"/>
          <w:numId w:val="1014"/>
        </w:numPr>
      </w:pPr>
      <w:r>
        <w:t xml:space="preserve">若 USDT/USD 偏离阈值、报价源分歧或流动性不足，自动暂停而非按 1:1 硬成交。</w:t>
      </w:r>
    </w:p>
    <w:p>
      <w:pPr>
        <w:pStyle w:val="Heading3"/>
      </w:pPr>
      <w:bookmarkStart w:name="Xd16a455bb4a144174ca960f40d737fa1f154d30" w:id="72"/>
      <w:r>
        <w:t xml:space="preserve">12.4 会计原则</w:t>
      </w:r>
      <w:bookmarkEnd w:id="72"/>
    </w:p>
    <w:p>
      <w:pPr>
        <w:pStyle w:val="FirstParagraph"/>
      </w:pPr>
      <w:r>
        <w:t xml:space="preserve">IFRS 15/ASC 606 对礼品卡、未行使权利和忠诚计划的核心思路是：收款时尚未履约，通常先体现合同负债；预计 breakage 需要按权利行使模式或在极不可能要求履约时确认，而不是收到现金就立即确认为收入。MoNexus 必须把 operational ledger 事件映射给适用会计政策，不在业务代码里硬编码收入确认。</w:t>
      </w:r>
    </w:p>
    <w:p>
      <w:pPr>
        <w:pStyle w:val="Heading2"/>
      </w:pPr>
      <w:bookmarkStart w:name="X9f2c7a320876e703f19d068448be54211d35edf" w:id="73"/>
      <w:r>
        <w:t xml:space="preserve">13. 外部支付可靠性</w:t>
      </w:r>
      <w:bookmarkEnd w:id="73"/>
    </w:p>
    <w:p>
      <w:pPr>
        <w:pStyle w:val="Heading3"/>
      </w:pPr>
      <w:bookmarkStart w:name="X79859060cacaa3af85068dac4631261a15b02c7" w:id="74"/>
      <w:r>
        <w:t xml:space="preserve">13.1 幂等与事件收件箱</w:t>
      </w:r>
      <w:bookmarkEnd w:id="74"/>
    </w:p>
    <w:p>
      <w:pPr>
        <w:pStyle w:val="Compact"/>
        <w:numPr>
          <w:ilvl w:val="0"/>
          <w:numId w:val="1015"/>
        </w:numPr>
      </w:pPr>
      <w:r>
        <w:t xml:space="preserve">客户端 mutation 必须携带高熵 </w:t>
      </w:r>
      <w:r>
        <w:rPr>
          <w:rStyle w:val="VerbatimChar"/>
        </w:rPr>
        <w:t xml:space="preserve">Idempotency-Key</w:t>
      </w:r>
      <w:r>
        <w:t xml:space="preserve">；同键同指纹返回首次结果，同键不同指纹报冲突。</w:t>
      </w:r>
    </w:p>
    <w:p>
      <w:pPr>
        <w:pStyle w:val="Compact"/>
        <w:numPr>
          <w:ilvl w:val="0"/>
          <w:numId w:val="1015"/>
        </w:numPr>
      </w:pPr>
      <w:r>
        <w:t xml:space="preserve">provider event ID 唯一；webhook 原始 body 验签后先写 </w:t>
      </w:r>
      <w:r>
        <w:rPr>
          <w:rStyle w:val="VerbatimChar"/>
        </w:rPr>
        <w:t xml:space="preserve">PaymentEvent</w:t>
      </w:r>
      <w:r>
        <w:t xml:space="preserve">，再异步处理。</w:t>
      </w:r>
    </w:p>
    <w:p>
      <w:pPr>
        <w:pStyle w:val="Compact"/>
        <w:numPr>
          <w:ilvl w:val="0"/>
          <w:numId w:val="1015"/>
        </w:numPr>
      </w:pPr>
      <w:r>
        <w:t xml:space="preserve">任一 handler 可安全重放；账本唯一约束是最终防线。</w:t>
      </w:r>
    </w:p>
    <w:p>
      <w:pPr>
        <w:pStyle w:val="Compact"/>
        <w:numPr>
          <w:ilvl w:val="0"/>
          <w:numId w:val="1015"/>
        </w:numPr>
      </w:pPr>
      <w:r>
        <w:t xml:space="preserve">处理状态为 </w:t>
      </w:r>
      <w:r>
        <w:rPr>
          <w:rStyle w:val="VerbatimChar"/>
        </w:rPr>
        <w:t xml:space="preserve">received -&gt; verified -&gt; processing -&gt; applied/ignored/failed</w:t>
      </w:r>
      <w:r>
        <w:t xml:space="preserve">，失败保留原因与重试次数。</w:t>
      </w:r>
    </w:p>
    <w:p>
      <w:pPr>
        <w:pStyle w:val="Heading3"/>
      </w:pPr>
      <w:bookmarkStart w:name="X199c4917c7f20d9525cbbfe5bbb885df9855d18" w:id="75"/>
      <w:r>
        <w:t xml:space="preserve">13.2 Outbox</w:t>
      </w:r>
      <w:bookmarkEnd w:id="75"/>
    </w:p>
    <w:p>
      <w:pPr>
        <w:pStyle w:val="FirstParagraph"/>
      </w:pPr>
      <w:r>
        <w:t xml:space="preserve">订单/账本事务内只写 outbox，不直接依赖外部网络。worker 用 lease/claim 原子领取，发送后保存 provider request/response 哈希。超时状态未知时先查询 provider，不盲目重发出款。</w:t>
      </w:r>
    </w:p>
    <w:p>
      <w:pPr>
        <w:pStyle w:val="Heading3"/>
      </w:pPr>
      <w:bookmarkStart w:name="Xe7fa631be998f17de26d8c15e1c99fd7f9b8b2c" w:id="76"/>
      <w:r>
        <w:t xml:space="preserve">13.3 对账</w:t>
      </w:r>
      <w:bookmarkEnd w:id="76"/>
    </w:p>
    <w:p>
      <w:pPr>
        <w:pStyle w:val="FirstParagraph"/>
      </w:pPr>
      <w:r>
        <w:t xml:space="preserve">至少每日执行：</w:t>
      </w:r>
    </w:p>
    <w:p>
      <w:pPr>
        <w:pStyle w:val="SourceCode"/>
      </w:pPr>
      <w:r>
        <w:rPr>
          <w:rStyle w:val="VerbatimChar"/>
        </w:rPr>
        <w:t xml:space="preserve">provider/银行/链上明细</w:t>
      </w:r>
      <w:r>
        <w:br/>
      </w:r>
      <w:r>
        <w:rPr>
          <w:rStyle w:val="VerbatimChar"/>
        </w:rPr>
        <w:t xml:space="preserve">        ↕ 逐笔匹配（provider ID、金额、资产、时间窗）</w:t>
      </w:r>
      <w:r>
        <w:br/>
      </w:r>
      <w:r>
        <w:rPr>
          <w:rStyle w:val="VerbatimChar"/>
        </w:rPr>
        <w:t xml:space="preserve">内部 Payment/Payout/Ledger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matched / missing_external / missing_internal / amount_mismatch / asset_mismatch</w:t>
      </w:r>
    </w:p>
    <w:p>
      <w:pPr>
        <w:pStyle w:val="FirstParagraph"/>
      </w:pPr>
      <w:r>
        <w:t xml:space="preserve">任何差异不得自动用管理员加减积分“抹平”；必须创建对账 case、分配责任人、记录修复分录和审批链。</w:t>
      </w:r>
    </w:p>
    <w:p>
      <w:pPr>
        <w:pStyle w:val="Heading2"/>
      </w:pPr>
      <w:bookmarkStart w:name="X980c82db5cb21c3ca6ab16357302b03de18b3c6" w:id="77"/>
      <w:r>
        <w:t xml:space="preserve">14. 配置与治理</w:t>
      </w:r>
      <w:bookmarkEnd w:id="77"/>
    </w:p>
    <w:p>
      <w:pPr>
        <w:pStyle w:val="Heading3"/>
      </w:pPr>
      <w:bookmarkStart w:name="Xdf39194151ad432ecf0d00bb861bd15dcad3e94" w:id="78"/>
      <w:r>
        <w:t xml:space="preserve">14.1 不可变配置</w:t>
      </w:r>
      <w:bookmarkEnd w:id="78"/>
    </w:p>
    <w:p>
      <w:pPr>
        <w:pStyle w:val="FirstParagraph"/>
      </w:pPr>
      <w:r>
        <w:t xml:space="preserve">以下配置必须版本化：</w:t>
      </w:r>
    </w:p>
    <w:p>
      <w:pPr>
        <w:pStyle w:val="Compact"/>
        <w:numPr>
          <w:ilvl w:val="0"/>
          <w:numId w:val="1016"/>
        </w:numPr>
      </w:pPr>
      <w:r>
        <w:t xml:space="preserve">本位币、积分面值；</w:t>
      </w:r>
    </w:p>
    <w:p>
      <w:pPr>
        <w:pStyle w:val="Compact"/>
        <w:numPr>
          <w:ilvl w:val="0"/>
          <w:numId w:val="1016"/>
        </w:numPr>
      </w:pPr>
      <w:r>
        <w:t xml:space="preserve">资产精度、网络与合约地址；</w:t>
      </w:r>
    </w:p>
    <w:p>
      <w:pPr>
        <w:pStyle w:val="Compact"/>
        <w:numPr>
          <w:ilvl w:val="0"/>
          <w:numId w:val="1016"/>
        </w:numPr>
      </w:pPr>
      <w:r>
        <w:t xml:space="preserve">佣金与舍入政策；</w:t>
      </w:r>
    </w:p>
    <w:p>
      <w:pPr>
        <w:pStyle w:val="Compact"/>
        <w:numPr>
          <w:ilvl w:val="0"/>
          <w:numId w:val="1016"/>
        </w:numPr>
      </w:pPr>
      <w:r>
        <w:t xml:space="preserve">消费分配顺序；</w:t>
      </w:r>
    </w:p>
    <w:p>
      <w:pPr>
        <w:pStyle w:val="Compact"/>
        <w:numPr>
          <w:ilvl w:val="0"/>
          <w:numId w:val="1016"/>
        </w:numPr>
      </w:pPr>
      <w:r>
        <w:t xml:space="preserve">退款原路规则；</w:t>
      </w:r>
    </w:p>
    <w:p>
      <w:pPr>
        <w:pStyle w:val="Compact"/>
        <w:numPr>
          <w:ilvl w:val="0"/>
          <w:numId w:val="1016"/>
        </w:numPr>
      </w:pPr>
      <w:r>
        <w:t xml:space="preserve">FX 来源、点差、TTL、脱锚阈值；</w:t>
      </w:r>
    </w:p>
    <w:p>
      <w:pPr>
        <w:pStyle w:val="Compact"/>
        <w:numPr>
          <w:ilvl w:val="0"/>
          <w:numId w:val="1016"/>
        </w:numPr>
      </w:pPr>
      <w:r>
        <w:t xml:space="preserve">充值/出款限额和风控门槛。</w:t>
      </w:r>
    </w:p>
    <w:p>
      <w:pPr>
        <w:pStyle w:val="Heading3"/>
      </w:pPr>
      <w:bookmarkStart w:name="X3313223783cb7a61ad8e6bd51857d5f3c21f1b4" w:id="79"/>
      <w:r>
        <w:t xml:space="preserve">14.2 审批</w:t>
      </w:r>
      <w:bookmarkEnd w:id="79"/>
    </w:p>
    <w:p>
      <w:pPr>
        <w:pStyle w:val="FirstParagraph"/>
      </w:pPr>
      <w:r>
        <w:t xml:space="preserve">价值政策状态只能：</w:t>
      </w:r>
    </w:p>
    <w:p>
      <w:pPr>
        <w:pStyle w:val="SourceCode"/>
      </w:pPr>
      <w:r>
        <w:rPr>
          <w:rStyle w:val="VerbatimChar"/>
        </w:rPr>
        <w:t xml:space="preserve">draft -&gt; approved -&gt; scheduled -&gt; active -&gt; retired</w:t>
      </w:r>
    </w:p>
    <w:p>
      <w:pPr>
        <w:pStyle w:val="Compact"/>
        <w:numPr>
          <w:ilvl w:val="0"/>
          <w:numId w:val="1017"/>
        </w:numPr>
      </w:pPr>
      <w:r>
        <w:t xml:space="preserve">创建人与审批人不得相同；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active</w:t>
      </w:r>
      <w:r>
        <w:t xml:space="preserve"> 后不可编辑；</w:t>
      </w:r>
    </w:p>
    <w:p>
      <w:pPr>
        <w:pStyle w:val="Compact"/>
        <w:numPr>
          <w:ilvl w:val="0"/>
          <w:numId w:val="1017"/>
        </w:numPr>
      </w:pPr>
      <w:r>
        <w:t xml:space="preserve">同一时刻同一积分资产只能有一个 active policy；</w:t>
      </w:r>
    </w:p>
    <w:p>
      <w:pPr>
        <w:pStyle w:val="Compact"/>
        <w:numPr>
          <w:ilvl w:val="0"/>
          <w:numId w:val="1017"/>
        </w:numPr>
      </w:pPr>
      <w:r>
        <w:t xml:space="preserve">生效至少提前 7 天（紧急修复除外），并生成影响报告；</w:t>
      </w:r>
    </w:p>
    <w:p>
      <w:pPr>
        <w:pStyle w:val="Compact"/>
        <w:numPr>
          <w:ilvl w:val="0"/>
          <w:numId w:val="1017"/>
        </w:numPr>
      </w:pPr>
      <w:r>
        <w:t xml:space="preserve">禁止让后台管理员直接修改“100积分=1元”并立即影响存量订单。</w:t>
      </w:r>
    </w:p>
    <w:p>
      <w:pPr>
        <w:pStyle w:val="Heading2"/>
      </w:pPr>
      <w:bookmarkStart w:name="X53273f8e1e96ac3ae155c788350398ab473d938" w:id="80"/>
      <w:r>
        <w:t xml:space="preserve">15. 迁移方案</w:t>
      </w:r>
      <w:bookmarkEnd w:id="80"/>
    </w:p>
    <w:p>
      <w:pPr>
        <w:pStyle w:val="Heading3"/>
      </w:pPr>
      <w:bookmarkStart w:name="X9030925185380de1fe99b0c81ba69c223eb8c87" w:id="81"/>
      <w:r>
        <w:t xml:space="preserve">15.1 原则</w:t>
      </w:r>
      <w:bookmarkEnd w:id="81"/>
    </w:p>
    <w:p>
      <w:pPr>
        <w:pStyle w:val="Compact"/>
        <w:numPr>
          <w:ilvl w:val="0"/>
          <w:numId w:val="1018"/>
        </w:numPr>
      </w:pPr>
      <w:r>
        <w:t xml:space="preserve">先加表与双写，再切读，最后下线旧模型；</w:t>
      </w:r>
    </w:p>
    <w:p>
      <w:pPr>
        <w:pStyle w:val="Compact"/>
        <w:numPr>
          <w:ilvl w:val="0"/>
          <w:numId w:val="1018"/>
        </w:numPr>
      </w:pPr>
      <w:r>
        <w:t xml:space="preserve">不把未知历史价值伪造为某个法币金额；</w:t>
      </w:r>
    </w:p>
    <w:p>
      <w:pPr>
        <w:pStyle w:val="Compact"/>
        <w:numPr>
          <w:ilvl w:val="0"/>
          <w:numId w:val="1018"/>
        </w:numPr>
      </w:pPr>
      <w:r>
        <w:t xml:space="preserve">所有迁移可重复、可校验、可中断续跑；</w:t>
      </w:r>
    </w:p>
    <w:p>
      <w:pPr>
        <w:pStyle w:val="Compact"/>
        <w:numPr>
          <w:ilvl w:val="0"/>
          <w:numId w:val="1018"/>
        </w:numPr>
      </w:pPr>
      <w:r>
        <w:t xml:space="preserve">迁移前后用户 </w:t>
      </w:r>
      <w:r>
        <w:rPr>
          <w:rStyle w:val="VerbatimChar"/>
        </w:rPr>
        <w:t xml:space="preserve">balance/frozenBalance</w:t>
      </w:r>
      <w:r>
        <w:t xml:space="preserve"> 与订单资金状态完全一致。</w:t>
      </w:r>
    </w:p>
    <w:p>
      <w:pPr>
        <w:pStyle w:val="Heading3"/>
      </w:pPr>
      <w:bookmarkStart w:name="Xd2a00e80cb2a2f00bfbddfc4d76dc7f709551bf" w:id="82"/>
      <w:r>
        <w:t xml:space="preserve">15.2 阶段</w:t>
      </w:r>
      <w:bookmarkEnd w:id="82"/>
    </w:p>
    <w:p>
      <w:pPr>
        <w:pStyle w:val="Heading4"/>
      </w:pPr>
      <w:bookmarkStart w:name="m0数据审计与政策冻结" w:id="83"/>
      <w:r>
        <w:t xml:space="preserve">M0：数据审计与政策冻结</w:t>
      </w:r>
      <w:bookmarkEnd w:id="83"/>
    </w:p>
    <w:p>
      <w:pPr>
        <w:pStyle w:val="Compact"/>
        <w:numPr>
          <w:ilvl w:val="0"/>
          <w:numId w:val="1019"/>
        </w:numPr>
      </w:pPr>
      <w:r>
        <w:t xml:space="preserve">导出账户总余额、冻结总额、PointLog 总额、订单/Settlement 状态分布；</w:t>
      </w:r>
    </w:p>
    <w:p>
      <w:pPr>
        <w:pStyle w:val="Compact"/>
        <w:numPr>
          <w:ilvl w:val="0"/>
          <w:numId w:val="1019"/>
        </w:numPr>
      </w:pPr>
      <w:r>
        <w:t xml:space="preserve">查找负余额、孤儿日志、重复订单资金动作、已 settled 又 refunded 等异常；</w:t>
      </w:r>
    </w:p>
    <w:p>
      <w:pPr>
        <w:pStyle w:val="Compact"/>
        <w:numPr>
          <w:ilvl w:val="0"/>
          <w:numId w:val="1019"/>
        </w:numPr>
      </w:pPr>
      <w:r>
        <w:t xml:space="preserve">用生产价格与奖励数据模拟候选面值；</w:t>
      </w:r>
    </w:p>
    <w:p>
      <w:pPr>
        <w:pStyle w:val="Compact"/>
        <w:numPr>
          <w:ilvl w:val="0"/>
          <w:numId w:val="1019"/>
        </w:numPr>
      </w:pPr>
      <w:r>
        <w:t xml:space="preserve">决策委员会批准本位币、面值、披露文案和首期边界。</w:t>
      </w:r>
    </w:p>
    <w:p>
      <w:pPr>
        <w:pStyle w:val="Heading4"/>
      </w:pPr>
      <w:bookmarkStart w:name="m1影子账本" w:id="84"/>
      <w:r>
        <w:t xml:space="preserve">M1：影子账本</w:t>
      </w:r>
      <w:bookmarkEnd w:id="84"/>
    </w:p>
    <w:p>
      <w:pPr>
        <w:pStyle w:val="Compact"/>
        <w:numPr>
          <w:ilvl w:val="0"/>
          <w:numId w:val="1020"/>
        </w:numPr>
      </w:pPr>
      <w:r>
        <w:t xml:space="preserve">新增资产、价值政策、ledger、lot、pricing snapshot 表；</w:t>
      </w:r>
    </w:p>
    <w:p>
      <w:pPr>
        <w:pStyle w:val="Compact"/>
        <w:numPr>
          <w:ilvl w:val="0"/>
          <w:numId w:val="1020"/>
        </w:numPr>
      </w:pPr>
      <w:r>
        <w:t xml:space="preserve">为每个用户创建 </w:t>
      </w:r>
      <w:r>
        <w:rPr>
          <w:rStyle w:val="VerbatimChar"/>
        </w:rPr>
        <w:t xml:space="preserve">RP available/frozen</w:t>
      </w:r>
      <w:r>
        <w:t xml:space="preserve"> 账户；</w:t>
      </w:r>
    </w:p>
    <w:p>
      <w:pPr>
        <w:pStyle w:val="Compact"/>
        <w:numPr>
          <w:ilvl w:val="0"/>
          <w:numId w:val="1020"/>
        </w:numPr>
      </w:pPr>
      <w:r>
        <w:t xml:space="preserve">以一个 </w:t>
      </w:r>
      <w:r>
        <w:rPr>
          <w:rStyle w:val="VerbatimChar"/>
        </w:rPr>
        <w:t xml:space="preserve">migration_opening_balance</w:t>
      </w:r>
      <w:r>
        <w:t xml:space="preserve"> 交易导入当前余额，并保存源快照哈希；</w:t>
      </w:r>
    </w:p>
    <w:p>
      <w:pPr>
        <w:pStyle w:val="Compact"/>
        <w:numPr>
          <w:ilvl w:val="0"/>
          <w:numId w:val="1020"/>
        </w:numPr>
      </w:pPr>
      <w:r>
        <w:t xml:space="preserve">历史 PointLog 保留只读，不逐条改写；新账本 transaction 可链接旧日志 ID；</w:t>
      </w:r>
    </w:p>
    <w:p>
      <w:pPr>
        <w:pStyle w:val="Compact"/>
        <w:numPr>
          <w:ilvl w:val="0"/>
          <w:numId w:val="1020"/>
        </w:numPr>
      </w:pPr>
      <w:r>
        <w:t xml:space="preserve">每个用户创建一个 </w:t>
      </w:r>
      <w:r>
        <w:rPr>
          <w:rStyle w:val="VerbatimChar"/>
        </w:rPr>
        <w:t xml:space="preserve">MIGRATION_UNKNOWN</w:t>
      </w:r>
      <w:r>
        <w:t xml:space="preserve"> RP available lot；由于旧系统没有资金来源分桶，所有存量统一按 RP 处理；</w:t>
      </w:r>
    </w:p>
    <w:p>
      <w:pPr>
        <w:pStyle w:val="Compact"/>
        <w:numPr>
          <w:ilvl w:val="0"/>
          <w:numId w:val="1020"/>
        </w:numPr>
      </w:pPr>
      <w:r>
        <w:t xml:space="preserve">对 </w:t>
      </w:r>
      <w:r>
        <w:rPr>
          <w:rStyle w:val="VerbatimChar"/>
        </w:rPr>
        <w:t xml:space="preserve">fundsHeld=true</w:t>
      </w:r>
      <w:r>
        <w:t xml:space="preserve"> 的 holding 订单，按 </w:t>
      </w:r>
      <w:r>
        <w:rPr>
          <w:rStyle w:val="VerbatimChar"/>
        </w:rPr>
        <w:t xml:space="preserve">Order.holdingPoints</w:t>
      </w:r>
      <w:r>
        <w:t xml:space="preserve"> 创建独立 synthetic frozen lot 与 allocation；无法对应订单的剩余 frozen 进入 </w:t>
      </w:r>
      <w:r>
        <w:rPr>
          <w:rStyle w:val="VerbatimChar"/>
        </w:rPr>
        <w:t xml:space="preserve">LEGACY_FROZEN_UNALLOCATED</w:t>
      </w:r>
      <w:r>
        <w:t xml:space="preserve"> 隔离账户，禁止自动核销/退款，必须在切流前人工处置；</w:t>
      </w:r>
    </w:p>
    <w:p>
      <w:pPr>
        <w:pStyle w:val="Compact"/>
        <w:numPr>
          <w:ilvl w:val="0"/>
          <w:numId w:val="1020"/>
        </w:numPr>
      </w:pPr>
      <w:r>
        <w:t xml:space="preserve">平台对手账户写与 opening balance 等额的分录，保证每种资产每笔交易平衡。</w:t>
      </w:r>
    </w:p>
    <w:p>
      <w:pPr>
        <w:pStyle w:val="Heading4"/>
      </w:pPr>
      <w:bookmarkStart w:name="m2双写与比对" w:id="85"/>
      <w:r>
        <w:t xml:space="preserve">M2：双写与比对</w:t>
      </w:r>
      <w:bookmarkEnd w:id="85"/>
    </w:p>
    <w:p>
      <w:pPr>
        <w:pStyle w:val="Compact"/>
        <w:numPr>
          <w:ilvl w:val="0"/>
          <w:numId w:val="1021"/>
        </w:numPr>
      </w:pPr>
      <w:r>
        <w:t xml:space="preserve">现有 service 在同一数据库事务中写旧表与新 ledger/outbox；任一侧写入失败则整个业务事务回滚，禁止“先旧后新”异步补偿；</w:t>
      </w:r>
    </w:p>
    <w:p>
      <w:pPr>
        <w:pStyle w:val="Compact"/>
        <w:numPr>
          <w:ilvl w:val="0"/>
          <w:numId w:val="1021"/>
        </w:numPr>
      </w:pPr>
      <w:r>
        <w:t xml:space="preserve">旧 API 继续读 </w:t>
      </w:r>
      <w:r>
        <w:rPr>
          <w:rStyle w:val="VerbatimChar"/>
        </w:rPr>
        <w:t xml:space="preserve">PointAccount/PointLog</w:t>
      </w:r>
      <w:r>
        <w:t xml:space="preserve">；新投影影子运行；</w:t>
      </w:r>
    </w:p>
    <w:p>
      <w:pPr>
        <w:pStyle w:val="Compact"/>
        <w:numPr>
          <w:ilvl w:val="0"/>
          <w:numId w:val="1021"/>
        </w:numPr>
      </w:pPr>
      <w:r>
        <w:t xml:space="preserve">每 5 分钟比较用户余额、冻结额、订单资金状态与 Settlement 聚合；</w:t>
      </w:r>
    </w:p>
    <w:p>
      <w:pPr>
        <w:pStyle w:val="Compact"/>
        <w:numPr>
          <w:ilvl w:val="0"/>
          <w:numId w:val="1021"/>
        </w:numPr>
      </w:pPr>
      <w:r>
        <w:t xml:space="preserve">任一差异自动停止</w:t>
      </w:r>
      <w:r>
        <w:rPr>
          <w:b/>
        </w:rPr>
        <w:t xml:space="preserve">读流量切换</w:t>
      </w:r>
      <w:r>
        <w:t xml:space="preserve">并告警；不自动中断已经过验证的旧链路写入。若 ledger posting 本身异常，则关闭 mutation feature flag、保留只读并按 runbook 恢复；</w:t>
      </w:r>
    </w:p>
    <w:p>
      <w:pPr>
        <w:pStyle w:val="Compact"/>
        <w:numPr>
          <w:ilvl w:val="0"/>
          <w:numId w:val="1021"/>
        </w:numPr>
      </w:pPr>
      <w:r>
        <w:t xml:space="preserve">M0 发现的异常先写入 remediation case，经批准的修复分录/旧表修复完成且重跑审计通过后，才允许进入 M3。</w:t>
      </w:r>
    </w:p>
    <w:p>
      <w:pPr>
        <w:pStyle w:val="Heading4"/>
      </w:pPr>
      <w:bookmarkStart w:name="m3订单价值快照" w:id="86"/>
      <w:r>
        <w:t xml:space="preserve">M3：订单价值快照</w:t>
      </w:r>
      <w:bookmarkEnd w:id="86"/>
    </w:p>
    <w:p>
      <w:pPr>
        <w:pStyle w:val="Compact"/>
        <w:numPr>
          <w:ilvl w:val="0"/>
          <w:numId w:val="1022"/>
        </w:numPr>
      </w:pPr>
      <w:r>
        <w:t xml:space="preserve">新订单保存 active </w:t>
      </w:r>
      <w:r>
        <w:rPr>
          <w:rStyle w:val="VerbatimChar"/>
        </w:rPr>
        <w:t xml:space="preserve">valuePolicyId</w:t>
      </w:r>
      <w:r>
        <w:t xml:space="preserve"> 与精确 reference amount；</w:t>
      </w:r>
    </w:p>
    <w:p>
      <w:pPr>
        <w:pStyle w:val="Compact"/>
        <w:numPr>
          <w:ilvl w:val="0"/>
          <w:numId w:val="1022"/>
        </w:numPr>
      </w:pPr>
      <w:r>
        <w:t xml:space="preserve">历史订单若能由明确生效政策推导则标记 </w:t>
      </w:r>
      <w:r>
        <w:rPr>
          <w:rStyle w:val="VerbatimChar"/>
        </w:rPr>
        <w:t xml:space="preserve">MIGRATED_POLICY</w:t>
      </w:r>
      <w:r>
        <w:t xml:space="preserve">；</w:t>
      </w:r>
    </w:p>
    <w:p>
      <w:pPr>
        <w:pStyle w:val="Compact"/>
        <w:numPr>
          <w:ilvl w:val="0"/>
          <w:numId w:val="1022"/>
        </w:numPr>
      </w:pPr>
      <w:r>
        <w:t xml:space="preserve">无可靠政策的历史订单标记 </w:t>
      </w:r>
      <w:r>
        <w:rPr>
          <w:rStyle w:val="VerbatimChar"/>
        </w:rPr>
        <w:t xml:space="preserve">LEGACY_UNVALUED</w:t>
      </w:r>
      <w:r>
        <w:t xml:space="preserve">，UI 显示“历史订单无参考价值”，禁止回填假汇率。</w:t>
      </w:r>
    </w:p>
    <w:p>
      <w:pPr>
        <w:pStyle w:val="Heading4"/>
      </w:pPr>
      <w:bookmarkStart w:name="m4切读与兼容" w:id="87"/>
      <w:r>
        <w:t xml:space="preserve">M4：切读与兼容</w:t>
      </w:r>
      <w:bookmarkEnd w:id="87"/>
    </w:p>
    <w:p>
      <w:pPr>
        <w:pStyle w:val="Compact"/>
        <w:numPr>
          <w:ilvl w:val="0"/>
          <w:numId w:val="1023"/>
        </w:numPr>
      </w:pPr>
      <w:r>
        <w:t xml:space="preserve">1% 内部用户 → 10% → 50% → 100% 读取新投影；</w:t>
      </w:r>
    </w:p>
    <w:p>
      <w:pPr>
        <w:pStyle w:val="Compact"/>
        <w:numPr>
          <w:ilvl w:val="0"/>
          <w:numId w:val="1023"/>
        </w:numPr>
      </w:pPr>
      <w:r>
        <w:t xml:space="preserve">每档至少覆盖一个退款、人工冻结/释放、cron close 和批量结算周期；</w:t>
      </w:r>
    </w:p>
    <w:p>
      <w:pPr>
        <w:pStyle w:val="Compact"/>
        <w:numPr>
          <w:ilvl w:val="0"/>
          <w:numId w:val="1023"/>
        </w:numPr>
      </w:pPr>
      <w:r>
        <w:t xml:space="preserve">旧 </w:t>
      </w:r>
      <w:r>
        <w:rPr>
          <w:rStyle w:val="VerbatimChar"/>
        </w:rPr>
        <w:t xml:space="preserve">PointLog</w:t>
      </w:r>
      <w:r>
        <w:t xml:space="preserve"> 变为兼容投影，停止作为权威账本；</w:t>
      </w:r>
    </w:p>
    <w:p>
      <w:pPr>
        <w:pStyle w:val="Compact"/>
        <w:numPr>
          <w:ilvl w:val="0"/>
          <w:numId w:val="1023"/>
        </w:numPr>
      </w:pPr>
      <w:r>
        <w:t xml:space="preserve">在 M5 之前可把</w:t>
      </w:r>
      <w:r>
        <w:rPr>
          <w:b/>
        </w:rPr>
        <w:t xml:space="preserve">读取</w:t>
      </w:r>
      <w:r>
        <w:t xml:space="preserve">切回旧投影；写入始终维持同事务双写，不回滚已 posted ledger entries；</w:t>
      </w:r>
    </w:p>
    <w:p>
      <w:pPr>
        <w:pStyle w:val="Compact"/>
        <w:numPr>
          <w:ilvl w:val="0"/>
          <w:numId w:val="1023"/>
        </w:numPr>
      </w:pPr>
      <w:r>
        <w:t xml:space="preserve">M5 开始产生 VC/XP 或新状态后为不可逆语义切换：禁止恢复旧写模型。故障时关闭新 feature、保持只读或 forward-fix；不得把新账本强行压回 </w:t>
      </w:r>
      <w:r>
        <w:rPr>
          <w:rStyle w:val="VerbatimChar"/>
        </w:rPr>
        <w:t xml:space="preserve">PointLog</w:t>
      </w:r>
      <w:r>
        <w:t xml:space="preserve"> 五种旧类型。</w:t>
      </w:r>
    </w:p>
    <w:p>
      <w:pPr>
        <w:pStyle w:val="Heading4"/>
      </w:pPr>
      <w:bookmarkStart w:name="m5语义拆分" w:id="88"/>
      <w:r>
        <w:t xml:space="preserve">M5：语义拆分</w:t>
      </w:r>
      <w:bookmarkEnd w:id="88"/>
    </w:p>
    <w:p>
      <w:pPr>
        <w:pStyle w:val="Compact"/>
        <w:numPr>
          <w:ilvl w:val="0"/>
          <w:numId w:val="1024"/>
        </w:numPr>
      </w:pPr>
      <w:r>
        <w:t xml:space="preserve">新奖励写 RP 与 XP 两笔关联交易；</w:t>
      </w:r>
    </w:p>
    <w:p>
      <w:pPr>
        <w:pStyle w:val="Compact"/>
        <w:numPr>
          <w:ilvl w:val="0"/>
          <w:numId w:val="1024"/>
        </w:numPr>
      </w:pPr>
      <w:r>
        <w:t xml:space="preserve">购买型 VC feature flag 仍为 off；</w:t>
      </w:r>
    </w:p>
    <w:p>
      <w:pPr>
        <w:pStyle w:val="Compact"/>
        <w:numPr>
          <w:ilvl w:val="0"/>
          <w:numId w:val="1024"/>
        </w:numPr>
      </w:pPr>
      <w:r>
        <w:t xml:space="preserve">排行榜改读 XP 或 </w:t>
      </w:r>
      <w:r>
        <w:rPr>
          <w:rStyle w:val="VerbatimChar"/>
        </w:rPr>
        <w:t xml:space="preserve">leaderboardEligible</w:t>
      </w:r>
      <w:r>
        <w:t xml:space="preserve"> 事件；</w:t>
      </w:r>
    </w:p>
    <w:p>
      <w:pPr>
        <w:pStyle w:val="Compact"/>
        <w:numPr>
          <w:ilvl w:val="0"/>
          <w:numId w:val="1024"/>
        </w:numPr>
      </w:pPr>
      <w:r>
        <w:t xml:space="preserve">商家 PointAccount 不再作为未来真实出款账户。</w:t>
      </w:r>
    </w:p>
    <w:p>
      <w:pPr>
        <w:pStyle w:val="Heading3"/>
      </w:pPr>
      <w:bookmarkStart w:name="Xc39641d9d1e1855b9394cdbb31d74864d3ee351" w:id="89"/>
      <w:r>
        <w:t xml:space="preserve">15.3 迁移验算</w:t>
      </w:r>
      <w:bookmarkEnd w:id="89"/>
    </w:p>
    <w:p>
      <w:pPr>
        <w:pStyle w:val="SourceCode"/>
      </w:pPr>
      <w:r>
        <w:rPr>
          <w:rStyle w:val="VerbatimChar"/>
        </w:rPr>
        <w:t xml:space="preserve">Σ legacy balance        = Σ new RP available</w:t>
      </w:r>
      <w:r>
        <w:br/>
      </w:r>
      <w:r>
        <w:rPr>
          <w:rStyle w:val="VerbatimChar"/>
        </w:rPr>
        <w:t xml:space="preserve">Σ legacy frozenBalance  = Σ new RP frozen</w:t>
      </w:r>
      <w:r>
        <w:br/>
      </w:r>
      <w:r>
        <w:rPr>
          <w:rStyle w:val="VerbatimChar"/>
        </w:rPr>
        <w:t xml:space="preserve">每个用户 legacy balance/frozen = 新投影对应余额</w:t>
      </w:r>
      <w:r>
        <w:br/>
      </w:r>
      <w:r>
        <w:rPr>
          <w:rStyle w:val="VerbatimChar"/>
        </w:rPr>
        <w:t xml:space="preserve">每个 holding 订单的 holdingPoints = 对应冻结 allocation</w:t>
      </w:r>
      <w:r>
        <w:br/>
      </w:r>
      <w:r>
        <w:rPr>
          <w:rStyle w:val="VerbatimChar"/>
        </w:rPr>
        <w:t xml:space="preserve">每个历史 settled/refunded 订单最多一个权威资金终态</w:t>
      </w:r>
      <w:r>
        <w:br/>
      </w:r>
      <w:r>
        <w:rPr>
          <w:rStyle w:val="VerbatimChar"/>
        </w:rPr>
        <w:t xml:space="preserve">每种资产每笔交易借方 = 贷方</w:t>
      </w:r>
    </w:p>
    <w:p>
      <w:pPr>
        <w:pStyle w:val="FirstParagraph"/>
      </w:pPr>
      <w:r>
        <w:t xml:space="preserve">验算报告保存到对象存储并记录 SHA-256、生成时间、代码版本、数据库快照 ID 和审批人。</w:t>
      </w:r>
    </w:p>
    <w:p>
      <w:pPr>
        <w:pStyle w:val="Heading2"/>
      </w:pPr>
      <w:bookmarkStart w:name="X10332f8461f67dbbfeb0ef64eb3194b8f0979d5" w:id="90"/>
      <w:r>
        <w:t xml:space="preserve">16. 分阶段交付</w:t>
      </w:r>
      <w:bookmarkEnd w:id="90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合规风险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出口条件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政策决策、数据审计、UI 参考价值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面值获批；披露文案获批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P1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不可变 ledger、lot、pricing snapshot、双写迁移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低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30 天零未解释差异；并发/退款测试通过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XP/排行榜拆分、商家应付模型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财务映射与 Settlement 状态获批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P3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用户购买型 VC，单一法币支付渠道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高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法务/财务/资金/KYC/安全/运营六门禁通过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商家法币出款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provider 对账与失败重试演练通过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P5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单网络 USDT 可行性验证与独立上线决策；默认不启用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很高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稳定币专项法律意见、牌照/合作模式、托管和链上 SOP 通过后另批</w:t>
            </w:r>
          </w:p>
        </w:tc>
      </w:tr>
    </w:tbl>
    <w:p>
      <w:pPr>
        <w:pStyle w:val="BodyText"/>
      </w:pPr>
      <w:r>
        <w:t xml:space="preserve">任何后续阶段不得为了进度跳过前一阶段的对账与合规出口条件。</w:t>
      </w:r>
    </w:p>
    <w:p>
      <w:pPr>
        <w:pStyle w:val="Heading2"/>
      </w:pPr>
      <w:bookmarkStart w:name="X94b536259259335e76fc8f739fb1c79382a04ed" w:id="91"/>
      <w:r>
        <w:t xml:space="preserve">17. 测试与验收</w:t>
      </w:r>
      <w:bookmarkEnd w:id="91"/>
    </w:p>
    <w:p>
      <w:pPr>
        <w:pStyle w:val="Heading3"/>
      </w:pPr>
      <w:bookmarkStart w:name="X6d86bade973743dd0cff443401f6a280fe10124" w:id="92"/>
      <w:r>
        <w:t xml:space="preserve">17.1 单元/属性测试</w:t>
      </w:r>
      <w:bookmarkEnd w:id="92"/>
    </w:p>
    <w:p>
      <w:pPr>
        <w:pStyle w:val="Compact"/>
        <w:numPr>
          <w:ilvl w:val="0"/>
          <w:numId w:val="1025"/>
        </w:numPr>
      </w:pPr>
      <w:r>
        <w:t xml:space="preserve">任意合法交易生成的每种资产借贷和为零；</w:t>
      </w:r>
    </w:p>
    <w:p>
      <w:pPr>
        <w:pStyle w:val="Compact"/>
        <w:numPr>
          <w:ilvl w:val="0"/>
          <w:numId w:val="1025"/>
        </w:numPr>
      </w:pPr>
      <w:r>
        <w:t xml:space="preserve">任意冻结后释放，用户总权益不变；</w:t>
      </w:r>
    </w:p>
    <w:p>
      <w:pPr>
        <w:pStyle w:val="Compact"/>
        <w:numPr>
          <w:ilvl w:val="0"/>
          <w:numId w:val="1025"/>
        </w:numPr>
      </w:pPr>
      <w:r>
        <w:t xml:space="preserve">任意消费后全额退款，所有 lot 恢复到消费前状态；</w:t>
      </w:r>
    </w:p>
    <w:p>
      <w:pPr>
        <w:pStyle w:val="Compact"/>
        <w:numPr>
          <w:ilvl w:val="0"/>
          <w:numId w:val="1025"/>
        </w:numPr>
      </w:pPr>
      <w:r>
        <w:t xml:space="preserve">随机金额/汇率/精度下只产生定义内舍入，且误差进入 rounding account；</w:t>
      </w:r>
    </w:p>
    <w:p>
      <w:pPr>
        <w:pStyle w:val="Compact"/>
        <w:numPr>
          <w:ilvl w:val="0"/>
          <w:numId w:val="1025"/>
        </w:numPr>
      </w:pPr>
      <w:r>
        <w:t xml:space="preserve">超过 JS safe integer 的金额仍能精确往返 API/DB；</w:t>
      </w:r>
    </w:p>
    <w:p>
      <w:pPr>
        <w:pStyle w:val="Compact"/>
        <w:numPr>
          <w:ilvl w:val="0"/>
          <w:numId w:val="1025"/>
        </w:numPr>
      </w:pPr>
      <w:r>
        <w:t xml:space="preserve">policy/commission/fx quote 快照重放得到相同结果。</w:t>
      </w:r>
    </w:p>
    <w:p>
      <w:pPr>
        <w:pStyle w:val="Heading3"/>
      </w:pPr>
      <w:bookmarkStart w:name="X116aa841ea7bbfc7f03f7253c975f679337527e" w:id="93"/>
      <w:r>
        <w:t xml:space="preserve">17.2 并发与故障注入</w:t>
      </w:r>
      <w:bookmarkEnd w:id="93"/>
    </w:p>
    <w:p>
      <w:pPr>
        <w:pStyle w:val="Compact"/>
        <w:numPr>
          <w:ilvl w:val="0"/>
          <w:numId w:val="1026"/>
        </w:numPr>
      </w:pPr>
      <w:r>
        <w:t xml:space="preserve">同余额 100 并发下单不能超支；</w:t>
      </w:r>
    </w:p>
    <w:p>
      <w:pPr>
        <w:pStyle w:val="Compact"/>
        <w:numPr>
          <w:ilvl w:val="0"/>
          <w:numId w:val="1026"/>
        </w:numPr>
      </w:pPr>
      <w:r>
        <w:t xml:space="preserve">同幂等键 100 次只产生一笔订单、一笔 ledger transaction；</w:t>
      </w:r>
    </w:p>
    <w:p>
      <w:pPr>
        <w:pStyle w:val="Compact"/>
        <w:numPr>
          <w:ilvl w:val="0"/>
          <w:numId w:val="1026"/>
        </w:numPr>
      </w:pPr>
      <w:r>
        <w:t xml:space="preserve">相同 provider event 并发投递 100 次只入账一次；</w:t>
      </w:r>
    </w:p>
    <w:p>
      <w:pPr>
        <w:pStyle w:val="Compact"/>
        <w:numPr>
          <w:ilvl w:val="0"/>
          <w:numId w:val="1026"/>
        </w:numPr>
      </w:pPr>
      <w:r>
        <w:t xml:space="preserve">DB commit 成功但 HTTP 超时后重试返回同一结果；</w:t>
      </w:r>
    </w:p>
    <w:p>
      <w:pPr>
        <w:pStyle w:val="Compact"/>
        <w:numPr>
          <w:ilvl w:val="0"/>
          <w:numId w:val="1026"/>
        </w:numPr>
      </w:pPr>
      <w:r>
        <w:t xml:space="preserve">provider 超时、500、乱序 webhook、重复 webhook、延迟退款均不重复记账；</w:t>
      </w:r>
    </w:p>
    <w:p>
      <w:pPr>
        <w:pStyle w:val="Compact"/>
        <w:numPr>
          <w:ilvl w:val="0"/>
          <w:numId w:val="1026"/>
        </w:numPr>
      </w:pPr>
      <w:r>
        <w:t xml:space="preserve">outbox worker 崩溃恢复后不重复出款；</w:t>
      </w:r>
    </w:p>
    <w:p>
      <w:pPr>
        <w:pStyle w:val="Compact"/>
        <w:numPr>
          <w:ilvl w:val="0"/>
          <w:numId w:val="1026"/>
        </w:numPr>
      </w:pPr>
      <w:r>
        <w:t xml:space="preserve">链重组/确认数下降时不提前记为最终到账。</w:t>
      </w:r>
    </w:p>
    <w:p>
      <w:pPr>
        <w:pStyle w:val="Heading3"/>
      </w:pPr>
      <w:bookmarkStart w:name="X02f2ec478b25a2394a917261bf8a275bfd7d687" w:id="94"/>
      <w:r>
        <w:t xml:space="preserve">17.3 迁移验收</w:t>
      </w:r>
      <w:bookmarkEnd w:id="94"/>
    </w:p>
    <w:p>
      <w:pPr>
        <w:pStyle w:val="Compact"/>
        <w:numPr>
          <w:ilvl w:val="0"/>
          <w:numId w:val="1027"/>
        </w:numPr>
      </w:pPr>
      <w:r>
        <w:t xml:space="preserve">全量账户逐户相等，聚合相等；</w:t>
      </w:r>
    </w:p>
    <w:p>
      <w:pPr>
        <w:pStyle w:val="Compact"/>
        <w:numPr>
          <w:ilvl w:val="0"/>
          <w:numId w:val="1027"/>
        </w:numPr>
      </w:pPr>
      <w:r>
        <w:t xml:space="preserve">不存在负 available/frozen；</w:t>
      </w:r>
    </w:p>
    <w:p>
      <w:pPr>
        <w:pStyle w:val="Compact"/>
        <w:numPr>
          <w:ilvl w:val="0"/>
          <w:numId w:val="1027"/>
        </w:numPr>
      </w:pPr>
      <w:r>
        <w:t xml:space="preserve">所有新订单都有 pricing snapshot；</w:t>
      </w:r>
    </w:p>
    <w:p>
      <w:pPr>
        <w:pStyle w:val="Compact"/>
        <w:numPr>
          <w:ilvl w:val="0"/>
          <w:numId w:val="1027"/>
        </w:numPr>
      </w:pPr>
      <w:r>
        <w:t xml:space="preserve">历史未知价值明确标记，不伪造；</w:t>
      </w:r>
    </w:p>
    <w:p>
      <w:pPr>
        <w:pStyle w:val="Compact"/>
        <w:numPr>
          <w:ilvl w:val="0"/>
          <w:numId w:val="1027"/>
        </w:numPr>
      </w:pPr>
      <w:r>
        <w:t xml:space="preserve">双写 30 天差异为 0，或所有差异有已批准的解释与修复分录。</w:t>
      </w:r>
    </w:p>
    <w:p>
      <w:pPr>
        <w:pStyle w:val="Heading3"/>
      </w:pPr>
      <w:bookmarkStart w:name="X5e90c51633f1da63b6916fc81599d06a0797a44" w:id="95"/>
      <w:r>
        <w:t xml:space="preserve">17.4 产品验收</w:t>
      </w:r>
      <w:bookmarkEnd w:id="95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验收标准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AC-01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P0：同一 offer 的商品卡、详情、checkout preview、创建结果与订单详情断言相同 </w:t>
            </w:r>
            <w:r>
              <w:rPr>
                <w:rStyle w:val="VerbatimChar"/>
              </w:rPr>
              <w:t xml:space="preserve">points.amountAtomic</w:t>
            </w:r>
            <w:r>
              <w:t xml:space="preserve">、</w:t>
            </w:r>
            <w:r>
              <w:rPr>
                <w:rStyle w:val="VerbatimChar"/>
              </w:rPr>
              <w:t xml:space="preserve">reference.amountAtomic</w:t>
            </w:r>
            <w:r>
              <w:t xml:space="preserve">、</w:t>
            </w:r>
            <w:r>
              <w:rPr>
                <w:rStyle w:val="VerbatimChar"/>
              </w:rPr>
              <w:t xml:space="preserve">valuePolicyId</w:t>
            </w:r>
            <w:r>
              <w:t xml:space="preserve">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AC-02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P0：提交过期/非 active </w:t>
            </w:r>
            <w:r>
              <w:rPr>
                <w:rStyle w:val="VerbatimChar"/>
              </w:rPr>
              <w:t xml:space="preserve">valuePolicyId</w:t>
            </w:r>
            <w:r>
              <w:t xml:space="preserve"> 或 FX quote 时分别返回 </w:t>
            </w:r>
            <w:r>
              <w:rPr>
                <w:rStyle w:val="VerbatimChar"/>
              </w:rPr>
              <w:t xml:space="preserve">VALUE_POLICY_CHANGED</w:t>
            </w:r>
            <w:r>
              <w:t xml:space="preserve">/</w:t>
            </w:r>
            <w:r>
              <w:rPr>
                <w:rStyle w:val="VerbatimChar"/>
              </w:rPr>
              <w:t xml:space="preserve">QUOTE_EXPIRED</w:t>
            </w:r>
            <w:r>
              <w:t xml:space="preserve">，且订单数、ledger entry 数均不变。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AC-03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P3（VC feature flag）：充值只增加 VC，XP 与排行榜快照前后相等；API/UI 分别展示 RP、VC 和 spendable total。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AC-04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P1：混合 RP/VC 订单全额与部分退款后，逐个 </w:t>
            </w:r>
            <w:r>
              <w:rPr>
                <w:rStyle w:val="VerbatimChar"/>
              </w:rPr>
              <w:t xml:space="preserve">ConsumptionAllocation.refundRemainingAtomic</w:t>
            </w:r>
            <w:r>
              <w:t xml:space="preserve"> 和原 lot 余额精确匹配，XP 不变。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AC-05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P4：商家后台依据状态枚举展示 payable/payout_pending/paid/payout_failed/reversed；只有 provider 确认且对账 matched 才显示 paid。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AC-06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P5：所有 USDT 报价、地址、确认和历史记录均断言 asset code、network、contract fingerprint；缺任一字段拒绝提交。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AC-07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兼容期：旧字段至少保留两个已发布客户端版本且不少于 90 天；Sunset 日期通过响应头公告，Sunset 后旧 mutation 返回 426 </w:t>
            </w:r>
            <w:r>
              <w:rPr>
                <w:rStyle w:val="VerbatimChar"/>
              </w:rPr>
              <w:t xml:space="preserve">CLIENT_UPGRADE_REQUIRED</w:t>
            </w:r>
            <w:r>
              <w:t xml:space="preserve">。</w:t>
            </w:r>
          </w:p>
        </w:tc>
      </w:tr>
    </w:tbl>
    <w:p>
      <w:pPr>
        <w:pStyle w:val="Heading2"/>
      </w:pPr>
      <w:bookmarkStart w:name="X50504de5d933935cc9aadb37a912b5b135f214d" w:id="96"/>
      <w:r>
        <w:t xml:space="preserve">18. 可观测性与告警</w:t>
      </w:r>
      <w:bookmarkEnd w:id="96"/>
    </w:p>
    <w:p>
      <w:pPr>
        <w:pStyle w:val="Heading3"/>
      </w:pPr>
      <w:bookmarkStart w:name="X882b6f5c651eacac3e471be9ce6759c813b9969" w:id="97"/>
      <w:r>
        <w:t xml:space="preserve">18.1 指标</w:t>
      </w:r>
      <w:bookmarkEnd w:id="97"/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ledger_unbalanced_transaction_total</w:t>
      </w:r>
      <w:r>
        <w:t xml:space="preserve">（必须恒为 0）；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balance_projection_mismatch_total</w:t>
      </w:r>
      <w:r>
        <w:t xml:space="preserve">；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payment_event_duplicate_total</w:t>
      </w:r>
      <w:r>
        <w:t xml:space="preserve">；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payment_event_processing_lag_seconds</w:t>
      </w:r>
      <w:r>
        <w:t xml:space="preserve">；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reconciliation_difference_total{type,asset}</w:t>
      </w:r>
      <w:r>
        <w:t xml:space="preserve">；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fx_quote_expired_total</w:t>
      </w:r>
      <w:r>
        <w:t xml:space="preserve">、</w:t>
      </w:r>
      <w:r>
        <w:rPr>
          <w:rStyle w:val="VerbatimChar"/>
        </w:rPr>
        <w:t xml:space="preserve">fx_source_divergence_bps</w:t>
      </w:r>
      <w:r>
        <w:t xml:space="preserve">；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payout_pending_age_seconds</w:t>
      </w:r>
      <w:r>
        <w:t xml:space="preserve">、</w:t>
      </w:r>
      <w:r>
        <w:rPr>
          <w:rStyle w:val="VerbatimChar"/>
        </w:rPr>
        <w:t xml:space="preserve">payout_failure_total</w:t>
      </w:r>
      <w:r>
        <w:t xml:space="preserve">；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stablecoin_depeg_bps</w:t>
      </w:r>
      <w:r>
        <w:t xml:space="preserve">、</w:t>
      </w:r>
      <w:r>
        <w:rPr>
          <w:rStyle w:val="VerbatimChar"/>
        </w:rPr>
        <w:t xml:space="preserve">chain_confirmation_lag</w:t>
      </w:r>
      <w:r>
        <w:t xml:space="preserve">；</w:t>
      </w:r>
    </w:p>
    <w:p>
      <w:pPr>
        <w:pStyle w:val="Compact"/>
        <w:numPr>
          <w:ilvl w:val="0"/>
          <w:numId w:val="1028"/>
        </w:numPr>
      </w:pPr>
      <w:r>
        <w:t xml:space="preserve">各资产用户负债、商家应付、provider clearing 与储备覆盖率。</w:t>
      </w:r>
    </w:p>
    <w:p>
      <w:pPr>
        <w:pStyle w:val="Heading3"/>
      </w:pPr>
      <w:bookmarkStart w:name="X975c8fdb9895c6af0fe09c45e2d24c8bc8cc56a" w:id="98"/>
      <w:r>
        <w:t xml:space="preserve">18.2 P0 告警</w:t>
      </w:r>
      <w:bookmarkEnd w:id="98"/>
    </w:p>
    <w:p>
      <w:pPr>
        <w:pStyle w:val="Compact"/>
        <w:numPr>
          <w:ilvl w:val="0"/>
          <w:numId w:val="1029"/>
        </w:numPr>
      </w:pPr>
      <w:r>
        <w:t xml:space="preserve">不平账或投影差异：立即 P0，暂停所有写入；</w:t>
      </w:r>
    </w:p>
    <w:p>
      <w:pPr>
        <w:pStyle w:val="Compact"/>
        <w:numPr>
          <w:ilvl w:val="0"/>
          <w:numId w:val="1029"/>
        </w:numPr>
      </w:pPr>
      <w:r>
        <w:t xml:space="preserve">重复外部出款：立即 P0，暂停出款渠道；</w:t>
      </w:r>
    </w:p>
    <w:p>
      <w:pPr>
        <w:pStyle w:val="Compact"/>
        <w:numPr>
          <w:ilvl w:val="0"/>
          <w:numId w:val="1029"/>
        </w:numPr>
      </w:pPr>
      <w:r>
        <w:t xml:space="preserve">储备/清算覆盖不足：立即 P0，暂停充值与出款；</w:t>
      </w:r>
    </w:p>
    <w:p>
      <w:pPr>
        <w:pStyle w:val="Compact"/>
        <w:numPr>
          <w:ilvl w:val="0"/>
          <w:numId w:val="1029"/>
        </w:numPr>
      </w:pPr>
      <w:r>
        <w:t xml:space="preserve">USDT 脱锚或报价源分歧超过政策阈值：立即暂停 USDT 报价；</w:t>
      </w:r>
    </w:p>
    <w:p>
      <w:pPr>
        <w:pStyle w:val="Compact"/>
        <w:numPr>
          <w:ilvl w:val="0"/>
          <w:numId w:val="1029"/>
        </w:numPr>
      </w:pPr>
      <w:r>
        <w:t xml:space="preserve">对账差异超过 24 小时未解决：升级财务与技术负责人。</w:t>
      </w:r>
    </w:p>
    <w:p>
      <w:pPr>
        <w:pStyle w:val="Heading2"/>
      </w:pPr>
      <w:bookmarkStart w:name="X16dadf74a9541e0025da6720ccddce31ceac56f" w:id="99"/>
      <w:r>
        <w:t xml:space="preserve">19. 风险登记</w:t>
      </w:r>
      <w:bookmarkEnd w:id="99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概率/影响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缓解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用户把参考价值理解为提现承诺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中/高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明确披露；不用“现金余额”；首期不可赎回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运营人员随意改面值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中/高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版本化政策、双人审批、未来生效、影响报告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充值污染等级/排行榜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高/中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RP/VC/XP 分离；资格事件显式字段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退款进入错误分桶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中/高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lot allocation；原交易反向；属性测试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JavaScript number 精度丢失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中/高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API string + DB BigInt/NUMERIC + decimal 库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外部回调重复或乱序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高/高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inbox、唯一事件 ID、幂等 ledger、状态机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Settlement 把“已请求”误当“到账”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中/高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Settlement/Payout 分离；provider 确认 + 对账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USDT 错链、冻结或脱锚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中/很高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单网络白名单、托管优先、阈值暂停、人工隔离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预付价值监管属性变化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中/很高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分阶段 feature flag；上线前书面法律意见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breakage 过早确认收入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中/高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财务政策与历史数据；operational ledger 不硬编码收入</w:t>
            </w:r>
          </w:p>
        </w:tc>
      </w:tr>
    </w:tbl>
    <w:p>
      <w:pPr>
        <w:pStyle w:val="Heading2"/>
      </w:pPr>
      <w:bookmarkStart w:name="X6738ba7c9cd8619e4fc663f89e743023988b5f8" w:id="100"/>
      <w:r>
        <w:t xml:space="preserve">20. 待决策事项</w:t>
      </w:r>
      <w:bookmarkEnd w:id="100"/>
    </w:p>
    <w:tbl>
      <w:tblPr>
        <w:tblStyle w:val="Table"/>
        <w:tblW w:w="5000" w:type="pct"/>
        <w:tblBorders>
          <w:top w:val="single" w:color="BFBFBF" w:sz="8"/>
          <w:left w:val="none"/>
          <w:bottom w:val="single" w:color="BFBFBF" w:sz="8"/>
          <w:right w:val="none"/>
          <w:insideH w:val="single" w:color="D9D9D9" w:sz="4"/>
          <w:insideV w:val="none"/>
        </w:tblBorders>
        <w:tblCellMar>
          <w:top w:w="56" w:type="dxa"/>
          <w:left w:w="86" w:type="dxa"/>
          <w:bottom w:w="56" w:type="dxa"/>
          <w:right w:w="86" w:type="dxa"/>
        </w:tblCellMar>
        <w:tblLook w:val="04A0"/>
      </w:tblPr>
      <w:tblGrid/>
      <w:tr>
        <w:trPr>
          <w:cantSplit/>
          <w:tblHeader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决策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推荐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/>
                <w:color w:val="1F3864"/>
              </w:rPr>
              <w:t xml:space="preserve">截止点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D-01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价值本位币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已决定：首个生产租户选择 CNY（2026-08-17）；USD/USDT 不得作为首期生产本位币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已关闭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D-02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固定面值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100 PTS = 1 本位币主单位，待真实数据回测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M1 schema 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D-03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参考价值文案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“参考价值，不代表现金赎回承诺”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UI 开发前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D-04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RP 是否设置新发放到期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首期不设置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P1 前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D-05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新佣金舍入规则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legacy 继续 FLOOR；新版本评估 HALF_EVEN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P2 前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D-06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VC 是否启用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首期禁用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P3 合规门禁后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D-07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首个真实支付资产/渠道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单一法币、单 provider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t xml:space="preserve">P3 设计前</w:t>
            </w:r>
          </w:p>
        </w:tc>
      </w:tr>
      <w:tr>
        <w:trPr>
          <w:cantSplit/>
        </w:trPr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D-08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首个 USDT 网络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不预设；完成风险与成本评审后只选一个</w:t>
            </w:r>
          </w:p>
        </w:tc>
        <w:tc>
          <w:tcPr>
            <w:shd w:val="clear" w:fill="F2F2F2"/>
          </w:tcPr>
          <w:p>
            <w:pPr>
              <w:pStyle w:val="Compact"/>
              <w:spacing w:after="40" w:line="240" w:lineRule="auto"/>
              <w:jc w:val="left"/>
            </w:pPr>
            <w:r>
              <w:t xml:space="preserve">P5 前</w:t>
            </w:r>
          </w:p>
        </w:tc>
      </w:tr>
    </w:tbl>
    <w:p>
      <w:pPr>
        <w:pStyle w:val="BodyText"/>
      </w:pPr>
      <w:r>
        <w:t xml:space="preserve">D-01 已批准。D-02 未批准前，可以开发 CNY 价值政策、账本和订单快照的通用结构，并使用测试夹具验证候选比例；不得在生产环境激活具体积分面值，也不得向用户展示确定的 CNY 等值。</w:t>
      </w:r>
    </w:p>
    <w:p>
      <w:pPr>
        <w:pStyle w:val="Heading2"/>
      </w:pPr>
      <w:bookmarkStart w:name="Xd41120b9001a16348e6176ff9d4c88065004151" w:id="101"/>
      <w:r>
        <w:t xml:space="preserve">21. 外部依据与时效</w:t>
      </w:r>
      <w:bookmarkEnd w:id="101"/>
    </w:p>
    <w:p>
      <w:pPr>
        <w:pStyle w:val="FirstParagraph"/>
      </w:pPr>
      <w:r>
        <w:t xml:space="preserve">以下页面均于 </w:t>
      </w:r>
      <w:r>
        <w:rPr>
          <w:b/>
        </w:rPr>
        <w:t xml:space="preserve">2026-08-17</w:t>
      </w:r>
      <w:r>
        <w:t xml:space="preserve"> 抓取核验；法规与会计适用性仍需按上线时间和运营主体复核。</w:t>
      </w:r>
    </w:p>
    <w:p>
      <w:pPr>
        <w:pStyle w:val="Compact"/>
        <w:numPr>
          <w:ilvl w:val="0"/>
          <w:numId w:val="1030"/>
        </w:numPr>
      </w:pPr>
      <w:hyperlink r:id="rId102">
        <w:r>
          <w:rPr>
            <w:rStyle w:val="Hyperlink"/>
          </w:rPr>
          <w:t xml:space="preserve">ISO 4217 — Currency codes</w:t>
        </w:r>
      </w:hyperlink>
      <w:r>
        <w:t xml:space="preserve">：ISO 4217 记录币种代码及主单位与最小单位关系；页面说明有的币种分为 100 或 1000 个最小单位。</w:t>
      </w:r>
    </w:p>
    <w:p>
      <w:pPr>
        <w:pStyle w:val="Compact"/>
        <w:numPr>
          <w:ilvl w:val="0"/>
          <w:numId w:val="1030"/>
        </w:numPr>
      </w:pPr>
      <w:hyperlink r:id="rId103">
        <w:r>
          <w:rPr>
            <w:rStyle w:val="Hyperlink"/>
          </w:rPr>
          <w:t xml:space="preserve">Stripe Supported currencies</w:t>
        </w:r>
      </w:hyperlink>
      <w:r>
        <w:t xml:space="preserve">：支付 API 以币种最小单位接收整数金额，并列出零小数币种及付款/出款特殊情况。</w:t>
      </w:r>
    </w:p>
    <w:p>
      <w:pPr>
        <w:pStyle w:val="Compact"/>
        <w:numPr>
          <w:ilvl w:val="0"/>
          <w:numId w:val="1030"/>
        </w:numPr>
      </w:pPr>
      <w:hyperlink r:id="rId104">
        <w:r>
          <w:rPr>
            <w:rStyle w:val="Hyperlink"/>
          </w:rPr>
          <w:t xml:space="preserve">Stripe Idempotent requests</w:t>
        </w:r>
      </w:hyperlink>
      <w:r>
        <w:t xml:space="preserve">：同幂等键保存首次结果，重试返回同一结果，并校验参数避免键被误用。</w:t>
      </w:r>
    </w:p>
    <w:p>
      <w:pPr>
        <w:pStyle w:val="Compact"/>
        <w:numPr>
          <w:ilvl w:val="0"/>
          <w:numId w:val="1030"/>
        </w:numPr>
      </w:pPr>
      <w:hyperlink r:id="rId105">
        <w:r>
          <w:rPr>
            <w:rStyle w:val="Hyperlink"/>
          </w:rPr>
          <w:t xml:space="preserve">Deloitte DART — Customers’ Unexercised Rights / Breakage</w:t>
        </w:r>
      </w:hyperlink>
      <w:r>
        <w:t xml:space="preserve">：汇总 ASC 606/IFRS 15 对未行使权利与 breakage 的实施指导。</w:t>
      </w:r>
    </w:p>
    <w:p>
      <w:pPr>
        <w:pStyle w:val="Compact"/>
        <w:numPr>
          <w:ilvl w:val="0"/>
          <w:numId w:val="1030"/>
        </w:numPr>
      </w:pPr>
      <w:hyperlink r:id="rId106">
        <w:r>
          <w:rPr>
            <w:rStyle w:val="Hyperlink"/>
          </w:rPr>
          <w:t xml:space="preserve">SEC filing — Gift cards and loyalty reward program</w:t>
        </w:r>
      </w:hyperlink>
      <w:r>
        <w:t xml:space="preserve">：公开披露示例将礼品卡和忠诚计划余额列作合同负债，并按预期使用模式确认 breakage。</w:t>
      </w:r>
    </w:p>
    <w:p>
      <w:pPr>
        <w:pStyle w:val="Compact"/>
        <w:numPr>
          <w:ilvl w:val="0"/>
          <w:numId w:val="1030"/>
        </w:numPr>
      </w:pPr>
      <w:hyperlink r:id="rId107">
        <w:r>
          <w:rPr>
            <w:rStyle w:val="Hyperlink"/>
          </w:rPr>
          <w:t xml:space="preserve">商务部《单用途商业预付卡管理办法（试行）》</w:t>
        </w:r>
      </w:hyperlink>
      <w:r>
        <w:t xml:space="preserve">：2012 年公布、2016 年修订，包含备案、章程/协议、实名、限额与资金管理要求。</w:t>
      </w:r>
    </w:p>
    <w:p>
      <w:pPr>
        <w:pStyle w:val="Compact"/>
        <w:numPr>
          <w:ilvl w:val="0"/>
          <w:numId w:val="1030"/>
        </w:numPr>
      </w:pPr>
      <w:hyperlink r:id="rId108">
        <w:r>
          <w:rPr>
            <w:rStyle w:val="Hyperlink"/>
          </w:rPr>
          <w:t xml:space="preserve">FinCEN Issues Prepaid Access Final Rule</w:t>
        </w:r>
      </w:hyperlink>
      <w:r>
        <w:t xml:space="preserve">：2011-07-26 发布；对特定 prepaid access provider/seller 建立注册、AML 及客户/交易信息要求，并说明部分闭环产品豁免条件。</w:t>
      </w:r>
    </w:p>
    <w:p>
      <w:pPr>
        <w:pStyle w:val="Compact"/>
        <w:numPr>
          <w:ilvl w:val="0"/>
          <w:numId w:val="1030"/>
        </w:numPr>
      </w:pPr>
      <w:hyperlink r:id="rId109">
        <w:r>
          <w:rPr>
            <w:rStyle w:val="Hyperlink"/>
          </w:rPr>
          <w:t xml:space="preserve">Tether Supported Protocols and Integration Guidelines</w:t>
        </w:r>
      </w:hyperlink>
      <w:r>
        <w:t xml:space="preserve">：要求集成方明确支持哪些协议，并列出已停止发行或不再承担赎回义务的旧协议。</w:t>
      </w:r>
    </w:p>
    <w:p>
      <w:pPr>
        <w:pStyle w:val="Compact"/>
        <w:numPr>
          <w:ilvl w:val="0"/>
          <w:numId w:val="1030"/>
        </w:numPr>
      </w:pPr>
      <w:hyperlink r:id="rId110">
        <w:r>
          <w:rPr>
            <w:rStyle w:val="Hyperlink"/>
          </w:rPr>
          <w:t xml:space="preserve">Tether — How to redeem tokens to fiat</w:t>
        </w:r>
      </w:hyperlink>
      <w:r>
        <w:t xml:space="preserve">：直接赎回需要验证账户；抓取时页面列出的最低赎回额为 100,000 美元等值。</w:t>
      </w:r>
    </w:p>
    <w:p>
      <w:pPr>
        <w:pStyle w:val="Compact"/>
        <w:numPr>
          <w:ilvl w:val="0"/>
          <w:numId w:val="1030"/>
        </w:numPr>
      </w:pPr>
      <w:hyperlink r:id="rId111">
        <w:r>
          <w:rPr>
            <w:rStyle w:val="Hyperlink"/>
          </w:rPr>
          <w:t xml:space="preserve">CFTC Orders Tether and Bitfinex to Pay Fines</w:t>
        </w:r>
      </w:hyperlink>
      <w:r>
        <w:t xml:space="preserve">：2021-10-15，CFTC 就历史储备陈述问题对 Tether 处以 4,100 万美元罚款，说明稳定币仍有发行方与披露风险。</w:t>
      </w:r>
    </w:p>
    <w:p>
      <w:pPr>
        <w:pStyle w:val="Heading2"/>
      </w:pPr>
      <w:bookmarkStart w:name="X3b4861003f73ed4357b756bff00db564f4907cc" w:id="112"/>
      <w:r>
        <w:t xml:space="preserve">22. 仓库内依据</w:t>
      </w:r>
      <w:bookmarkEnd w:id="112"/>
    </w:p>
    <w:p>
      <w:pPr>
        <w:pStyle w:val="Compact"/>
        <w:numPr>
          <w:ilvl w:val="0"/>
          <w:numId w:val="1031"/>
        </w:numPr>
      </w:pPr>
      <w:hyperlink r:id="rId113">
        <w:r>
          <w:rPr>
            <w:rStyle w:val="Hyperlink"/>
          </w:rPr>
          <w:t xml:space="preserve">项目边界与整数积分</w:t>
        </w:r>
      </w:hyperlink>
    </w:p>
    <w:p>
      <w:pPr>
        <w:pStyle w:val="Compact"/>
        <w:numPr>
          <w:ilvl w:val="0"/>
          <w:numId w:val="1031"/>
        </w:numPr>
      </w:pPr>
      <w:hyperlink r:id="rId114">
        <w:r>
          <w:rPr>
            <w:rStyle w:val="Hyperlink"/>
          </w:rPr>
          <w:t xml:space="preserve">商品模型与结算链路总纲</w:t>
        </w:r>
      </w:hyperlink>
    </w:p>
    <w:p>
      <w:pPr>
        <w:pStyle w:val="Compact"/>
        <w:numPr>
          <w:ilvl w:val="0"/>
          <w:numId w:val="1031"/>
        </w:numPr>
      </w:pPr>
      <w:hyperlink r:id="rId115">
        <w:r>
          <w:rPr>
            <w:rStyle w:val="Hyperlink"/>
          </w:rPr>
          <w:t xml:space="preserve">积分排行榜口径</w:t>
        </w:r>
      </w:hyperlink>
    </w:p>
    <w:p>
      <w:pPr>
        <w:pStyle w:val="Compact"/>
        <w:numPr>
          <w:ilvl w:val="0"/>
          <w:numId w:val="1031"/>
        </w:numPr>
      </w:pPr>
      <w:hyperlink r:id="rId116">
        <w:r>
          <w:rPr>
            <w:rStyle w:val="Hyperlink"/>
          </w:rPr>
          <w:t xml:space="preserve">商家与结算契约</w:t>
        </w:r>
      </w:hyperlink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server/prisma/schema.prisma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server/src/modules/orders/accounting.ts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server/src/modules/orders/service.ts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server/src/modules/points/service.ts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server/src/modules/admin/service.ts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src/components/PurchaseModal.tsx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src/components/PointsHistorySheet.tsx</w:t>
      </w:r>
    </w:p>
    <w:p>
      <w:pPr>
        <w:pStyle w:val="Heading2"/>
      </w:pPr>
      <w:bookmarkStart w:name="X8d4bde1659f124579bf0d8429009317d2bc95e6" w:id="117"/>
      <w:r>
        <w:t xml:space="preserve">23. 完成定义</w:t>
      </w:r>
      <w:bookmarkEnd w:id="117"/>
    </w:p>
    <w:p>
      <w:pPr>
        <w:pStyle w:val="FirstParagraph"/>
      </w:pPr>
      <w:r>
        <w:t xml:space="preserve">本 spec 进入 </w:t>
      </w:r>
      <w:r>
        <w:rPr>
          <w:rStyle w:val="VerbatimChar"/>
        </w:rPr>
        <w:t xml:space="preserve">Approved</w:t>
      </w:r>
      <w:r>
        <w:t xml:space="preserve"> 前必须满足：</w:t>
      </w:r>
    </w:p>
    <w:p>
      <w:pPr>
        <w:pStyle w:val="Compact"/>
        <w:numPr>
          <w:ilvl w:val="0"/>
          <w:numId w:val="1032"/>
        </w:numPr>
      </w:pPr>
      <w:r>
        <w:t xml:space="preserve">D-01 的决定已记录；D-02 至 D-05 有具名决策人与日期；</w:t>
      </w:r>
    </w:p>
    <w:p>
      <w:pPr>
        <w:pStyle w:val="Compact"/>
        <w:numPr>
          <w:ilvl w:val="0"/>
          <w:numId w:val="1032"/>
        </w:numPr>
      </w:pPr>
      <w:r>
        <w:t xml:space="preserve">财务确认积分面值、商家结算和 breakage 的会计映射；</w:t>
      </w:r>
    </w:p>
    <w:p>
      <w:pPr>
        <w:pStyle w:val="Compact"/>
        <w:numPr>
          <w:ilvl w:val="0"/>
          <w:numId w:val="1032"/>
        </w:numPr>
      </w:pPr>
      <w:r>
        <w:t xml:space="preserve">法务确认首期“参考价值”文案不形成赎回或储备承诺；</w:t>
      </w:r>
    </w:p>
    <w:p>
      <w:pPr>
        <w:pStyle w:val="Compact"/>
        <w:numPr>
          <w:ilvl w:val="0"/>
          <w:numId w:val="1032"/>
        </w:numPr>
      </w:pPr>
      <w:r>
        <w:t xml:space="preserve">技术完成 schema spike，证明 BigInt/NUMERIC、延迟平衡校验和现有 Prisma 事务兼容；</w:t>
      </w:r>
    </w:p>
    <w:p>
      <w:pPr>
        <w:pStyle w:val="Compact"/>
        <w:numPr>
          <w:ilvl w:val="0"/>
          <w:numId w:val="1032"/>
        </w:numPr>
      </w:pPr>
      <w:r>
        <w:t xml:space="preserve">数据回测证明候选面值下商品价格、奖励预算和用户余额分布合理；</w:t>
      </w:r>
    </w:p>
    <w:p>
      <w:pPr>
        <w:pStyle w:val="Compact"/>
        <w:numPr>
          <w:ilvl w:val="0"/>
          <w:numId w:val="1032"/>
        </w:numPr>
      </w:pPr>
      <w:r>
        <w:t xml:space="preserve">迁移演练在生产快照的脱敏副本上通过全部验算；</w:t>
      </w:r>
    </w:p>
    <w:p>
      <w:pPr>
        <w:pStyle w:val="Compact"/>
        <w:numPr>
          <w:ilvl w:val="0"/>
          <w:numId w:val="1032"/>
        </w:numPr>
      </w:pPr>
      <w:r>
        <w:t xml:space="preserve">P0/P1 的测试、指标、告警与回滚 runbook 已拆成实现计划。</w:t>
      </w:r>
    </w:p>
    <w:sectPr>
      <w:footerReference w:type="default" r:id="Rebdbe4c14e564877"/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right"/>
    </w:pPr>
    <w:r>
      <w:rPr>
        <w:color w:val="808080"/>
        <w:sz w:val="18"/>
      </w:rPr>
      <w:t xml:space="preserve">MoNexus · SPEC-VALUE-LEDGER-001  | 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/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hAnsi="Aptos" w:eastAsia="SimSun" w:cs="Calibri"/>
        <w:color w:val="333333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276"/>
  <w:style w:type="paragraph" w:styleId="Normal" w:default="true">
    <w:name w:val="Normal"/>
    <w:qFormat/>
    <w:pPr>
      <w:spacing w:after="160" w:line="276" w:lineRule="auto"/>
      <w:jc w:val="left"/>
    </w:pPr>
    <w:rPr>
      <w:rFonts w:ascii="Aptos" w:hAnsi="Aptos" w:eastAsia="SimSun" w:cs="Calibri"/>
      <w:color w:val="333333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" w:customStyle="1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480" w:after="120" w:line="276" w:lineRule="auto"/>
      <w:outlineLvl w:val="0"/>
    </w:pPr>
    <w:rPr>
      <w:rFonts w:ascii="Aptos Display" w:hAnsi="Aptos Display" w:eastAsia="Microsoft YaHei"/>
      <w:color w:val="1F3864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80" w:line="276" w:lineRule="auto"/>
      <w:outlineLvl w:val="1"/>
    </w:pPr>
    <w:rPr>
      <w:rFonts w:ascii="Aptos Display" w:hAnsi="Aptos Display" w:eastAsia="Microsoft YaHei"/>
      <w:color w:val="1F3864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 w:line="276" w:lineRule="auto"/>
      <w:outlineLvl w:val="2"/>
    </w:pPr>
    <w:rPr>
      <w:rFonts w:ascii="Aptos" w:hAnsi="Aptos" w:eastAsia="Microsoft YaHei"/>
      <w:b/>
      <w:color w:val="1F3864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60" w:line="276" w:lineRule="auto"/>
      <w:outlineLvl w:val="3"/>
    </w:pPr>
    <w:rPr>
      <w:rFonts w:ascii="Aptos" w:hAnsi="Aptos" w:eastAsia="Microsoft YaHei"/>
      <w:b/>
      <w:color w:val="2E75B6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 w:eastAsia="Microsoft YaHei"/>
      <w:sz w:val="18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/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/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footnotes" Target="footnotes.xml" Id="rId7" /><Relationship Type="http://schemas.openxmlformats.org/officeDocument/2006/relationships/comments" Target="comments.xml" Id="rId8" /><Relationship Type="http://schemas.openxmlformats.org/officeDocument/2006/relationships/hyperlink" Target="../../README.md" TargetMode="External" Id="rId113" /><Relationship Type="http://schemas.openxmlformats.org/officeDocument/2006/relationships/hyperlink" Target="../superpowers/specs/2026-04-29-monexus-merchant-settlement-contract.md" TargetMode="External" Id="rId116" /><Relationship Type="http://schemas.openxmlformats.org/officeDocument/2006/relationships/hyperlink" Target="./points-leaderboard.md" TargetMode="External" Id="rId115" /><Relationship Type="http://schemas.openxmlformats.org/officeDocument/2006/relationships/hyperlink" Target="./product-model-and-checkout.md" TargetMode="External" Id="rId114" /><Relationship Type="http://schemas.openxmlformats.org/officeDocument/2006/relationships/hyperlink" Target="https://dart.deloitte.com/USDART/home/codification/revenue/asc606-10/roadmap-revenue-recognition/chapter-8-step-5-determine-when/8-8-customers-unexercised-rights-breakage" TargetMode="External" Id="rId105" /><Relationship Type="http://schemas.openxmlformats.org/officeDocument/2006/relationships/hyperlink" Target="https://docs.stripe.com/api/idempotent_requests" TargetMode="External" Id="rId104" /><Relationship Type="http://schemas.openxmlformats.org/officeDocument/2006/relationships/hyperlink" Target="https://docs.stripe.com/currencies" TargetMode="External" Id="rId103" /><Relationship Type="http://schemas.openxmlformats.org/officeDocument/2006/relationships/hyperlink" Target="https://tether.to/en/supported-protocols/" TargetMode="External" Id="rId109" /><Relationship Type="http://schemas.openxmlformats.org/officeDocument/2006/relationships/hyperlink" Target="https://tether.to/ru/redeem-tethers-to-fiat-currency/" TargetMode="External" Id="rId110" /><Relationship Type="http://schemas.openxmlformats.org/officeDocument/2006/relationships/hyperlink" Target="https://www.cftc.gov/PressRoom/PressReleases/8450-21" TargetMode="External" Id="rId111" /><Relationship Type="http://schemas.openxmlformats.org/officeDocument/2006/relationships/hyperlink" Target="https://www.fincen.gov/news/news-releases/fincen-issues-prepaid-access-final-rule" TargetMode="External" Id="rId108" /><Relationship Type="http://schemas.openxmlformats.org/officeDocument/2006/relationships/hyperlink" Target="https://www.iso.org/iso-4217-currency-codes.html" TargetMode="External" Id="rId102" /><Relationship Type="http://schemas.openxmlformats.org/officeDocument/2006/relationships/hyperlink" Target="https://www.mofcom.gov.cn/zfxxgk/zc/gz/art/2021/art_82805c1937a64a4186ea15c23fc675c5.html" TargetMode="External" Id="rId107" /><Relationship Type="http://schemas.openxmlformats.org/officeDocument/2006/relationships/hyperlink" Target="https://www.sec.gov/Archives/edgar/data/1132105/000155837018009494/R16.htm" TargetMode="External" Id="rId106" /><Relationship Type="http://schemas.openxmlformats.org/officeDocument/2006/relationships/footer" Target="/word/footer1.xml" Id="Rebdbe4c14e564877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13" Target="../../README.md" TargetMode="External" /><Relationship Type="http://schemas.openxmlformats.org/officeDocument/2006/relationships/hyperlink" Id="rId116" Target="../superpowers/specs/2026-04-29-monexus-merchant-settlement-contract.md" TargetMode="External" /><Relationship Type="http://schemas.openxmlformats.org/officeDocument/2006/relationships/hyperlink" Id="rId115" Target="./points-leaderboard.md" TargetMode="External" /><Relationship Type="http://schemas.openxmlformats.org/officeDocument/2006/relationships/hyperlink" Id="rId114" Target="./product-model-and-checkout.md" TargetMode="External" /><Relationship Type="http://schemas.openxmlformats.org/officeDocument/2006/relationships/hyperlink" Id="rId105" Target="https://dart.deloitte.com/USDART/home/codification/revenue/asc606-10/roadmap-revenue-recognition/chapter-8-step-5-determine-when/8-8-customers-unexercised-rights-breakage" TargetMode="External" /><Relationship Type="http://schemas.openxmlformats.org/officeDocument/2006/relationships/hyperlink" Id="rId104" Target="https://docs.stripe.com/api/idempotent_requests" TargetMode="External" /><Relationship Type="http://schemas.openxmlformats.org/officeDocument/2006/relationships/hyperlink" Id="rId103" Target="https://docs.stripe.com/currencies" TargetMode="External" /><Relationship Type="http://schemas.openxmlformats.org/officeDocument/2006/relationships/hyperlink" Id="rId109" Target="https://tether.to/en/supported-protocols/" TargetMode="External" /><Relationship Type="http://schemas.openxmlformats.org/officeDocument/2006/relationships/hyperlink" Id="rId110" Target="https://tether.to/ru/redeem-tethers-to-fiat-currency/" TargetMode="External" /><Relationship Type="http://schemas.openxmlformats.org/officeDocument/2006/relationships/hyperlink" Id="rId111" Target="https://www.cftc.gov/PressRoom/PressReleases/8450-21" TargetMode="External" /><Relationship Type="http://schemas.openxmlformats.org/officeDocument/2006/relationships/hyperlink" Id="rId108" Target="https://www.fincen.gov/news/news-releases/fincen-issues-prepaid-access-final-rule" TargetMode="External" /><Relationship Type="http://schemas.openxmlformats.org/officeDocument/2006/relationships/hyperlink" Id="rId102" Target="https://www.iso.org/iso-4217-currency-codes.html" TargetMode="External" /><Relationship Type="http://schemas.openxmlformats.org/officeDocument/2006/relationships/hyperlink" Id="rId107" Target="https://www.mofcom.gov.cn/zfxxgk/zc/gz/art/2021/art_82805c1937a64a4186ea15c23fc675c5.html" TargetMode="External" /><Relationship Type="http://schemas.openxmlformats.org/officeDocument/2006/relationships/hyperlink" Id="rId106" Target="https://www.sec.gov/Archives/edgar/data/1132105/000155837018009494/R16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MoNexus 积分真实价值锚定与价值账本升级</dc:title>
  <dc:creator>MoNexus</dc:creator>
  <keywords/>
  <dcterms:created xsi:type="dcterms:W3CDTF">2026-08-17T08:20:14.0000000Z</dcterms:created>
  <dcterms:modified xsi:type="dcterms:W3CDTF">2026-08-17T08:20:14.0000000Z</dcterms:modified>
  <dc:subject>SPEC-VALUE-LEDGER-001</dc:subject>
  <dc:description>积分锚定 CNY/USD 与可选 USDT 支付轨道的产品、账本、迁移及合规规格</dc:descript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SPEC-VALUE-LEDGER-001 · v0.1.0 · Draft for Decision</vt:lpwstr>
  </property>
</Properties>
</file>