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7C0C31" w:rsidRPr="007C0C31" w:rsidTr="007C0C31">
        <w:tc>
          <w:tcPr>
            <w:tcW w:w="0" w:type="auto"/>
            <w:gridSpan w:val="3"/>
            <w:tcBorders>
              <w:top w:val="nil"/>
              <w:left w:val="nil"/>
              <w:bottom w:val="nil"/>
              <w:right w:val="single" w:sz="6" w:space="0" w:color="808080"/>
            </w:tcBorders>
            <w:shd w:val="clear" w:color="auto" w:fill="FFFFFF"/>
            <w:vAlign w:val="center"/>
            <w:hideMark/>
          </w:tcPr>
          <w:p w:rsidR="007C0C31" w:rsidRPr="007C0C31" w:rsidRDefault="007C0C31" w:rsidP="007C0C31">
            <w:pPr>
              <w:rPr>
                <w:rFonts w:ascii="Verdana" w:eastAsia="Times New Roman" w:hAnsi="Verdana" w:cs="Times New Roman"/>
                <w:sz w:val="20"/>
                <w:szCs w:val="20"/>
              </w:rPr>
            </w:pPr>
            <w:r w:rsidRPr="007C0C31">
              <w:rPr>
                <w:rFonts w:ascii="Verdana" w:eastAsia="Times New Roman" w:hAnsi="Verdana" w:cs="Times New Roman"/>
                <w:b/>
                <w:bCs/>
                <w:color w:val="B30722"/>
                <w:sz w:val="27"/>
                <w:szCs w:val="27"/>
                <w:lang w:val="fr-BE"/>
              </w:rPr>
              <w:t>RORIVE Brigitte</w:t>
            </w:r>
          </w:p>
          <w:p w:rsidR="007C0C31" w:rsidRPr="007C0C31" w:rsidRDefault="007C0C31" w:rsidP="007C0C31">
            <w:pPr>
              <w:rPr>
                <w:rFonts w:ascii="Verdana" w:eastAsia="Times New Roman" w:hAnsi="Verdana" w:cs="Times New Roman"/>
                <w:sz w:val="20"/>
                <w:szCs w:val="20"/>
              </w:rPr>
            </w:pPr>
            <w:r w:rsidRPr="007C0C31">
              <w:rPr>
                <w:rFonts w:ascii="Verdana" w:eastAsia="Times New Roman" w:hAnsi="Verdana" w:cs="Times New Roman"/>
                <w:sz w:val="20"/>
                <w:szCs w:val="20"/>
              </w:rPr>
              <w:pict>
                <v:rect id="_x0000_i1025" style="width:0;height:1pt" o:hralign="center" o:hrstd="t" o:hrnoshade="t" o:hr="t" fillcolor="#999" stroked="f"/>
              </w:pict>
            </w:r>
          </w:p>
        </w:tc>
      </w:tr>
      <w:tr w:rsidR="007C0C31" w:rsidRPr="007C0C31" w:rsidTr="007C0C31">
        <w:tc>
          <w:tcPr>
            <w:tcW w:w="250" w:type="pct"/>
            <w:tcBorders>
              <w:top w:val="nil"/>
              <w:left w:val="nil"/>
              <w:bottom w:val="single" w:sz="6" w:space="0" w:color="808080"/>
              <w:right w:val="nil"/>
            </w:tcBorders>
            <w:shd w:val="clear" w:color="auto" w:fill="FFFFFF"/>
            <w:vAlign w:val="center"/>
            <w:hideMark/>
          </w:tcPr>
          <w:p w:rsidR="007C0C31" w:rsidRPr="007C0C31" w:rsidRDefault="007C0C31" w:rsidP="007C0C31">
            <w:pPr>
              <w:rPr>
                <w:rFonts w:ascii="Verdana" w:eastAsia="Times New Roman" w:hAnsi="Verdana" w:cs="Times New Roman"/>
                <w:sz w:val="20"/>
                <w:szCs w:val="20"/>
              </w:rPr>
            </w:pPr>
            <w:r w:rsidRPr="007C0C31">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rsidR="007C0C31" w:rsidRPr="007C0C31" w:rsidRDefault="007C0C31" w:rsidP="007C0C31">
            <w:pPr>
              <w:spacing w:before="100" w:beforeAutospacing="1" w:after="100" w:afterAutospacing="1"/>
              <w:rPr>
                <w:rFonts w:ascii="Verdana" w:hAnsi="Verdana" w:cs="Times New Roman"/>
                <w:sz w:val="20"/>
                <w:szCs w:val="20"/>
              </w:rPr>
            </w:pPr>
            <w:r w:rsidRPr="007C0C31">
              <w:rPr>
                <w:rFonts w:ascii="Verdana" w:hAnsi="Verdana" w:cs="Times New Roman"/>
                <w:b/>
                <w:bCs/>
                <w:color w:val="990000"/>
                <w:sz w:val="20"/>
                <w:szCs w:val="20"/>
              </w:rPr>
              <w:t>Coordonnées professionnelles</w:t>
            </w:r>
          </w:p>
          <w:p w:rsidR="007C0C31" w:rsidRPr="007C0C31" w:rsidRDefault="007C0C31" w:rsidP="007C0C31">
            <w:pPr>
              <w:rPr>
                <w:rFonts w:ascii="Verdana" w:eastAsia="Times New Roman" w:hAnsi="Verdana" w:cs="Times New Roman"/>
                <w:sz w:val="20"/>
                <w:szCs w:val="20"/>
              </w:rPr>
            </w:pPr>
            <w:r w:rsidRPr="007C0C31">
              <w:rPr>
                <w:rFonts w:ascii="Verdana" w:eastAsia="Times New Roman" w:hAnsi="Verdana" w:cs="Times New Roman"/>
                <w:sz w:val="20"/>
                <w:szCs w:val="20"/>
              </w:rPr>
              <w:pict>
                <v:rect id="_x0000_i1026" style="width:0;height:1.5pt" o:hralign="center" o:hrstd="t" o:hr="t" fillcolor="#aaa" stroked="f"/>
              </w:pic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color w:val="006699"/>
                <w:sz w:val="20"/>
                <w:szCs w:val="20"/>
                <w:u w:val="single"/>
              </w:rPr>
              <w:t>Adresse:</w:t>
            </w:r>
            <w:r w:rsidRPr="007C0C31">
              <w:rPr>
                <w:rFonts w:ascii="Verdana" w:hAnsi="Verdana" w:cs="Times New Roman"/>
                <w:b/>
                <w:bCs/>
                <w:color w:val="006699"/>
                <w:sz w:val="20"/>
                <w:szCs w:val="20"/>
                <w:u w:val="single"/>
              </w:rPr>
              <w:br/>
            </w:r>
            <w:r w:rsidRPr="007C0C31">
              <w:rPr>
                <w:rFonts w:ascii="Verdana" w:hAnsi="Verdana" w:cs="Times New Roman"/>
                <w:color w:val="006699"/>
                <w:sz w:val="20"/>
                <w:szCs w:val="20"/>
              </w:rPr>
              <w:t>Boulevard du Rectorat, 19, B51</w:t>
            </w:r>
            <w:r w:rsidRPr="007C0C31">
              <w:rPr>
                <w:rFonts w:ascii="Verdana" w:hAnsi="Verdana" w:cs="Times New Roman"/>
                <w:color w:val="006699"/>
                <w:sz w:val="20"/>
                <w:szCs w:val="20"/>
              </w:rPr>
              <w:br/>
              <w:t>4000 Liège (Sart-Tilman)</w:t>
            </w:r>
            <w:r w:rsidRPr="007C0C31">
              <w:rPr>
                <w:rFonts w:ascii="Verdana" w:hAnsi="Verdana" w:cs="Times New Roman"/>
                <w:color w:val="006699"/>
                <w:sz w:val="20"/>
                <w:szCs w:val="20"/>
              </w:rPr>
              <w:br/>
            </w:r>
            <w:r w:rsidRPr="007C0C31">
              <w:rPr>
                <w:rFonts w:ascii="Verdana" w:hAnsi="Verdana" w:cs="Times New Roman"/>
                <w:b/>
                <w:bCs/>
                <w:color w:val="006699"/>
                <w:sz w:val="20"/>
                <w:szCs w:val="20"/>
                <w:u w:val="single"/>
              </w:rPr>
              <w:t>Téléphone:</w:t>
            </w:r>
            <w:r w:rsidRPr="007C0C31">
              <w:rPr>
                <w:rFonts w:ascii="Verdana" w:hAnsi="Verdana" w:cs="Times New Roman"/>
                <w:b/>
                <w:bCs/>
                <w:color w:val="006699"/>
                <w:sz w:val="20"/>
                <w:szCs w:val="20"/>
                <w:u w:val="single"/>
              </w:rPr>
              <w:br/>
            </w:r>
            <w:r w:rsidRPr="007C0C31">
              <w:rPr>
                <w:rFonts w:ascii="Verdana" w:hAnsi="Verdana" w:cs="Times New Roman"/>
                <w:color w:val="006699"/>
                <w:sz w:val="20"/>
                <w:szCs w:val="20"/>
              </w:rPr>
              <w:t>Général: 00 32 (0)4/366 30 70 </w:t>
            </w:r>
            <w:r w:rsidRPr="007C0C31">
              <w:rPr>
                <w:rFonts w:ascii="Verdana" w:hAnsi="Verdana" w:cs="Times New Roman"/>
                <w:color w:val="006699"/>
                <w:sz w:val="20"/>
                <w:szCs w:val="20"/>
              </w:rPr>
              <w:br/>
              <w:t>Direct: 00 32 (0)4/366 21 97</w:t>
            </w:r>
            <w:r w:rsidRPr="007C0C31">
              <w:rPr>
                <w:rFonts w:ascii="Verdana" w:hAnsi="Verdana" w:cs="Times New Roman"/>
                <w:color w:val="006699"/>
                <w:sz w:val="20"/>
                <w:szCs w:val="20"/>
              </w:rPr>
              <w:br/>
              <w:t>Fax: 00 32 (0)4/366 29 47</w:t>
            </w:r>
            <w:r w:rsidRPr="007C0C31">
              <w:rPr>
                <w:rFonts w:ascii="Verdana" w:hAnsi="Verdana" w:cs="Times New Roman"/>
                <w:color w:val="006699"/>
                <w:sz w:val="20"/>
                <w:szCs w:val="20"/>
              </w:rPr>
              <w:br/>
            </w:r>
            <w:r w:rsidRPr="007C0C31">
              <w:rPr>
                <w:rFonts w:ascii="Verdana" w:hAnsi="Verdana" w:cs="Times New Roman"/>
                <w:b/>
                <w:bCs/>
                <w:color w:val="006699"/>
                <w:sz w:val="20"/>
                <w:szCs w:val="20"/>
                <w:u w:val="single"/>
              </w:rPr>
              <w:t>E-mail:</w:t>
            </w:r>
            <w:r w:rsidRPr="007C0C31">
              <w:rPr>
                <w:rFonts w:ascii="Verdana" w:hAnsi="Verdana" w:cs="Times New Roman"/>
                <w:b/>
                <w:bCs/>
                <w:color w:val="006699"/>
                <w:sz w:val="20"/>
                <w:szCs w:val="20"/>
                <w:u w:val="single"/>
              </w:rPr>
              <w:br/>
            </w:r>
            <w:hyperlink r:id="rId6" w:history="1">
              <w:r w:rsidRPr="007C0C31">
                <w:rPr>
                  <w:rFonts w:ascii="Verdana" w:hAnsi="Verdana" w:cs="Times New Roman"/>
                  <w:color w:val="006699"/>
                  <w:sz w:val="20"/>
                  <w:szCs w:val="20"/>
                  <w:u w:val="single"/>
                </w:rPr>
                <w:t>b.rorive@ulg.ac.be</w:t>
              </w:r>
            </w:hyperlink>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color w:val="990000"/>
                <w:sz w:val="20"/>
                <w:szCs w:val="20"/>
              </w:rPr>
              <w:t>Formation</w:t>
            </w:r>
          </w:p>
          <w:p w:rsidR="007C0C31" w:rsidRPr="007C0C31" w:rsidRDefault="007C0C31" w:rsidP="007C0C31">
            <w:pPr>
              <w:rPr>
                <w:rFonts w:ascii="Verdana" w:eastAsia="Times New Roman" w:hAnsi="Verdana" w:cs="Times New Roman"/>
                <w:sz w:val="15"/>
                <w:szCs w:val="15"/>
              </w:rPr>
            </w:pPr>
            <w:r w:rsidRPr="007C0C31">
              <w:rPr>
                <w:rFonts w:ascii="Verdana" w:eastAsia="Times New Roman" w:hAnsi="Verdana" w:cs="Times New Roman"/>
                <w:sz w:val="15"/>
                <w:szCs w:val="15"/>
              </w:rPr>
              <w:pict>
                <v:rect id="_x0000_i1027" style="width:0;height:1.5pt" o:hralign="center" o:hrstd="t" o:hr="t" fillcolor="#aaa" stroked="f"/>
              </w:pict>
            </w:r>
          </w:p>
          <w:p w:rsidR="007C0C31" w:rsidRPr="007C0C31" w:rsidRDefault="007C0C31" w:rsidP="007C0C31">
            <w:pPr>
              <w:spacing w:before="100" w:beforeAutospacing="1" w:after="240"/>
              <w:rPr>
                <w:rFonts w:ascii="Verdana" w:hAnsi="Verdana" w:cs="Times New Roman"/>
                <w:sz w:val="15"/>
                <w:szCs w:val="15"/>
              </w:rPr>
            </w:pPr>
            <w:r w:rsidRPr="007C0C31">
              <w:rPr>
                <w:rFonts w:ascii="Verdana" w:hAnsi="Verdana" w:cs="Times New Roman"/>
                <w:color w:val="006699"/>
                <w:sz w:val="20"/>
                <w:szCs w:val="20"/>
              </w:rPr>
              <w:t>Doctorat en Gestion – Management et Stratégies des organisations, IAE de Lille, en cours </w:t>
            </w:r>
            <w:r w:rsidRPr="007C0C31">
              <w:rPr>
                <w:rFonts w:ascii="Verdana" w:hAnsi="Verdana" w:cs="Times New Roman"/>
                <w:color w:val="006699"/>
                <w:sz w:val="20"/>
                <w:szCs w:val="20"/>
              </w:rPr>
              <w:br/>
              <w:t>Maîtrise en Sciences Humaines, Université de Montréal, Canada – 1985</w:t>
            </w:r>
            <w:r w:rsidRPr="007C0C31">
              <w:rPr>
                <w:rFonts w:ascii="Verdana" w:hAnsi="Verdana" w:cs="Times New Roman"/>
                <w:color w:val="006699"/>
                <w:sz w:val="20"/>
                <w:szCs w:val="20"/>
              </w:rPr>
              <w:br/>
              <w:t>Licence en Criminologie, Université de Liège, Belgique – 1981</w:t>
            </w:r>
            <w:r w:rsidRPr="007C0C31">
              <w:rPr>
                <w:rFonts w:ascii="Verdana" w:hAnsi="Verdana" w:cs="Times New Roman"/>
                <w:color w:val="006699"/>
                <w:sz w:val="20"/>
                <w:szCs w:val="20"/>
              </w:rPr>
              <w:br/>
            </w:r>
          </w:p>
          <w:p w:rsidR="007C0C31" w:rsidRPr="007C0C31" w:rsidRDefault="007C0C31" w:rsidP="007C0C31">
            <w:pPr>
              <w:rPr>
                <w:rFonts w:ascii="Verdana" w:eastAsia="Times New Roman" w:hAnsi="Verdana" w:cs="Times New Roman"/>
                <w:sz w:val="15"/>
                <w:szCs w:val="15"/>
              </w:rPr>
            </w:pPr>
            <w:r w:rsidRPr="007C0C31">
              <w:rPr>
                <w:rFonts w:ascii="Verdana" w:eastAsia="Times New Roman" w:hAnsi="Verdana" w:cs="Times New Roman"/>
                <w:b/>
                <w:bCs/>
                <w:color w:val="990000"/>
                <w:sz w:val="20"/>
                <w:szCs w:val="20"/>
              </w:rPr>
              <w:t>Activités professionnelles</w:t>
            </w:r>
          </w:p>
          <w:p w:rsidR="007C0C31" w:rsidRPr="007C0C31" w:rsidRDefault="007C0C31" w:rsidP="007C0C31">
            <w:pPr>
              <w:rPr>
                <w:rFonts w:ascii="Verdana" w:eastAsia="Times New Roman" w:hAnsi="Verdana" w:cs="Times New Roman"/>
                <w:sz w:val="15"/>
                <w:szCs w:val="15"/>
              </w:rPr>
            </w:pPr>
            <w:r w:rsidRPr="007C0C31">
              <w:rPr>
                <w:rFonts w:ascii="Verdana" w:eastAsia="Times New Roman" w:hAnsi="Verdana" w:cs="Times New Roman"/>
                <w:sz w:val="15"/>
                <w:szCs w:val="15"/>
              </w:rPr>
              <w:pict>
                <v:rect id="_x0000_i1028" style="width:0;height:1.5pt" o:hralign="center" o:hrstd="t" o:hr="t" fillcolor="#aaa" stroked="f"/>
              </w:pic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color w:val="006699"/>
                <w:sz w:val="20"/>
                <w:szCs w:val="20"/>
              </w:rPr>
              <w:t>Directrice du Lentic</w:t>
            </w:r>
            <w:r w:rsidRPr="007C0C31">
              <w:rPr>
                <w:rFonts w:ascii="Verdana" w:hAnsi="Verdana" w:cs="Times New Roman"/>
                <w:color w:val="006699"/>
                <w:sz w:val="20"/>
                <w:szCs w:val="20"/>
              </w:rPr>
              <w:t> depuis 2004</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color w:val="006699"/>
                <w:sz w:val="20"/>
                <w:szCs w:val="20"/>
              </w:rPr>
              <w:t>Chargée de recherche</w:t>
            </w:r>
            <w:r w:rsidRPr="007C0C31">
              <w:rPr>
                <w:rFonts w:ascii="Verdana" w:hAnsi="Verdana" w:cs="Times New Roman"/>
                <w:color w:val="006699"/>
                <w:sz w:val="20"/>
                <w:szCs w:val="20"/>
              </w:rPr>
              <w:t> au Lentic depuis 2000</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color w:val="006699"/>
                <w:sz w:val="20"/>
                <w:szCs w:val="20"/>
              </w:rPr>
              <w:t>98-99 </w:t>
            </w:r>
            <w:r w:rsidRPr="007C0C31">
              <w:rPr>
                <w:rFonts w:ascii="Verdana" w:hAnsi="Verdana" w:cs="Times New Roman"/>
                <w:color w:val="006699"/>
                <w:sz w:val="20"/>
                <w:szCs w:val="20"/>
              </w:rPr>
              <w:br/>
              <w:t>Friends of Cascade, ONG, Trinidad, </w:t>
            </w:r>
            <w:r w:rsidRPr="007C0C31">
              <w:rPr>
                <w:rFonts w:ascii="Verdana" w:hAnsi="Verdana" w:cs="Times New Roman"/>
                <w:b/>
                <w:bCs/>
                <w:color w:val="006699"/>
                <w:sz w:val="20"/>
                <w:szCs w:val="20"/>
              </w:rPr>
              <w:t>Chargée de projets</w:t>
            </w:r>
            <w:r w:rsidRPr="007C0C31">
              <w:rPr>
                <w:rFonts w:ascii="Verdana" w:hAnsi="Verdana" w:cs="Times New Roman"/>
                <w:b/>
                <w:bCs/>
                <w:color w:val="006699"/>
                <w:sz w:val="20"/>
                <w:szCs w:val="20"/>
              </w:rPr>
              <w:br/>
            </w:r>
            <w:r w:rsidRPr="007C0C31">
              <w:rPr>
                <w:rFonts w:ascii="Verdana" w:hAnsi="Verdana" w:cs="Times New Roman"/>
                <w:b/>
                <w:bCs/>
                <w:color w:val="006699"/>
                <w:sz w:val="20"/>
                <w:szCs w:val="20"/>
              </w:rPr>
              <w:br/>
            </w:r>
            <w:r w:rsidRPr="007C0C31">
              <w:rPr>
                <w:rFonts w:ascii="Verdana" w:hAnsi="Verdana" w:cs="Times New Roman"/>
                <w:color w:val="006699"/>
                <w:sz w:val="20"/>
                <w:szCs w:val="20"/>
              </w:rPr>
              <w:t>95-97 </w:t>
            </w:r>
            <w:r w:rsidRPr="007C0C31">
              <w:rPr>
                <w:rFonts w:ascii="Verdana" w:hAnsi="Verdana" w:cs="Times New Roman"/>
                <w:color w:val="006699"/>
                <w:sz w:val="20"/>
                <w:szCs w:val="20"/>
              </w:rPr>
              <w:br/>
              <w:t>IP Stratégies, Société de consultance, Belgique, </w:t>
            </w:r>
            <w:r w:rsidRPr="007C0C31">
              <w:rPr>
                <w:rFonts w:ascii="Verdana" w:hAnsi="Verdana" w:cs="Times New Roman"/>
                <w:b/>
                <w:bCs/>
                <w:color w:val="006699"/>
                <w:sz w:val="20"/>
                <w:szCs w:val="20"/>
              </w:rPr>
              <w:t>Chargée de projets – affaires européennes</w:t>
            </w:r>
            <w:r w:rsidRPr="007C0C31">
              <w:rPr>
                <w:rFonts w:ascii="Verdana" w:hAnsi="Verdana" w:cs="Times New Roman"/>
                <w:b/>
                <w:bCs/>
                <w:color w:val="006699"/>
                <w:sz w:val="20"/>
                <w:szCs w:val="20"/>
              </w:rPr>
              <w:br/>
            </w:r>
            <w:r w:rsidRPr="007C0C31">
              <w:rPr>
                <w:rFonts w:ascii="Verdana" w:hAnsi="Verdana" w:cs="Times New Roman"/>
                <w:b/>
                <w:bCs/>
                <w:color w:val="006699"/>
                <w:sz w:val="20"/>
                <w:szCs w:val="20"/>
              </w:rPr>
              <w:br/>
            </w:r>
            <w:r w:rsidRPr="007C0C31">
              <w:rPr>
                <w:rFonts w:ascii="Verdana" w:hAnsi="Verdana" w:cs="Times New Roman"/>
                <w:color w:val="006699"/>
                <w:sz w:val="20"/>
                <w:szCs w:val="20"/>
              </w:rPr>
              <w:t>92-95 </w:t>
            </w:r>
            <w:r w:rsidRPr="007C0C31">
              <w:rPr>
                <w:rFonts w:ascii="Verdana" w:hAnsi="Verdana" w:cs="Times New Roman"/>
                <w:color w:val="006699"/>
                <w:sz w:val="20"/>
                <w:szCs w:val="20"/>
              </w:rPr>
              <w:br/>
              <w:t>Fabrimétal, Fédération d’entreprises, Belgique, </w:t>
            </w:r>
            <w:r w:rsidRPr="007C0C31">
              <w:rPr>
                <w:rFonts w:ascii="Verdana" w:hAnsi="Verdana" w:cs="Times New Roman"/>
                <w:b/>
                <w:bCs/>
                <w:color w:val="006699"/>
                <w:sz w:val="20"/>
                <w:szCs w:val="20"/>
              </w:rPr>
              <w:t>Chargée de projets européens</w:t>
            </w:r>
            <w:r w:rsidRPr="007C0C31">
              <w:rPr>
                <w:rFonts w:ascii="Verdana" w:hAnsi="Verdana" w:cs="Times New Roman"/>
                <w:b/>
                <w:bCs/>
                <w:color w:val="006699"/>
                <w:sz w:val="20"/>
                <w:szCs w:val="20"/>
              </w:rPr>
              <w:br/>
            </w:r>
            <w:r w:rsidRPr="007C0C31">
              <w:rPr>
                <w:rFonts w:ascii="Verdana" w:hAnsi="Verdana" w:cs="Times New Roman"/>
                <w:color w:val="006699"/>
                <w:sz w:val="20"/>
                <w:szCs w:val="20"/>
              </w:rPr>
              <w:br/>
              <w:t>91-92 </w:t>
            </w:r>
            <w:r w:rsidRPr="007C0C31">
              <w:rPr>
                <w:rFonts w:ascii="Verdana" w:hAnsi="Verdana" w:cs="Times New Roman"/>
                <w:color w:val="006699"/>
                <w:sz w:val="20"/>
                <w:szCs w:val="20"/>
              </w:rPr>
              <w:br/>
              <w:t>Société de Développement Economique - Rive Sud de Montréal, Canada, </w:t>
            </w:r>
            <w:r w:rsidRPr="007C0C31">
              <w:rPr>
                <w:rFonts w:ascii="Verdana" w:hAnsi="Verdana" w:cs="Times New Roman"/>
                <w:b/>
                <w:bCs/>
                <w:color w:val="006699"/>
                <w:sz w:val="20"/>
                <w:szCs w:val="20"/>
              </w:rPr>
              <w:t>Directrice générale – Commissaire industrielle</w:t>
            </w:r>
            <w:r w:rsidRPr="007C0C31">
              <w:rPr>
                <w:rFonts w:ascii="Verdana" w:hAnsi="Verdana" w:cs="Times New Roman"/>
                <w:b/>
                <w:bCs/>
                <w:color w:val="006699"/>
                <w:sz w:val="20"/>
                <w:szCs w:val="20"/>
              </w:rPr>
              <w:br/>
            </w:r>
            <w:r w:rsidRPr="007C0C31">
              <w:rPr>
                <w:rFonts w:ascii="Verdana" w:hAnsi="Verdana" w:cs="Times New Roman"/>
                <w:b/>
                <w:bCs/>
                <w:color w:val="006699"/>
                <w:sz w:val="20"/>
                <w:szCs w:val="20"/>
              </w:rPr>
              <w:br/>
            </w:r>
            <w:r w:rsidRPr="007C0C31">
              <w:rPr>
                <w:rFonts w:ascii="Verdana" w:hAnsi="Verdana" w:cs="Times New Roman"/>
                <w:color w:val="006699"/>
                <w:sz w:val="20"/>
                <w:szCs w:val="20"/>
              </w:rPr>
              <w:t>89-91 </w:t>
            </w:r>
            <w:r w:rsidRPr="007C0C31">
              <w:rPr>
                <w:rFonts w:ascii="Verdana" w:hAnsi="Verdana" w:cs="Times New Roman"/>
                <w:color w:val="006699"/>
                <w:sz w:val="20"/>
                <w:szCs w:val="20"/>
              </w:rPr>
              <w:br/>
              <w:t>Parlement de Québec, Canada, </w:t>
            </w:r>
            <w:r w:rsidRPr="007C0C31">
              <w:rPr>
                <w:rFonts w:ascii="Verdana" w:hAnsi="Verdana" w:cs="Times New Roman"/>
                <w:b/>
                <w:bCs/>
                <w:color w:val="006699"/>
                <w:sz w:val="20"/>
                <w:szCs w:val="20"/>
              </w:rPr>
              <w:t>Attachée politique</w:t>
            </w:r>
            <w:r w:rsidRPr="007C0C31">
              <w:rPr>
                <w:rFonts w:ascii="Verdana" w:hAnsi="Verdana" w:cs="Times New Roman"/>
                <w:b/>
                <w:bCs/>
                <w:color w:val="006699"/>
                <w:sz w:val="20"/>
                <w:szCs w:val="20"/>
              </w:rPr>
              <w:br/>
            </w:r>
            <w:r w:rsidRPr="007C0C31">
              <w:rPr>
                <w:rFonts w:ascii="Verdana" w:hAnsi="Verdana" w:cs="Times New Roman"/>
                <w:color w:val="006699"/>
                <w:sz w:val="20"/>
                <w:szCs w:val="20"/>
              </w:rPr>
              <w:br/>
              <w:t>86-89 </w:t>
            </w:r>
            <w:r w:rsidRPr="007C0C31">
              <w:rPr>
                <w:rFonts w:ascii="Verdana" w:hAnsi="Verdana" w:cs="Times New Roman"/>
                <w:color w:val="006699"/>
                <w:sz w:val="20"/>
                <w:szCs w:val="20"/>
              </w:rPr>
              <w:br/>
              <w:t>Corporation d’Expansion économique de St Hubert, Canada,</w:t>
            </w:r>
            <w:r w:rsidRPr="007C0C31">
              <w:rPr>
                <w:rFonts w:ascii="Verdana" w:hAnsi="Verdana" w:cs="Times New Roman"/>
                <w:b/>
                <w:bCs/>
                <w:color w:val="006699"/>
                <w:sz w:val="20"/>
                <w:szCs w:val="20"/>
              </w:rPr>
              <w:t>Agent de développement économique</w:t>
            </w:r>
            <w:r w:rsidRPr="007C0C31">
              <w:rPr>
                <w:rFonts w:ascii="Verdana" w:hAnsi="Verdana" w:cs="Times New Roman"/>
                <w:b/>
                <w:bCs/>
                <w:color w:val="006699"/>
                <w:sz w:val="20"/>
                <w:szCs w:val="20"/>
              </w:rPr>
              <w:br/>
            </w:r>
            <w:r w:rsidRPr="007C0C31">
              <w:rPr>
                <w:rFonts w:ascii="Verdana" w:hAnsi="Verdana" w:cs="Times New Roman"/>
                <w:color w:val="006699"/>
                <w:sz w:val="20"/>
                <w:szCs w:val="20"/>
              </w:rPr>
              <w:br/>
            </w:r>
            <w:r w:rsidRPr="007C0C31">
              <w:rPr>
                <w:rFonts w:ascii="Verdana" w:hAnsi="Verdana" w:cs="Times New Roman"/>
                <w:color w:val="006699"/>
                <w:sz w:val="20"/>
                <w:szCs w:val="20"/>
              </w:rPr>
              <w:lastRenderedPageBreak/>
              <w:t>82-86 </w:t>
            </w:r>
            <w:r w:rsidRPr="007C0C31">
              <w:rPr>
                <w:rFonts w:ascii="Verdana" w:hAnsi="Verdana" w:cs="Times New Roman"/>
                <w:color w:val="006699"/>
                <w:sz w:val="20"/>
                <w:szCs w:val="20"/>
              </w:rPr>
              <w:br/>
              <w:t>Université de Montréal – Centre International de Criminologie Comparée, </w:t>
            </w:r>
            <w:r w:rsidRPr="007C0C31">
              <w:rPr>
                <w:rFonts w:ascii="Verdana" w:hAnsi="Verdana" w:cs="Times New Roman"/>
                <w:b/>
                <w:bCs/>
                <w:color w:val="006699"/>
                <w:sz w:val="20"/>
                <w:szCs w:val="20"/>
              </w:rPr>
              <w:t>Agent de recherche</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sz w:val="15"/>
                <w:szCs w:val="15"/>
              </w:rPr>
              <w:br/>
              <w:t> </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color w:val="990000"/>
                <w:sz w:val="20"/>
                <w:szCs w:val="20"/>
              </w:rPr>
              <w:t>Champs d'action</w:t>
            </w:r>
          </w:p>
          <w:p w:rsidR="007C0C31" w:rsidRPr="007C0C31" w:rsidRDefault="007C0C31" w:rsidP="007C0C31">
            <w:pPr>
              <w:rPr>
                <w:rFonts w:ascii="Verdana" w:eastAsia="Times New Roman" w:hAnsi="Verdana" w:cs="Times New Roman"/>
                <w:sz w:val="15"/>
                <w:szCs w:val="15"/>
              </w:rPr>
            </w:pPr>
            <w:r w:rsidRPr="007C0C31">
              <w:rPr>
                <w:rFonts w:ascii="Verdana" w:eastAsia="Times New Roman" w:hAnsi="Verdana" w:cs="Times New Roman"/>
                <w:sz w:val="15"/>
                <w:szCs w:val="15"/>
              </w:rPr>
              <w:pict>
                <v:rect id="_x0000_i1029" style="width:0;height:1.5pt" o:hralign="center" o:hrstd="t" o:hr="t" fillcolor="#aaa" stroked="f"/>
              </w:pict>
            </w:r>
          </w:p>
          <w:p w:rsidR="007C0C31" w:rsidRPr="007C0C31" w:rsidRDefault="007C0C31" w:rsidP="007C0C31">
            <w:pPr>
              <w:numPr>
                <w:ilvl w:val="0"/>
                <w:numId w:val="1"/>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Gestion de l’innovation et conduite de projets technologiques</w:t>
            </w:r>
          </w:p>
          <w:p w:rsidR="007C0C31" w:rsidRPr="007C0C31" w:rsidRDefault="007C0C31" w:rsidP="007C0C31">
            <w:pPr>
              <w:numPr>
                <w:ilvl w:val="0"/>
                <w:numId w:val="1"/>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Organisation et gestion des ressources humaines</w:t>
            </w:r>
          </w:p>
          <w:p w:rsidR="007C0C31" w:rsidRPr="007C0C31" w:rsidRDefault="007C0C31" w:rsidP="007C0C31">
            <w:pPr>
              <w:numPr>
                <w:ilvl w:val="0"/>
                <w:numId w:val="1"/>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Transformation du travail et des organisations </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color w:val="990000"/>
                <w:sz w:val="20"/>
                <w:szCs w:val="20"/>
              </w:rPr>
              <w:t>Principales missions réalisées</w:t>
            </w:r>
          </w:p>
          <w:p w:rsidR="007C0C31" w:rsidRPr="007C0C31" w:rsidRDefault="007C0C31" w:rsidP="007C0C31">
            <w:pPr>
              <w:rPr>
                <w:rFonts w:ascii="Verdana" w:eastAsia="Times New Roman" w:hAnsi="Verdana" w:cs="Times New Roman"/>
                <w:sz w:val="15"/>
                <w:szCs w:val="15"/>
              </w:rPr>
            </w:pPr>
            <w:r w:rsidRPr="007C0C31">
              <w:rPr>
                <w:rFonts w:ascii="Verdana" w:eastAsia="Times New Roman" w:hAnsi="Verdana" w:cs="Times New Roman"/>
                <w:sz w:val="15"/>
                <w:szCs w:val="15"/>
              </w:rPr>
              <w:pict>
                <v:rect id="_x0000_i1030" style="width:0;height:1.5pt" o:hralign="center" o:hrstd="t" o:hr="t" fillcolor="#aaa" stroked="f"/>
              </w:pic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i/>
                <w:iCs/>
                <w:color w:val="990000"/>
                <w:sz w:val="20"/>
                <w:szCs w:val="20"/>
              </w:rPr>
              <w:t>Missions d'accompagnement</w:t>
            </w:r>
          </w:p>
          <w:p w:rsidR="007C0C31" w:rsidRPr="007C0C31" w:rsidRDefault="007C0C31" w:rsidP="007C0C31">
            <w:pPr>
              <w:numPr>
                <w:ilvl w:val="0"/>
                <w:numId w:val="2"/>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Restructuration de la fonction « Ressources humaines » chez un importateur automobile (1500 personnes en Belgique), audit, recommandations et accompagnement de la restructuration.  Bruxelles, en cours</w:t>
            </w:r>
          </w:p>
          <w:p w:rsidR="007C0C31" w:rsidRPr="007C0C31" w:rsidRDefault="007C0C31" w:rsidP="007C0C31">
            <w:pPr>
              <w:numPr>
                <w:ilvl w:val="0"/>
                <w:numId w:val="2"/>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Audit de la gestion des ressources humaines dans 12 PME à forte croissance dans le cadre de l’Académie de croissance des entreprises, animation d’un séminaire de réflexion stratégique sur la GRH et établissement de plans d’action en matière de GRH.  Région Wallonne, 2003</w:t>
            </w:r>
          </w:p>
          <w:p w:rsidR="007C0C31" w:rsidRPr="007C0C31" w:rsidRDefault="007C0C31" w:rsidP="007C0C31">
            <w:pPr>
              <w:numPr>
                <w:ilvl w:val="0"/>
                <w:numId w:val="2"/>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Définition de nouvelles politiques et procédures de GRH et accompagnement des changements, dans le cadre de la réorganisation d’une entreprise multinationale de fabrication métallique (3000 personnes).  Liège, 2002 - 2003</w:t>
            </w:r>
          </w:p>
          <w:p w:rsidR="007C0C31" w:rsidRPr="007C0C31" w:rsidRDefault="007C0C31" w:rsidP="007C0C31">
            <w:pPr>
              <w:numPr>
                <w:ilvl w:val="0"/>
                <w:numId w:val="2"/>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Mise en place d’une politique et de procédures de GRH dans un office de placement de travailleurs temporaires en voie de privatisation (120 personnes en Belgique).  Charleroi, 2001</w:t>
            </w:r>
          </w:p>
          <w:p w:rsidR="007C0C31" w:rsidRPr="007C0C31" w:rsidRDefault="007C0C31" w:rsidP="007C0C31">
            <w:pPr>
              <w:numPr>
                <w:ilvl w:val="0"/>
                <w:numId w:val="2"/>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Audit organisationnel et de gestion des ressources humaines dans un bureau d’études (15 personnes), définition de nouvelles politiques et de procédures de gestion. Namur, 2002 - 2003</w:t>
            </w:r>
          </w:p>
          <w:p w:rsidR="007C0C31" w:rsidRPr="007C0C31" w:rsidRDefault="007C0C31" w:rsidP="007C0C31">
            <w:pPr>
              <w:numPr>
                <w:ilvl w:val="0"/>
                <w:numId w:val="2"/>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Reengineering des processus de travail au sein d’une société nationale d’assurances (1500 personnes), audit préalable et mise au point d’une méthodologie d’optimisation des processus.  Belgique, 2000 – 2001</w:t>
            </w:r>
          </w:p>
          <w:p w:rsidR="007C0C31" w:rsidRPr="007C0C31" w:rsidRDefault="007C0C31" w:rsidP="007C0C31">
            <w:pPr>
              <w:numPr>
                <w:ilvl w:val="0"/>
                <w:numId w:val="2"/>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Audit d’un projet de changement organisationnel et structurel au sein d’un office belge de l’emploi et de la formation, recommandations en vue de l’élaboration du nouveau contrat de gestion de l’Office.  Région Wallonne, 2000- 2001</w:t>
            </w:r>
          </w:p>
          <w:p w:rsidR="007C0C31" w:rsidRPr="007C0C31" w:rsidRDefault="007C0C31" w:rsidP="007C0C31">
            <w:pPr>
              <w:spacing w:before="100" w:beforeAutospacing="1" w:after="100" w:afterAutospacing="1"/>
              <w:rPr>
                <w:rFonts w:ascii="Verdana" w:hAnsi="Verdana" w:cs="Times New Roman"/>
                <w:i/>
                <w:iCs/>
                <w:color w:val="006699"/>
                <w:sz w:val="20"/>
                <w:szCs w:val="20"/>
              </w:rPr>
            </w:pP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i/>
                <w:iCs/>
                <w:color w:val="990000"/>
                <w:sz w:val="20"/>
                <w:szCs w:val="20"/>
              </w:rPr>
              <w:t>Missions de recherche</w:t>
            </w:r>
          </w:p>
          <w:p w:rsidR="007C0C31" w:rsidRPr="007C0C31" w:rsidRDefault="007C0C31" w:rsidP="007C0C31">
            <w:pPr>
              <w:numPr>
                <w:ilvl w:val="0"/>
                <w:numId w:val="3"/>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Responsable d’un projet de recherche (PRISME) sur les mutations de l’emploi : étude des nouvelles formes d’entreprises et des trajectoires professionnelles dans ces entreprises, identification de nouveaux itinéraires de carrière et profils de compétence </w:t>
            </w:r>
            <w:r w:rsidRPr="007C0C31">
              <w:rPr>
                <w:rFonts w:ascii="Verdana" w:eastAsia="Times New Roman" w:hAnsi="Verdana" w:cs="Times New Roman"/>
                <w:color w:val="006699"/>
                <w:sz w:val="20"/>
                <w:szCs w:val="20"/>
              </w:rPr>
              <w:br/>
              <w:t>Projet financé par le Fonds Social Européen (Objectif 3), 2003 - 2004</w:t>
            </w:r>
          </w:p>
          <w:p w:rsidR="007C0C31" w:rsidRPr="007C0C31" w:rsidRDefault="007C0C31" w:rsidP="007C0C31">
            <w:pPr>
              <w:numPr>
                <w:ilvl w:val="0"/>
                <w:numId w:val="3"/>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Etude de l’impact du droit des technologies d’information et de communication sur les stratégies d’entreprise, en collaboration avec l’unité de recherche en Droit du professeur Franklin Dehousse</w:t>
            </w:r>
            <w:r w:rsidRPr="007C0C31">
              <w:rPr>
                <w:rFonts w:ascii="Verdana" w:eastAsia="Times New Roman" w:hAnsi="Verdana" w:cs="Times New Roman"/>
                <w:color w:val="006699"/>
                <w:sz w:val="20"/>
                <w:szCs w:val="20"/>
              </w:rPr>
              <w:br/>
              <w:t>Projet financé dans le cadre du programme ARC - Actions de Recherche Concertée de la Communauté Française de Belgique, 2000 - 2005</w:t>
            </w:r>
          </w:p>
          <w:p w:rsidR="007C0C31" w:rsidRPr="007C0C31" w:rsidRDefault="007C0C31" w:rsidP="007C0C31">
            <w:pPr>
              <w:numPr>
                <w:ilvl w:val="0"/>
                <w:numId w:val="3"/>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Responsable d’un projet de recherche européen (4 pays et 12 partenaires) sur la responsabilité sociale dans les nouvelles formes d’entreprise et de travail (RELIER) : élaboration d’un dispositif de formation en présentiel et à distance (e-learning)</w:t>
            </w:r>
            <w:r w:rsidRPr="007C0C31">
              <w:rPr>
                <w:rFonts w:ascii="Verdana" w:eastAsia="Times New Roman" w:hAnsi="Verdana" w:cs="Times New Roman"/>
                <w:color w:val="006699"/>
                <w:sz w:val="20"/>
                <w:szCs w:val="20"/>
              </w:rPr>
              <w:br/>
              <w:t>Projet financé par l’Article 6 du Fonds Social Européen, 2001 - 2004</w:t>
            </w:r>
          </w:p>
          <w:p w:rsidR="007C0C31" w:rsidRPr="007C0C31" w:rsidRDefault="007C0C31" w:rsidP="007C0C31">
            <w:pPr>
              <w:numPr>
                <w:ilvl w:val="0"/>
                <w:numId w:val="3"/>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Responsable d’un projet de recherche-action sur la gestion des TIC au sein de PME, en collaboration avec un centre de compétences wallon, élaboration d’une méthodologie d’auto-diagnostic et de réflexion stratégique en matière de e-Business et de gestion des changements induits.  Liège, 2000 à aujourd’hui</w:t>
            </w:r>
          </w:p>
          <w:p w:rsidR="007C0C31" w:rsidRPr="007C0C31" w:rsidRDefault="007C0C31" w:rsidP="007C0C31">
            <w:pPr>
              <w:numPr>
                <w:ilvl w:val="0"/>
                <w:numId w:val="3"/>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Responsable d’une recherche-action sur la conduite du changement organisationnel lié aux TIC pour l’Agence Nationale d’Amélioration des Conditions de Travail (ANACT), test d’une méthodologie de gestion du changement au sein trois projets informatiques d’entreprises.  France, 2001 – 2003</w:t>
            </w:r>
          </w:p>
          <w:p w:rsidR="007C0C31" w:rsidRPr="007C0C31" w:rsidRDefault="007C0C31" w:rsidP="007C0C31">
            <w:pPr>
              <w:numPr>
                <w:ilvl w:val="0"/>
                <w:numId w:val="3"/>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Etude sur l’émergence de nouveaux métiers liés au développement des TIC pour la direction générale des industries des technologies d’information et de la poste (DIGITIP) du ministère de l’Industrie. France, 2002</w:t>
            </w:r>
          </w:p>
          <w:p w:rsidR="007C0C31" w:rsidRPr="007C0C31" w:rsidRDefault="007C0C31" w:rsidP="007C0C31">
            <w:pPr>
              <w:numPr>
                <w:ilvl w:val="0"/>
                <w:numId w:val="3"/>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Responsable d’une étude sur la situation belge en matière de pénétration des TIC dans les secteurs scolaires, de l’administration communale et du non-marchand</w:t>
            </w:r>
            <w:r w:rsidRPr="007C0C31">
              <w:rPr>
                <w:rFonts w:ascii="Verdana" w:eastAsia="Times New Roman" w:hAnsi="Verdana" w:cs="Times New Roman"/>
                <w:color w:val="006699"/>
                <w:sz w:val="20"/>
                <w:szCs w:val="20"/>
              </w:rPr>
              <w:br/>
              <w:t>Projet financé par la Fondation Roi Baudouin, 2001</w:t>
            </w:r>
          </w:p>
          <w:p w:rsidR="007C0C31" w:rsidRPr="007C0C31" w:rsidRDefault="007C0C31" w:rsidP="007C0C31">
            <w:pPr>
              <w:numPr>
                <w:ilvl w:val="0"/>
                <w:numId w:val="3"/>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Membre d’un réseau européen d’excellence qui se constitue autour de l’IAE de Paris (Institut d’Administration des Entreprises) pour étudier les effets sur les organisations des progiciels de gestion intégrée </w:t>
            </w:r>
            <w:r w:rsidRPr="007C0C31">
              <w:rPr>
                <w:rFonts w:ascii="Verdana" w:eastAsia="Times New Roman" w:hAnsi="Verdana" w:cs="Times New Roman"/>
                <w:color w:val="006699"/>
                <w:sz w:val="20"/>
                <w:szCs w:val="20"/>
              </w:rPr>
              <w:br/>
              <w:t>Projet soumis à financement dans le cadre du 6ème programme cadre de recherche et développement de la Commission européenne</w:t>
            </w:r>
          </w:p>
          <w:p w:rsidR="007C0C31" w:rsidRPr="007C0C31" w:rsidRDefault="007C0C31" w:rsidP="007C0C31">
            <w:pPr>
              <w:numPr>
                <w:ilvl w:val="0"/>
                <w:numId w:val="3"/>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Membre d’un réseau européen de recherche sur les restructurations liées aux TIC, mis sur pied par la Fondation Européenne d’Amélioration des Conditions de Travail </w:t>
            </w:r>
            <w:r w:rsidRPr="007C0C31">
              <w:rPr>
                <w:rFonts w:ascii="Verdana" w:eastAsia="Times New Roman" w:hAnsi="Verdana" w:cs="Times New Roman"/>
                <w:color w:val="006699"/>
                <w:sz w:val="20"/>
                <w:szCs w:val="20"/>
              </w:rPr>
              <w:br/>
              <w:t>Projet financé par la Fondation de Dublin (EMCC – Observatoire européen du changement)</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i/>
                <w:iCs/>
                <w:color w:val="990000"/>
                <w:sz w:val="20"/>
                <w:szCs w:val="20"/>
              </w:rPr>
              <w:t>Missions d'évaluation</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sz w:val="15"/>
                <w:szCs w:val="15"/>
              </w:rPr>
              <w:t> </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i/>
                <w:iCs/>
                <w:color w:val="990000"/>
                <w:sz w:val="20"/>
                <w:szCs w:val="20"/>
              </w:rPr>
              <w:t>Missions de formation</w:t>
            </w:r>
          </w:p>
          <w:p w:rsidR="007C0C31" w:rsidRPr="007C0C31" w:rsidRDefault="007C0C31" w:rsidP="007C0C31">
            <w:pPr>
              <w:numPr>
                <w:ilvl w:val="0"/>
                <w:numId w:val="4"/>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 Internet et le changement dans les organisations » - Conception et animation d’un module de 4h00 dans le cadre du DES en commerce électronique de l’ICHEC. Bruxelles, mars 2002 et juin 2004</w:t>
            </w:r>
          </w:p>
          <w:p w:rsidR="007C0C31" w:rsidRPr="007C0C31" w:rsidRDefault="007C0C31" w:rsidP="007C0C31">
            <w:pPr>
              <w:numPr>
                <w:ilvl w:val="0"/>
                <w:numId w:val="4"/>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 Gestion stratégique de l’Internet – module économique » - Conception et animation d’un module de 15h00 dans le cadre de la licence en ingéniorat commercial de l’Ecole d’Administration des Affaires de l’Université de Liège.  </w:t>
            </w:r>
            <w:r w:rsidRPr="007C0C31">
              <w:rPr>
                <w:rFonts w:ascii="Verdana" w:eastAsia="Times New Roman" w:hAnsi="Verdana" w:cs="Times New Roman"/>
                <w:color w:val="006699"/>
                <w:sz w:val="20"/>
                <w:szCs w:val="20"/>
              </w:rPr>
              <w:br/>
              <w:t>Liège, avril 2003 et avril 2004</w:t>
            </w:r>
          </w:p>
          <w:p w:rsidR="007C0C31" w:rsidRPr="007C0C31" w:rsidRDefault="007C0C31" w:rsidP="007C0C31">
            <w:pPr>
              <w:numPr>
                <w:ilvl w:val="0"/>
                <w:numId w:val="4"/>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 La e-GRH » - Conception et animation d’un module de 7h30 dans le cadre d’un programme de formation au management, « PUMP », des cadres supérieurs de la fonction publique belge, programme coordonné par l’Ecole de Commerce Solvay de l’Université Libre de Bruxelles.  Bruxelles, mars 2003 et mars 2004</w:t>
            </w:r>
          </w:p>
          <w:p w:rsidR="007C0C31" w:rsidRPr="007C0C31" w:rsidRDefault="007C0C31" w:rsidP="007C0C31">
            <w:pPr>
              <w:numPr>
                <w:ilvl w:val="0"/>
                <w:numId w:val="4"/>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  La gestion du changement » - Conception et animation d’une journée de formation à destination des conseillers en TIC du centre de compétences wallon, Technifutur – Liège, septembre 2003</w:t>
            </w:r>
          </w:p>
          <w:p w:rsidR="007C0C31" w:rsidRPr="007C0C31" w:rsidRDefault="007C0C31" w:rsidP="007C0C31">
            <w:pPr>
              <w:numPr>
                <w:ilvl w:val="0"/>
                <w:numId w:val="4"/>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 GRH et Organisations en changement » - Conception et animation d’un module de 7h30 dans le cadre du programme de formation au management, « DML », d’officiers supérieurs belges et étrangers, organisé par l’Institut supérieur belge de la Défense.  Bruxelles, octobre 2003</w:t>
            </w:r>
          </w:p>
          <w:p w:rsidR="007C0C31" w:rsidRPr="007C0C31" w:rsidRDefault="007C0C31" w:rsidP="007C0C31">
            <w:pPr>
              <w:numPr>
                <w:ilvl w:val="0"/>
                <w:numId w:val="4"/>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 Aspects socio-économiques du changement dans les organisations » - Conception et animation d’un module de 15 heures dans le cadre du programme de formation en management des technologies d’information, « MeTI », de l’institut des Hautes Etudes Commerciales de Liège.  Liège, mars 2004</w:t>
            </w:r>
          </w:p>
          <w:p w:rsidR="007C0C31" w:rsidRPr="007C0C31" w:rsidRDefault="007C0C31" w:rsidP="007C0C31">
            <w:pPr>
              <w:numPr>
                <w:ilvl w:val="0"/>
                <w:numId w:val="4"/>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 Lien social et nouvelles formes d’organisation » - Conception et animation d’un module de 7h30 dans le cadre du programme de formation continue en Ressources Humaines de l’ESCP (Ecole Supérieure de Commerce de Paris).  Paris, septembre 2004</w:t>
            </w:r>
          </w:p>
          <w:p w:rsidR="007C0C31" w:rsidRPr="007C0C31" w:rsidRDefault="007C0C31" w:rsidP="007C0C31">
            <w:pPr>
              <w:numPr>
                <w:ilvl w:val="0"/>
                <w:numId w:val="4"/>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Partenaire d’un projet européen d’organisation de la première Université européenne d’été du Travail (Nantes, août 2004)</w:t>
            </w:r>
            <w:r w:rsidRPr="007C0C31">
              <w:rPr>
                <w:rFonts w:ascii="Verdana" w:eastAsia="Times New Roman" w:hAnsi="Verdana" w:cs="Times New Roman"/>
                <w:color w:val="006699"/>
                <w:sz w:val="20"/>
                <w:szCs w:val="20"/>
              </w:rPr>
              <w:br/>
              <w:t>Projet financé par la ligne budgétaire « Dialogue social » de la DG Emploi de la commission européenne, 2003 - 2004</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sz w:val="15"/>
                <w:szCs w:val="15"/>
              </w:rPr>
              <w:t> </w:t>
            </w:r>
          </w:p>
          <w:p w:rsidR="007C0C31" w:rsidRPr="007C0C31" w:rsidRDefault="007C0C31" w:rsidP="007C0C31">
            <w:pPr>
              <w:spacing w:before="100" w:beforeAutospacing="1" w:after="100" w:afterAutospacing="1"/>
              <w:rPr>
                <w:rFonts w:ascii="Verdana" w:hAnsi="Verdana" w:cs="Times New Roman"/>
                <w:sz w:val="15"/>
                <w:szCs w:val="15"/>
              </w:rPr>
            </w:pPr>
            <w:r w:rsidRPr="007C0C31">
              <w:rPr>
                <w:rFonts w:ascii="Verdana" w:hAnsi="Verdana" w:cs="Times New Roman"/>
                <w:b/>
                <w:bCs/>
                <w:color w:val="990000"/>
                <w:sz w:val="20"/>
                <w:szCs w:val="20"/>
              </w:rPr>
              <w:t>Principales publications</w:t>
            </w:r>
          </w:p>
          <w:p w:rsidR="007C0C31" w:rsidRPr="007C0C31" w:rsidRDefault="007C0C31" w:rsidP="007C0C31">
            <w:pPr>
              <w:rPr>
                <w:rFonts w:ascii="Verdana" w:eastAsia="Times New Roman" w:hAnsi="Verdana" w:cs="Times New Roman"/>
                <w:sz w:val="15"/>
                <w:szCs w:val="15"/>
              </w:rPr>
            </w:pPr>
            <w:r w:rsidRPr="007C0C31">
              <w:rPr>
                <w:rFonts w:ascii="Verdana" w:eastAsia="Times New Roman" w:hAnsi="Verdana" w:cs="Times New Roman"/>
                <w:sz w:val="15"/>
                <w:szCs w:val="15"/>
              </w:rPr>
              <w:pict>
                <v:rect id="_x0000_i1031" style="width:0;height:1.5pt" o:hralign="center" o:hrstd="t" o:hr="t" fillcolor="#aaa" stroked="f"/>
              </w:pic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Managing Change in Network Firms : The Role of Link Agent, avec I. Donnay et D. Deflandre, XIIème "European congress of Work and Organizational Psychology-Convivence in Organizations and Society", 12-15 Mai, Istanbul.</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Une tentative d'ordonnancement des nouvelles formes d'organisation, </w:t>
            </w:r>
            <w:r w:rsidRPr="007C0C31">
              <w:rPr>
                <w:rFonts w:ascii="Verdana" w:eastAsia="Times New Roman" w:hAnsi="Verdana" w:cs="Times New Roman"/>
                <w:i/>
                <w:iCs/>
                <w:color w:val="006699"/>
                <w:sz w:val="20"/>
                <w:szCs w:val="20"/>
              </w:rPr>
              <w:t>Gérer et comprendre</w:t>
            </w:r>
            <w:r w:rsidRPr="007C0C31">
              <w:rPr>
                <w:rFonts w:ascii="Verdana" w:eastAsia="Times New Roman" w:hAnsi="Verdana" w:cs="Times New Roman"/>
                <w:color w:val="006699"/>
                <w:sz w:val="20"/>
                <w:szCs w:val="20"/>
              </w:rPr>
              <w:t>, mars 2005, n°79, pp.  63-75.</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L'administration locale dans la société de l'information : de la diffusion à la traduction, avec O.Lisein,</w:t>
            </w:r>
            <w:r w:rsidRPr="007C0C31">
              <w:rPr>
                <w:rFonts w:ascii="Verdana" w:eastAsia="Times New Roman" w:hAnsi="Verdana" w:cs="Times New Roman"/>
                <w:i/>
                <w:iCs/>
                <w:color w:val="006699"/>
                <w:sz w:val="20"/>
                <w:szCs w:val="20"/>
              </w:rPr>
              <w:t>Système d'Information et Management</w:t>
            </w:r>
            <w:r w:rsidRPr="007C0C31">
              <w:rPr>
                <w:rFonts w:ascii="Verdana" w:eastAsia="Times New Roman" w:hAnsi="Verdana" w:cs="Times New Roman"/>
                <w:color w:val="006699"/>
                <w:sz w:val="20"/>
                <w:szCs w:val="20"/>
              </w:rPr>
              <w:t>, 2005, vol.10, n°1, mars 2005,pp.39-62.</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Restructurations stratégiques et vulnérabilité au travail, IRES, Séminaire Restructurations, "Restructuration, travail et vécu des salariés", Paris, 2004.</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Le modèle de la traduction pour gérer les e-projets : expérimentations et repères pour la conduite du changement, Collection Etudes et Documents, ANACT, Lyon, 2004,</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Des innovations organisationnelles aux innovations en GRH, Actes du XIVème Congrès de l’AGRH (Association internationale de Gestion des Ressources Humaines), Grenoble, Novembre 2003, pp. 2193-2225</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La responsabilité sociale dans les organisations en réseau : enjeux et contraintes des modes actuels de régulation, Actes du colloque « La responsabilité globale de l’entreprise : un nouveau mode de régulation de l’entreprise ? », Nantes, Haute école de commerce Audencia, Octobre 2003</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Qui porte la responsabilité dans l’entreprise réseau ?, Actes de la 5ème Université de Printemps de l’Audit Social, IAE de Corse, mai 2003, pp. 320-329</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What does bind togeteher virtual teams, Actes du 11th European Congress on Work and Organizational Psychology, Lisbonne, mai 2003</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Restructurations et nouveaux périmètres organisationnels : le rôle de la fonction RH, Journée d’étude « Les restructurations : Volonté ou Fatalié, IAE de Paris, 27 Février 2003, en collaboration avec François Pichault</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Nouvelles Formes de travail et relations sociales : la montée des « faux salarié », Journée d’étude sur les nouvelles formes de travail, FAR, Liège, 8 avril 2002, en collaboration avec Virginie Xhauflair et Stéphanie Bonnivert</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TIC et métiers en émergence: une approche compréhensive de la constitution de nouvelles logiques professionnelles », avec F. Pichault et M.Zune, dans Kalika, M. (éd.), e-GRH : évolution ou révolution ?, Paris, Vuibert, 2002, pp.279-294.</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TIC et métiers en émergence, ministère de l’Economie, des Finances et de l’Industrie, Collection SESSI, 2002</w:t>
            </w:r>
          </w:p>
          <w:p w:rsidR="007C0C31" w:rsidRPr="007C0C31" w:rsidRDefault="007C0C31" w:rsidP="007C0C31">
            <w:pPr>
              <w:numPr>
                <w:ilvl w:val="0"/>
                <w:numId w:val="5"/>
              </w:numPr>
              <w:spacing w:before="100" w:beforeAutospacing="1" w:after="100" w:afterAutospacing="1"/>
              <w:ind w:left="1020"/>
              <w:rPr>
                <w:rFonts w:ascii="Verdana" w:eastAsia="Times New Roman" w:hAnsi="Verdana" w:cs="Times New Roman"/>
                <w:color w:val="000000"/>
                <w:sz w:val="16"/>
                <w:szCs w:val="16"/>
              </w:rPr>
            </w:pPr>
            <w:r w:rsidRPr="007C0C31">
              <w:rPr>
                <w:rFonts w:ascii="Verdana" w:eastAsia="Times New Roman" w:hAnsi="Verdana" w:cs="Times New Roman"/>
                <w:color w:val="006699"/>
                <w:sz w:val="20"/>
                <w:szCs w:val="20"/>
              </w:rPr>
              <w:t>L’intégration d’une stratégie de business électronique dans l’entreprise : enseignements liés à la réalisation d’audits stratégiques et organisationnels en entreprise, Symposium « GRH et Stratégies e-business », XIIIème congrès de l’AGRH, Nantes, Novembre 2002</w:t>
            </w:r>
          </w:p>
        </w:tc>
        <w:tc>
          <w:tcPr>
            <w:tcW w:w="0" w:type="auto"/>
            <w:shd w:val="clear" w:color="auto" w:fill="FFFFFF"/>
            <w:vAlign w:val="center"/>
            <w:hideMark/>
          </w:tcPr>
          <w:p w:rsidR="007C0C31" w:rsidRPr="007C0C31" w:rsidRDefault="007C0C31" w:rsidP="007C0C31">
            <w:pPr>
              <w:rPr>
                <w:rFonts w:ascii="Times New Roman" w:eastAsia="Times New Roman" w:hAnsi="Times New Roman" w:cs="Times New Roman"/>
                <w:sz w:val="20"/>
                <w:szCs w:val="20"/>
              </w:rPr>
            </w:pPr>
          </w:p>
        </w:tc>
      </w:tr>
    </w:tbl>
    <w:p w:rsidR="009A3CBD" w:rsidRDefault="009A3CBD">
      <w:bookmarkStart w:id="0" w:name="_GoBack"/>
      <w:bookmarkEnd w:id="0"/>
    </w:p>
    <w:sectPr w:rsidR="009A3CBD"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3F5B"/>
    <w:multiLevelType w:val="multilevel"/>
    <w:tmpl w:val="70F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E588A"/>
    <w:multiLevelType w:val="multilevel"/>
    <w:tmpl w:val="E96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6257D"/>
    <w:multiLevelType w:val="multilevel"/>
    <w:tmpl w:val="E79E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546706"/>
    <w:multiLevelType w:val="multilevel"/>
    <w:tmpl w:val="3D5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86C94"/>
    <w:multiLevelType w:val="multilevel"/>
    <w:tmpl w:val="4FE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31"/>
    <w:rsid w:val="007C0C31"/>
    <w:rsid w:val="009A3C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BB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C0C31"/>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7C0C31"/>
    <w:rPr>
      <w:b/>
      <w:bCs/>
    </w:rPr>
  </w:style>
  <w:style w:type="character" w:customStyle="1" w:styleId="apple-converted-space">
    <w:name w:val="apple-converted-space"/>
    <w:basedOn w:val="Policepardfaut"/>
    <w:rsid w:val="007C0C31"/>
  </w:style>
  <w:style w:type="character" w:styleId="Accentuation">
    <w:name w:val="Emphasis"/>
    <w:basedOn w:val="Policepardfaut"/>
    <w:uiPriority w:val="20"/>
    <w:qFormat/>
    <w:rsid w:val="007C0C31"/>
    <w:rPr>
      <w:i/>
      <w:iCs/>
    </w:rPr>
  </w:style>
  <w:style w:type="character" w:styleId="Lienhypertexte">
    <w:name w:val="Hyperlink"/>
    <w:basedOn w:val="Policepardfaut"/>
    <w:uiPriority w:val="99"/>
    <w:semiHidden/>
    <w:unhideWhenUsed/>
    <w:rsid w:val="007C0C3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C0C31"/>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7C0C31"/>
    <w:rPr>
      <w:b/>
      <w:bCs/>
    </w:rPr>
  </w:style>
  <w:style w:type="character" w:customStyle="1" w:styleId="apple-converted-space">
    <w:name w:val="apple-converted-space"/>
    <w:basedOn w:val="Policepardfaut"/>
    <w:rsid w:val="007C0C31"/>
  </w:style>
  <w:style w:type="character" w:styleId="Accentuation">
    <w:name w:val="Emphasis"/>
    <w:basedOn w:val="Policepardfaut"/>
    <w:uiPriority w:val="20"/>
    <w:qFormat/>
    <w:rsid w:val="007C0C31"/>
    <w:rPr>
      <w:i/>
      <w:iCs/>
    </w:rPr>
  </w:style>
  <w:style w:type="character" w:styleId="Lienhypertexte">
    <w:name w:val="Hyperlink"/>
    <w:basedOn w:val="Policepardfaut"/>
    <w:uiPriority w:val="99"/>
    <w:semiHidden/>
    <w:unhideWhenUsed/>
    <w:rsid w:val="007C0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603798">
      <w:bodyDiv w:val="1"/>
      <w:marLeft w:val="0"/>
      <w:marRight w:val="0"/>
      <w:marTop w:val="0"/>
      <w:marBottom w:val="0"/>
      <w:divBdr>
        <w:top w:val="none" w:sz="0" w:space="0" w:color="auto"/>
        <w:left w:val="none" w:sz="0" w:space="0" w:color="auto"/>
        <w:bottom w:val="none" w:sz="0" w:space="0" w:color="auto"/>
        <w:right w:val="none" w:sz="0" w:space="0" w:color="auto"/>
      </w:divBdr>
      <w:divsChild>
        <w:div w:id="1669946583">
          <w:marLeft w:val="0"/>
          <w:marRight w:val="0"/>
          <w:marTop w:val="0"/>
          <w:marBottom w:val="0"/>
          <w:divBdr>
            <w:top w:val="none" w:sz="0" w:space="0" w:color="auto"/>
            <w:left w:val="none" w:sz="0" w:space="0" w:color="auto"/>
            <w:bottom w:val="none" w:sz="0" w:space="0" w:color="auto"/>
            <w:right w:val="none" w:sz="0" w:space="0" w:color="auto"/>
          </w:divBdr>
        </w:div>
        <w:div w:id="1098796503">
          <w:marLeft w:val="0"/>
          <w:marRight w:val="0"/>
          <w:marTop w:val="0"/>
          <w:marBottom w:val="0"/>
          <w:divBdr>
            <w:top w:val="none" w:sz="0" w:space="0" w:color="auto"/>
            <w:left w:val="none" w:sz="0" w:space="0" w:color="auto"/>
            <w:bottom w:val="none" w:sz="0" w:space="0" w:color="auto"/>
            <w:right w:val="none" w:sz="0" w:space="0" w:color="auto"/>
          </w:divBdr>
        </w:div>
        <w:div w:id="1600984544">
          <w:marLeft w:val="0"/>
          <w:marRight w:val="0"/>
          <w:marTop w:val="0"/>
          <w:marBottom w:val="0"/>
          <w:divBdr>
            <w:top w:val="none" w:sz="0" w:space="0" w:color="auto"/>
            <w:left w:val="none" w:sz="0" w:space="0" w:color="auto"/>
            <w:bottom w:val="none" w:sz="0" w:space="0" w:color="auto"/>
            <w:right w:val="none" w:sz="0" w:space="0" w:color="auto"/>
          </w:divBdr>
        </w:div>
        <w:div w:id="1210875556">
          <w:marLeft w:val="0"/>
          <w:marRight w:val="0"/>
          <w:marTop w:val="0"/>
          <w:marBottom w:val="0"/>
          <w:divBdr>
            <w:top w:val="none" w:sz="0" w:space="0" w:color="auto"/>
            <w:left w:val="none" w:sz="0" w:space="0" w:color="auto"/>
            <w:bottom w:val="none" w:sz="0" w:space="0" w:color="auto"/>
            <w:right w:val="none" w:sz="0" w:space="0" w:color="auto"/>
          </w:divBdr>
        </w:div>
        <w:div w:id="34236992">
          <w:marLeft w:val="0"/>
          <w:marRight w:val="0"/>
          <w:marTop w:val="0"/>
          <w:marBottom w:val="0"/>
          <w:divBdr>
            <w:top w:val="none" w:sz="0" w:space="0" w:color="auto"/>
            <w:left w:val="none" w:sz="0" w:space="0" w:color="auto"/>
            <w:bottom w:val="none" w:sz="0" w:space="0" w:color="auto"/>
            <w:right w:val="none" w:sz="0" w:space="0" w:color="auto"/>
          </w:divBdr>
        </w:div>
        <w:div w:id="829950663">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531800929">
          <w:marLeft w:val="0"/>
          <w:marRight w:val="0"/>
          <w:marTop w:val="0"/>
          <w:marBottom w:val="0"/>
          <w:divBdr>
            <w:top w:val="none" w:sz="0" w:space="0" w:color="auto"/>
            <w:left w:val="none" w:sz="0" w:space="0" w:color="auto"/>
            <w:bottom w:val="none" w:sz="0" w:space="0" w:color="auto"/>
            <w:right w:val="none" w:sz="0" w:space="0" w:color="auto"/>
          </w:divBdr>
        </w:div>
        <w:div w:id="1216353733">
          <w:marLeft w:val="0"/>
          <w:marRight w:val="0"/>
          <w:marTop w:val="0"/>
          <w:marBottom w:val="0"/>
          <w:divBdr>
            <w:top w:val="none" w:sz="0" w:space="0" w:color="auto"/>
            <w:left w:val="none" w:sz="0" w:space="0" w:color="auto"/>
            <w:bottom w:val="none" w:sz="0" w:space="0" w:color="auto"/>
            <w:right w:val="none" w:sz="0" w:space="0" w:color="auto"/>
          </w:divBdr>
        </w:div>
        <w:div w:id="1182626578">
          <w:marLeft w:val="0"/>
          <w:marRight w:val="0"/>
          <w:marTop w:val="0"/>
          <w:marBottom w:val="0"/>
          <w:divBdr>
            <w:top w:val="none" w:sz="0" w:space="0" w:color="auto"/>
            <w:left w:val="none" w:sz="0" w:space="0" w:color="auto"/>
            <w:bottom w:val="none" w:sz="0" w:space="0" w:color="auto"/>
            <w:right w:val="none" w:sz="0" w:space="0" w:color="auto"/>
          </w:divBdr>
        </w:div>
        <w:div w:id="393509636">
          <w:marLeft w:val="0"/>
          <w:marRight w:val="0"/>
          <w:marTop w:val="0"/>
          <w:marBottom w:val="0"/>
          <w:divBdr>
            <w:top w:val="none" w:sz="0" w:space="0" w:color="auto"/>
            <w:left w:val="none" w:sz="0" w:space="0" w:color="auto"/>
            <w:bottom w:val="none" w:sz="0" w:space="0" w:color="auto"/>
            <w:right w:val="none" w:sz="0" w:space="0" w:color="auto"/>
          </w:divBdr>
        </w:div>
        <w:div w:id="2002149015">
          <w:marLeft w:val="0"/>
          <w:marRight w:val="0"/>
          <w:marTop w:val="0"/>
          <w:marBottom w:val="0"/>
          <w:divBdr>
            <w:top w:val="none" w:sz="0" w:space="0" w:color="auto"/>
            <w:left w:val="none" w:sz="0" w:space="0" w:color="auto"/>
            <w:bottom w:val="none" w:sz="0" w:space="0" w:color="auto"/>
            <w:right w:val="none" w:sz="0" w:space="0" w:color="auto"/>
          </w:divBdr>
        </w:div>
        <w:div w:id="1759790911">
          <w:marLeft w:val="0"/>
          <w:marRight w:val="0"/>
          <w:marTop w:val="0"/>
          <w:marBottom w:val="0"/>
          <w:divBdr>
            <w:top w:val="none" w:sz="0" w:space="0" w:color="auto"/>
            <w:left w:val="none" w:sz="0" w:space="0" w:color="auto"/>
            <w:bottom w:val="none" w:sz="0" w:space="0" w:color="auto"/>
            <w:right w:val="none" w:sz="0" w:space="0" w:color="auto"/>
          </w:divBdr>
        </w:div>
        <w:div w:id="1749570354">
          <w:marLeft w:val="0"/>
          <w:marRight w:val="0"/>
          <w:marTop w:val="0"/>
          <w:marBottom w:val="0"/>
          <w:divBdr>
            <w:top w:val="none" w:sz="0" w:space="0" w:color="auto"/>
            <w:left w:val="none" w:sz="0" w:space="0" w:color="auto"/>
            <w:bottom w:val="none" w:sz="0" w:space="0" w:color="auto"/>
            <w:right w:val="none" w:sz="0" w:space="0" w:color="auto"/>
          </w:divBdr>
        </w:div>
        <w:div w:id="906495122">
          <w:marLeft w:val="0"/>
          <w:marRight w:val="0"/>
          <w:marTop w:val="0"/>
          <w:marBottom w:val="0"/>
          <w:divBdr>
            <w:top w:val="none" w:sz="0" w:space="0" w:color="auto"/>
            <w:left w:val="none" w:sz="0" w:space="0" w:color="auto"/>
            <w:bottom w:val="none" w:sz="0" w:space="0" w:color="auto"/>
            <w:right w:val="none" w:sz="0" w:space="0" w:color="auto"/>
          </w:divBdr>
        </w:div>
        <w:div w:id="1349794270">
          <w:marLeft w:val="0"/>
          <w:marRight w:val="0"/>
          <w:marTop w:val="0"/>
          <w:marBottom w:val="0"/>
          <w:divBdr>
            <w:top w:val="none" w:sz="0" w:space="0" w:color="auto"/>
            <w:left w:val="none" w:sz="0" w:space="0" w:color="auto"/>
            <w:bottom w:val="none" w:sz="0" w:space="0" w:color="auto"/>
            <w:right w:val="none" w:sz="0" w:space="0" w:color="auto"/>
          </w:divBdr>
        </w:div>
        <w:div w:id="475267393">
          <w:marLeft w:val="0"/>
          <w:marRight w:val="0"/>
          <w:marTop w:val="0"/>
          <w:marBottom w:val="0"/>
          <w:divBdr>
            <w:top w:val="none" w:sz="0" w:space="0" w:color="auto"/>
            <w:left w:val="none" w:sz="0" w:space="0" w:color="auto"/>
            <w:bottom w:val="none" w:sz="0" w:space="0" w:color="auto"/>
            <w:right w:val="none" w:sz="0" w:space="0" w:color="auto"/>
          </w:divBdr>
        </w:div>
        <w:div w:id="681904219">
          <w:marLeft w:val="0"/>
          <w:marRight w:val="0"/>
          <w:marTop w:val="0"/>
          <w:marBottom w:val="0"/>
          <w:divBdr>
            <w:top w:val="none" w:sz="0" w:space="0" w:color="auto"/>
            <w:left w:val="none" w:sz="0" w:space="0" w:color="auto"/>
            <w:bottom w:val="none" w:sz="0" w:space="0" w:color="auto"/>
            <w:right w:val="none" w:sz="0" w:space="0" w:color="auto"/>
          </w:divBdr>
        </w:div>
        <w:div w:id="95173352">
          <w:marLeft w:val="0"/>
          <w:marRight w:val="0"/>
          <w:marTop w:val="0"/>
          <w:marBottom w:val="0"/>
          <w:divBdr>
            <w:top w:val="none" w:sz="0" w:space="0" w:color="auto"/>
            <w:left w:val="none" w:sz="0" w:space="0" w:color="auto"/>
            <w:bottom w:val="none" w:sz="0" w:space="0" w:color="auto"/>
            <w:right w:val="none" w:sz="0" w:space="0" w:color="auto"/>
          </w:divBdr>
        </w:div>
        <w:div w:id="1717198531">
          <w:marLeft w:val="0"/>
          <w:marRight w:val="0"/>
          <w:marTop w:val="0"/>
          <w:marBottom w:val="0"/>
          <w:divBdr>
            <w:top w:val="none" w:sz="0" w:space="0" w:color="auto"/>
            <w:left w:val="none" w:sz="0" w:space="0" w:color="auto"/>
            <w:bottom w:val="none" w:sz="0" w:space="0" w:color="auto"/>
            <w:right w:val="none" w:sz="0" w:space="0" w:color="auto"/>
          </w:divBdr>
        </w:div>
        <w:div w:id="1969773201">
          <w:marLeft w:val="0"/>
          <w:marRight w:val="0"/>
          <w:marTop w:val="0"/>
          <w:marBottom w:val="0"/>
          <w:divBdr>
            <w:top w:val="none" w:sz="0" w:space="0" w:color="auto"/>
            <w:left w:val="none" w:sz="0" w:space="0" w:color="auto"/>
            <w:bottom w:val="none" w:sz="0" w:space="0" w:color="auto"/>
            <w:right w:val="none" w:sz="0" w:space="0" w:color="auto"/>
          </w:divBdr>
        </w:div>
        <w:div w:id="273051439">
          <w:marLeft w:val="0"/>
          <w:marRight w:val="0"/>
          <w:marTop w:val="0"/>
          <w:marBottom w:val="0"/>
          <w:divBdr>
            <w:top w:val="none" w:sz="0" w:space="0" w:color="auto"/>
            <w:left w:val="none" w:sz="0" w:space="0" w:color="auto"/>
            <w:bottom w:val="none" w:sz="0" w:space="0" w:color="auto"/>
            <w:right w:val="none" w:sz="0" w:space="0" w:color="auto"/>
          </w:divBdr>
        </w:div>
        <w:div w:id="99299588">
          <w:marLeft w:val="0"/>
          <w:marRight w:val="0"/>
          <w:marTop w:val="0"/>
          <w:marBottom w:val="0"/>
          <w:divBdr>
            <w:top w:val="none" w:sz="0" w:space="0" w:color="auto"/>
            <w:left w:val="none" w:sz="0" w:space="0" w:color="auto"/>
            <w:bottom w:val="none" w:sz="0" w:space="0" w:color="auto"/>
            <w:right w:val="none" w:sz="0" w:space="0" w:color="auto"/>
          </w:divBdr>
        </w:div>
        <w:div w:id="1926111166">
          <w:marLeft w:val="0"/>
          <w:marRight w:val="0"/>
          <w:marTop w:val="0"/>
          <w:marBottom w:val="0"/>
          <w:divBdr>
            <w:top w:val="none" w:sz="0" w:space="0" w:color="auto"/>
            <w:left w:val="none" w:sz="0" w:space="0" w:color="auto"/>
            <w:bottom w:val="none" w:sz="0" w:space="0" w:color="auto"/>
            <w:right w:val="none" w:sz="0" w:space="0" w:color="auto"/>
          </w:divBdr>
        </w:div>
        <w:div w:id="1319919701">
          <w:marLeft w:val="0"/>
          <w:marRight w:val="0"/>
          <w:marTop w:val="0"/>
          <w:marBottom w:val="0"/>
          <w:divBdr>
            <w:top w:val="none" w:sz="0" w:space="0" w:color="auto"/>
            <w:left w:val="none" w:sz="0" w:space="0" w:color="auto"/>
            <w:bottom w:val="none" w:sz="0" w:space="0" w:color="auto"/>
            <w:right w:val="none" w:sz="0" w:space="0" w:color="auto"/>
          </w:divBdr>
        </w:div>
        <w:div w:id="824469972">
          <w:marLeft w:val="0"/>
          <w:marRight w:val="0"/>
          <w:marTop w:val="0"/>
          <w:marBottom w:val="0"/>
          <w:divBdr>
            <w:top w:val="none" w:sz="0" w:space="0" w:color="auto"/>
            <w:left w:val="none" w:sz="0" w:space="0" w:color="auto"/>
            <w:bottom w:val="none" w:sz="0" w:space="0" w:color="auto"/>
            <w:right w:val="none" w:sz="0" w:space="0" w:color="auto"/>
          </w:divBdr>
        </w:div>
        <w:div w:id="311182855">
          <w:marLeft w:val="0"/>
          <w:marRight w:val="0"/>
          <w:marTop w:val="0"/>
          <w:marBottom w:val="0"/>
          <w:divBdr>
            <w:top w:val="none" w:sz="0" w:space="0" w:color="auto"/>
            <w:left w:val="none" w:sz="0" w:space="0" w:color="auto"/>
            <w:bottom w:val="none" w:sz="0" w:space="0" w:color="auto"/>
            <w:right w:val="none" w:sz="0" w:space="0" w:color="auto"/>
          </w:divBdr>
        </w:div>
        <w:div w:id="676350870">
          <w:marLeft w:val="0"/>
          <w:marRight w:val="0"/>
          <w:marTop w:val="0"/>
          <w:marBottom w:val="0"/>
          <w:divBdr>
            <w:top w:val="none" w:sz="0" w:space="0" w:color="auto"/>
            <w:left w:val="none" w:sz="0" w:space="0" w:color="auto"/>
            <w:bottom w:val="none" w:sz="0" w:space="0" w:color="auto"/>
            <w:right w:val="none" w:sz="0" w:space="0" w:color="auto"/>
          </w:divBdr>
        </w:div>
        <w:div w:id="1699819021">
          <w:marLeft w:val="0"/>
          <w:marRight w:val="0"/>
          <w:marTop w:val="0"/>
          <w:marBottom w:val="0"/>
          <w:divBdr>
            <w:top w:val="none" w:sz="0" w:space="0" w:color="auto"/>
            <w:left w:val="none" w:sz="0" w:space="0" w:color="auto"/>
            <w:bottom w:val="none" w:sz="0" w:space="0" w:color="auto"/>
            <w:right w:val="none" w:sz="0" w:space="0" w:color="auto"/>
          </w:divBdr>
        </w:div>
        <w:div w:id="1055741081">
          <w:marLeft w:val="0"/>
          <w:marRight w:val="0"/>
          <w:marTop w:val="0"/>
          <w:marBottom w:val="0"/>
          <w:divBdr>
            <w:top w:val="none" w:sz="0" w:space="0" w:color="auto"/>
            <w:left w:val="none" w:sz="0" w:space="0" w:color="auto"/>
            <w:bottom w:val="none" w:sz="0" w:space="0" w:color="auto"/>
            <w:right w:val="none" w:sz="0" w:space="0" w:color="auto"/>
          </w:divBdr>
        </w:div>
        <w:div w:id="11343293">
          <w:marLeft w:val="0"/>
          <w:marRight w:val="0"/>
          <w:marTop w:val="0"/>
          <w:marBottom w:val="0"/>
          <w:divBdr>
            <w:top w:val="none" w:sz="0" w:space="0" w:color="auto"/>
            <w:left w:val="none" w:sz="0" w:space="0" w:color="auto"/>
            <w:bottom w:val="none" w:sz="0" w:space="0" w:color="auto"/>
            <w:right w:val="none" w:sz="0" w:space="0" w:color="auto"/>
          </w:divBdr>
        </w:div>
        <w:div w:id="1919244802">
          <w:marLeft w:val="0"/>
          <w:marRight w:val="0"/>
          <w:marTop w:val="0"/>
          <w:marBottom w:val="0"/>
          <w:divBdr>
            <w:top w:val="none" w:sz="0" w:space="0" w:color="auto"/>
            <w:left w:val="none" w:sz="0" w:space="0" w:color="auto"/>
            <w:bottom w:val="none" w:sz="0" w:space="0" w:color="auto"/>
            <w:right w:val="none" w:sz="0" w:space="0" w:color="auto"/>
          </w:divBdr>
        </w:div>
        <w:div w:id="359355351">
          <w:marLeft w:val="0"/>
          <w:marRight w:val="0"/>
          <w:marTop w:val="0"/>
          <w:marBottom w:val="0"/>
          <w:divBdr>
            <w:top w:val="none" w:sz="0" w:space="0" w:color="auto"/>
            <w:left w:val="none" w:sz="0" w:space="0" w:color="auto"/>
            <w:bottom w:val="none" w:sz="0" w:space="0" w:color="auto"/>
            <w:right w:val="none" w:sz="0" w:space="0" w:color="auto"/>
          </w:divBdr>
        </w:div>
        <w:div w:id="86197">
          <w:marLeft w:val="0"/>
          <w:marRight w:val="0"/>
          <w:marTop w:val="0"/>
          <w:marBottom w:val="0"/>
          <w:divBdr>
            <w:top w:val="none" w:sz="0" w:space="0" w:color="auto"/>
            <w:left w:val="none" w:sz="0" w:space="0" w:color="auto"/>
            <w:bottom w:val="none" w:sz="0" w:space="0" w:color="auto"/>
            <w:right w:val="none" w:sz="0" w:space="0" w:color="auto"/>
          </w:divBdr>
        </w:div>
        <w:div w:id="1164781159">
          <w:marLeft w:val="0"/>
          <w:marRight w:val="0"/>
          <w:marTop w:val="0"/>
          <w:marBottom w:val="0"/>
          <w:divBdr>
            <w:top w:val="none" w:sz="0" w:space="0" w:color="auto"/>
            <w:left w:val="none" w:sz="0" w:space="0" w:color="auto"/>
            <w:bottom w:val="none" w:sz="0" w:space="0" w:color="auto"/>
            <w:right w:val="none" w:sz="0" w:space="0" w:color="auto"/>
          </w:divBdr>
        </w:div>
        <w:div w:id="1618681343">
          <w:marLeft w:val="0"/>
          <w:marRight w:val="0"/>
          <w:marTop w:val="0"/>
          <w:marBottom w:val="0"/>
          <w:divBdr>
            <w:top w:val="none" w:sz="0" w:space="0" w:color="auto"/>
            <w:left w:val="none" w:sz="0" w:space="0" w:color="auto"/>
            <w:bottom w:val="none" w:sz="0" w:space="0" w:color="auto"/>
            <w:right w:val="none" w:sz="0" w:space="0" w:color="auto"/>
          </w:divBdr>
        </w:div>
        <w:div w:id="1437871825">
          <w:marLeft w:val="0"/>
          <w:marRight w:val="0"/>
          <w:marTop w:val="0"/>
          <w:marBottom w:val="0"/>
          <w:divBdr>
            <w:top w:val="none" w:sz="0" w:space="0" w:color="auto"/>
            <w:left w:val="none" w:sz="0" w:space="0" w:color="auto"/>
            <w:bottom w:val="none" w:sz="0" w:space="0" w:color="auto"/>
            <w:right w:val="none" w:sz="0" w:space="0" w:color="auto"/>
          </w:divBdr>
        </w:div>
        <w:div w:id="4429675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rorive@ulg.ac.b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1582</Words>
  <Characters>8703</Characters>
  <Application>Microsoft Macintosh Word</Application>
  <DocSecurity>0</DocSecurity>
  <Lines>72</Lines>
  <Paragraphs>20</Paragraphs>
  <ScaleCrop>false</ScaleCrop>
  <Company/>
  <LinksUpToDate>false</LinksUpToDate>
  <CharactersWithSpaces>10265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1</cp:revision>
  <dcterms:created xsi:type="dcterms:W3CDTF">2014-02-06T13:38:00Z</dcterms:created>
  <dcterms:modified xsi:type="dcterms:W3CDTF">2014-02-06T13:38:00Z</dcterms:modified>
</cp:coreProperties>
</file>