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2AD0" w14:textId="43BC1193" w:rsidR="00D52858" w:rsidRDefault="00D52858" w:rsidP="00DF396F">
      <w:pPr>
        <w:pStyle w:val="Heading1"/>
      </w:pPr>
      <w:r>
        <w:t>Analysis of Global COVID-19 Case Trends</w:t>
      </w:r>
    </w:p>
    <w:p w14:paraId="18AD4DFF" w14:textId="1F925ABC" w:rsidR="00D52858" w:rsidRDefault="00D52858" w:rsidP="00D52858">
      <w:r>
        <w:t xml:space="preserve">The world map visualization captures the distribution of COVID-19 cases globally as of </w:t>
      </w:r>
      <w:r>
        <w:t>January</w:t>
      </w:r>
      <w:r>
        <w:t xml:space="preserve"> 202</w:t>
      </w:r>
      <w:r>
        <w:t>0</w:t>
      </w:r>
      <w:r>
        <w:t xml:space="preserve">. Countries are color-coded by the number of reported cases, ranging from shades of purple (indicating lower cases) to </w:t>
      </w:r>
      <w:r>
        <w:t>yellow</w:t>
      </w:r>
      <w:r>
        <w:t xml:space="preserve"> (representing up to 20 million cases). Several distinct trends are observable in the visualization:</w:t>
      </w:r>
    </w:p>
    <w:p w14:paraId="4B9600B5" w14:textId="4CAF9E83" w:rsidR="00D52858" w:rsidRDefault="00D52858" w:rsidP="00D52858"/>
    <w:p w14:paraId="54A60E1F" w14:textId="13EB61F7" w:rsidR="00D52858" w:rsidRPr="007C428C" w:rsidRDefault="00D52858" w:rsidP="00D52858">
      <w:pPr>
        <w:rPr>
          <w:b/>
          <w:bCs/>
          <w:sz w:val="24"/>
          <w:szCs w:val="24"/>
        </w:rPr>
      </w:pPr>
      <w:r w:rsidRPr="007C428C">
        <w:rPr>
          <w:b/>
          <w:bCs/>
          <w:sz w:val="24"/>
          <w:szCs w:val="24"/>
        </w:rPr>
        <w:t xml:space="preserve">Key </w:t>
      </w:r>
      <w:r w:rsidR="007C428C" w:rsidRPr="007C428C">
        <w:rPr>
          <w:b/>
          <w:bCs/>
          <w:sz w:val="24"/>
          <w:szCs w:val="24"/>
        </w:rPr>
        <w:t>Observations</w:t>
      </w:r>
    </w:p>
    <w:p w14:paraId="26F6C436" w14:textId="77777777" w:rsidR="007C428C" w:rsidRDefault="00D52858" w:rsidP="007C428C">
      <w:pPr>
        <w:pStyle w:val="ListParagraph"/>
        <w:numPr>
          <w:ilvl w:val="0"/>
          <w:numId w:val="1"/>
        </w:numPr>
        <w:ind w:left="284" w:hanging="284"/>
      </w:pPr>
      <w:r>
        <w:t xml:space="preserve">High Case Counts in Europe and Asia: </w:t>
      </w:r>
    </w:p>
    <w:p w14:paraId="2911D22B" w14:textId="77777777" w:rsidR="007C428C" w:rsidRDefault="007C428C" w:rsidP="007C428C">
      <w:pPr>
        <w:pStyle w:val="ListParagraph"/>
        <w:numPr>
          <w:ilvl w:val="0"/>
          <w:numId w:val="2"/>
        </w:numPr>
        <w:ind w:left="851"/>
      </w:pPr>
      <w:r>
        <w:t>In December 2021, the United States and Brazil are highlighted in yellow, indicating the highest monthly case numbers. India and Russia show significant cases, represented in green.</w:t>
      </w:r>
    </w:p>
    <w:p w14:paraId="0D301343" w14:textId="61AA5832" w:rsidR="00D52858" w:rsidRDefault="007C428C" w:rsidP="007C428C">
      <w:pPr>
        <w:pStyle w:val="ListParagraph"/>
        <w:numPr>
          <w:ilvl w:val="0"/>
          <w:numId w:val="2"/>
        </w:numPr>
        <w:ind w:left="851"/>
      </w:pPr>
      <w:r>
        <w:t>By February 2022, Europe emerges as a region with some of the highest reported cases globally, shown in green, while the United States transitions to moderate.</w:t>
      </w:r>
    </w:p>
    <w:p w14:paraId="1345E4DD" w14:textId="77777777" w:rsidR="007C428C" w:rsidRDefault="007C428C" w:rsidP="007C428C">
      <w:pPr>
        <w:pStyle w:val="ListParagraph"/>
        <w:ind w:left="851"/>
      </w:pPr>
    </w:p>
    <w:p w14:paraId="0E69FCE6" w14:textId="7D2567EF" w:rsidR="007C428C" w:rsidRDefault="00083251" w:rsidP="007C428C">
      <w:pPr>
        <w:pStyle w:val="ListParagraph"/>
        <w:numPr>
          <w:ilvl w:val="0"/>
          <w:numId w:val="1"/>
        </w:numPr>
        <w:ind w:left="284" w:hanging="284"/>
      </w:pPr>
      <w:r w:rsidRPr="00083251">
        <w:t>Steady Low Case Counts in Africa</w:t>
      </w:r>
      <w:r w:rsidR="00D52858">
        <w:t xml:space="preserve">: </w:t>
      </w:r>
    </w:p>
    <w:p w14:paraId="5A67CA66" w14:textId="5A1099B3" w:rsidR="00D52858" w:rsidRDefault="00083251" w:rsidP="00083251">
      <w:pPr>
        <w:pStyle w:val="ListParagraph"/>
        <w:ind w:left="284"/>
      </w:pPr>
      <w:r>
        <w:t>M</w:t>
      </w:r>
      <w:r w:rsidRPr="00083251">
        <w:t>ost African countries exhibit purple shades, indicating consistently low reported cases. This could stem from lower transmission rates, but it may also reflect limited testing and reporting capabilities.</w:t>
      </w:r>
    </w:p>
    <w:p w14:paraId="7DC5F4AB" w14:textId="77777777" w:rsidR="00083251" w:rsidRDefault="00083251" w:rsidP="00083251">
      <w:pPr>
        <w:pStyle w:val="ListParagraph"/>
        <w:ind w:left="284"/>
      </w:pPr>
    </w:p>
    <w:p w14:paraId="0E23731C" w14:textId="77777777" w:rsidR="007C428C" w:rsidRDefault="00D52858" w:rsidP="007C428C">
      <w:pPr>
        <w:pStyle w:val="ListParagraph"/>
        <w:numPr>
          <w:ilvl w:val="0"/>
          <w:numId w:val="1"/>
        </w:numPr>
        <w:ind w:left="284" w:hanging="284"/>
      </w:pPr>
      <w:r>
        <w:t xml:space="preserve">Intermediate Case Counts in North America: </w:t>
      </w:r>
    </w:p>
    <w:p w14:paraId="723A1096" w14:textId="6AE19CF1" w:rsidR="00D52858" w:rsidRDefault="00D52858" w:rsidP="00DA77A8">
      <w:pPr>
        <w:pStyle w:val="ListParagraph"/>
        <w:ind w:left="284"/>
      </w:pPr>
      <w:r>
        <w:t>The United States, Canada, and Mexico showcase intermediate levels of green, reflecting substantial but not the highest case numbers. Effective vaccination programs and public health measures might have mitigated higher transmission rates.</w:t>
      </w:r>
    </w:p>
    <w:p w14:paraId="5C653D1D" w14:textId="77777777" w:rsidR="00DA77A8" w:rsidRDefault="00DA77A8" w:rsidP="00DA77A8"/>
    <w:p w14:paraId="73188688" w14:textId="77777777" w:rsidR="00DA77A8" w:rsidRPr="00DA77A8" w:rsidRDefault="00DA77A8" w:rsidP="00DA77A8">
      <w:pPr>
        <w:rPr>
          <w:b/>
          <w:bCs/>
        </w:rPr>
      </w:pPr>
      <w:r w:rsidRPr="00DA77A8">
        <w:rPr>
          <w:b/>
          <w:bCs/>
        </w:rPr>
        <w:t>Trends and Patterns</w:t>
      </w:r>
    </w:p>
    <w:p w14:paraId="0EEE0665" w14:textId="7448708C" w:rsidR="00DA77A8" w:rsidRPr="00DA77A8" w:rsidRDefault="00DA77A8" w:rsidP="00DA77A8">
      <w:pPr>
        <w:numPr>
          <w:ilvl w:val="0"/>
          <w:numId w:val="3"/>
        </w:numPr>
      </w:pPr>
      <w:r w:rsidRPr="00DA77A8">
        <w:rPr>
          <w:i/>
          <w:iCs/>
        </w:rPr>
        <w:t>Global Spread Over Time</w:t>
      </w:r>
      <w:r w:rsidRPr="00DA77A8">
        <w:t xml:space="preserve">: The progression from </w:t>
      </w:r>
      <w:r>
        <w:t>of cases</w:t>
      </w:r>
      <w:r w:rsidRPr="00DA77A8">
        <w:t xml:space="preserve"> show</w:t>
      </w:r>
      <w:r>
        <w:t>s that</w:t>
      </w:r>
      <w:r w:rsidRPr="00DA77A8">
        <w:t xml:space="preserve"> the pandemic’s global reach, with case numbers increasing sharply over two years before stabilizing in some regions.</w:t>
      </w:r>
    </w:p>
    <w:p w14:paraId="5C781540" w14:textId="77777777" w:rsidR="00DA77A8" w:rsidRPr="00DA77A8" w:rsidRDefault="00DA77A8" w:rsidP="00DA77A8">
      <w:pPr>
        <w:numPr>
          <w:ilvl w:val="0"/>
          <w:numId w:val="3"/>
        </w:numPr>
      </w:pPr>
      <w:r w:rsidRPr="00DA77A8">
        <w:rPr>
          <w:i/>
          <w:iCs/>
        </w:rPr>
        <w:t>Regional Shifts</w:t>
      </w:r>
      <w:r w:rsidRPr="00DA77A8">
        <w:t>: Early outbreaks concentrated in East Asia transitioned to peaks in the Americas (2021) and Europe (2022), reflecting waves influenced by seasonal effects, population density, and variant spread.</w:t>
      </w:r>
    </w:p>
    <w:p w14:paraId="362273EE" w14:textId="4F61FF55" w:rsidR="00DA77A8" w:rsidRDefault="00DA77A8" w:rsidP="00DA77A8">
      <w:pPr>
        <w:numPr>
          <w:ilvl w:val="0"/>
          <w:numId w:val="3"/>
        </w:numPr>
      </w:pPr>
      <w:r w:rsidRPr="00DA77A8">
        <w:rPr>
          <w:i/>
          <w:iCs/>
        </w:rPr>
        <w:t>Data Representation and Testing Limitations</w:t>
      </w:r>
      <w:r w:rsidRPr="00DA77A8">
        <w:t>: Africa consistently shows low case counts, raising questions about underreporting and testing limitations compared to other regions</w:t>
      </w:r>
      <w:r>
        <w:t>.</w:t>
      </w:r>
    </w:p>
    <w:p w14:paraId="2C372D2D" w14:textId="77777777" w:rsidR="00DA77A8" w:rsidRDefault="00DA77A8" w:rsidP="00DA77A8">
      <w:pPr>
        <w:ind w:left="720"/>
      </w:pPr>
    </w:p>
    <w:p w14:paraId="6D0DB000" w14:textId="77777777" w:rsidR="00D52858" w:rsidRPr="00DA77A8" w:rsidRDefault="00D52858" w:rsidP="00D52858">
      <w:pPr>
        <w:rPr>
          <w:b/>
          <w:bCs/>
        </w:rPr>
      </w:pPr>
      <w:r w:rsidRPr="00DA77A8">
        <w:rPr>
          <w:b/>
          <w:bCs/>
        </w:rPr>
        <w:t>Impact and Implications</w:t>
      </w:r>
    </w:p>
    <w:p w14:paraId="4125F23A" w14:textId="77777777" w:rsidR="00D52858" w:rsidRDefault="00D52858" w:rsidP="00D52858">
      <w:r>
        <w:t>The visualization underscores the global disparities in case numbers and serves as a crucial reminder of the need for equitable healthcare access and vaccine distribution. It highlights how interconnectedness and local conditions influence pandemic dynamics.</w:t>
      </w:r>
    </w:p>
    <w:p w14:paraId="67CA6938" w14:textId="77777777" w:rsidR="00D52858" w:rsidRDefault="00D52858" w:rsidP="00D52858"/>
    <w:p w14:paraId="42D5317F" w14:textId="5B33747D" w:rsidR="00CC11BA" w:rsidRDefault="00D52858" w:rsidP="00D52858">
      <w:r>
        <w:t>This analysis helps to contextualize the patterns visible in the map and opens discussions on how future pandemics might be better managed through global cooperation and adaptive strategies.</w:t>
      </w:r>
    </w:p>
    <w:sectPr w:rsidR="00CC11BA" w:rsidSect="00DA77A8">
      <w:pgSz w:w="11906" w:h="16838"/>
      <w:pgMar w:top="567" w:right="1133" w:bottom="1440" w:left="1134" w:header="708" w:footer="708" w:gutter="0"/>
      <w:pgBorders w:offsetFrom="page">
        <w:top w:val="single" w:sz="4" w:space="16" w:color="auto"/>
        <w:left w:val="single" w:sz="4" w:space="16" w:color="auto"/>
        <w:bottom w:val="single" w:sz="4" w:space="16" w:color="auto"/>
        <w:right w:val="single" w:sz="4" w:space="16"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3D69"/>
    <w:multiLevelType w:val="hybridMultilevel"/>
    <w:tmpl w:val="6B5E944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437D6410"/>
    <w:multiLevelType w:val="hybridMultilevel"/>
    <w:tmpl w:val="EC2ABC60"/>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2" w15:restartNumberingAfterBreak="0">
    <w:nsid w:val="4DE813BC"/>
    <w:multiLevelType w:val="multilevel"/>
    <w:tmpl w:val="7CD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068288">
    <w:abstractNumId w:val="0"/>
  </w:num>
  <w:num w:numId="2" w16cid:durableId="980186147">
    <w:abstractNumId w:val="1"/>
  </w:num>
  <w:num w:numId="3" w16cid:durableId="197662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E41"/>
    <w:rsid w:val="00083251"/>
    <w:rsid w:val="000B4F84"/>
    <w:rsid w:val="005200F3"/>
    <w:rsid w:val="007C428C"/>
    <w:rsid w:val="00CC11BA"/>
    <w:rsid w:val="00D52858"/>
    <w:rsid w:val="00D81E41"/>
    <w:rsid w:val="00DA77A8"/>
    <w:rsid w:val="00DF396F"/>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8D5DF"/>
  <w15:chartTrackingRefBased/>
  <w15:docId w15:val="{4D3EF655-4212-4A41-8149-B6F0987B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E41"/>
    <w:rPr>
      <w:rFonts w:eastAsiaTheme="majorEastAsia" w:cstheme="majorBidi"/>
      <w:color w:val="272727" w:themeColor="text1" w:themeTint="D8"/>
    </w:rPr>
  </w:style>
  <w:style w:type="paragraph" w:styleId="Title">
    <w:name w:val="Title"/>
    <w:basedOn w:val="Normal"/>
    <w:next w:val="Normal"/>
    <w:link w:val="TitleChar"/>
    <w:uiPriority w:val="10"/>
    <w:qFormat/>
    <w:rsid w:val="00D81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E41"/>
    <w:pPr>
      <w:spacing w:before="160"/>
      <w:jc w:val="center"/>
    </w:pPr>
    <w:rPr>
      <w:i/>
      <w:iCs/>
      <w:color w:val="404040" w:themeColor="text1" w:themeTint="BF"/>
    </w:rPr>
  </w:style>
  <w:style w:type="character" w:customStyle="1" w:styleId="QuoteChar">
    <w:name w:val="Quote Char"/>
    <w:basedOn w:val="DefaultParagraphFont"/>
    <w:link w:val="Quote"/>
    <w:uiPriority w:val="29"/>
    <w:rsid w:val="00D81E41"/>
    <w:rPr>
      <w:i/>
      <w:iCs/>
      <w:color w:val="404040" w:themeColor="text1" w:themeTint="BF"/>
    </w:rPr>
  </w:style>
  <w:style w:type="paragraph" w:styleId="ListParagraph">
    <w:name w:val="List Paragraph"/>
    <w:basedOn w:val="Normal"/>
    <w:uiPriority w:val="34"/>
    <w:qFormat/>
    <w:rsid w:val="00D81E41"/>
    <w:pPr>
      <w:ind w:left="720"/>
      <w:contextualSpacing/>
    </w:pPr>
  </w:style>
  <w:style w:type="character" w:styleId="IntenseEmphasis">
    <w:name w:val="Intense Emphasis"/>
    <w:basedOn w:val="DefaultParagraphFont"/>
    <w:uiPriority w:val="21"/>
    <w:qFormat/>
    <w:rsid w:val="00D81E41"/>
    <w:rPr>
      <w:i/>
      <w:iCs/>
      <w:color w:val="0F4761" w:themeColor="accent1" w:themeShade="BF"/>
    </w:rPr>
  </w:style>
  <w:style w:type="paragraph" w:styleId="IntenseQuote">
    <w:name w:val="Intense Quote"/>
    <w:basedOn w:val="Normal"/>
    <w:next w:val="Normal"/>
    <w:link w:val="IntenseQuoteChar"/>
    <w:uiPriority w:val="30"/>
    <w:qFormat/>
    <w:rsid w:val="00D81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E41"/>
    <w:rPr>
      <w:i/>
      <w:iCs/>
      <w:color w:val="0F4761" w:themeColor="accent1" w:themeShade="BF"/>
    </w:rPr>
  </w:style>
  <w:style w:type="character" w:styleId="IntenseReference">
    <w:name w:val="Intense Reference"/>
    <w:basedOn w:val="DefaultParagraphFont"/>
    <w:uiPriority w:val="32"/>
    <w:qFormat/>
    <w:rsid w:val="00D81E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58199">
      <w:bodyDiv w:val="1"/>
      <w:marLeft w:val="0"/>
      <w:marRight w:val="0"/>
      <w:marTop w:val="0"/>
      <w:marBottom w:val="0"/>
      <w:divBdr>
        <w:top w:val="none" w:sz="0" w:space="0" w:color="auto"/>
        <w:left w:val="none" w:sz="0" w:space="0" w:color="auto"/>
        <w:bottom w:val="none" w:sz="0" w:space="0" w:color="auto"/>
        <w:right w:val="none" w:sz="0" w:space="0" w:color="auto"/>
      </w:divBdr>
    </w:div>
    <w:div w:id="610162820">
      <w:bodyDiv w:val="1"/>
      <w:marLeft w:val="0"/>
      <w:marRight w:val="0"/>
      <w:marTop w:val="0"/>
      <w:marBottom w:val="0"/>
      <w:divBdr>
        <w:top w:val="none" w:sz="0" w:space="0" w:color="auto"/>
        <w:left w:val="none" w:sz="0" w:space="0" w:color="auto"/>
        <w:bottom w:val="none" w:sz="0" w:space="0" w:color="auto"/>
        <w:right w:val="none" w:sz="0" w:space="0" w:color="auto"/>
      </w:divBdr>
    </w:div>
    <w:div w:id="12447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Amogelang Ramatlo</dc:creator>
  <cp:keywords/>
  <dc:description/>
  <cp:lastModifiedBy>Amogelang Ramatlo</cp:lastModifiedBy>
  <cp:revision>3</cp:revision>
  <dcterms:created xsi:type="dcterms:W3CDTF">2025-04-18T21:10:00Z</dcterms:created>
  <dcterms:modified xsi:type="dcterms:W3CDTF">2025-04-18T21:49:00Z</dcterms:modified>
</cp:coreProperties>
</file>