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Citizen Support Case Brief</w:t>
      </w:r>
    </w:p>
    <w:p>
      <w:r>
        <w:rPr>
          <w:i/>
          <w:sz w:val="19"/>
        </w:rPr>
        <w:t>Fictional test data for offline privacy transformation and annotated evidence export.</w:t>
      </w:r>
    </w:p>
    <w:p>
      <w:r>
        <w:rPr>
          <w:b/>
        </w:rPr>
        <w:t xml:space="preserve">Primary subject: </w:t>
      </w:r>
      <w:r>
        <w:t xml:space="preserve">Dev </w:t>
      </w:r>
      <w:r>
        <w:t>Malhotra</w:t>
      </w:r>
    </w:p>
    <w:p>
      <w:r>
        <w:rPr>
          <w:b/>
        </w:rPr>
        <w:t xml:space="preserve">Email: </w:t>
      </w:r>
      <w:r>
        <w:t>dev.malhotra</w:t>
      </w:r>
      <w:r>
        <w:t>@example.org</w:t>
      </w:r>
    </w:p>
    <w:p>
      <w:r>
        <w:rPr>
          <w:b/>
        </w:rPr>
        <w:t xml:space="preserve">Phone: </w:t>
      </w:r>
      <w:r>
        <w:t>+91 90000 10001</w:t>
      </w:r>
    </w:p>
    <w:p>
      <w:r>
        <w:rPr>
          <w:b/>
        </w:rPr>
        <w:t xml:space="preserve">Location: </w:t>
      </w:r>
      <w:r>
        <w:t>Bengaluru, Karnataka</w:t>
      </w:r>
    </w:p>
    <w:p>
      <w:r>
        <w:rPr>
          <w:b/>
        </w:rPr>
        <w:t xml:space="preserve">Visit date: </w:t>
      </w:r>
      <w:r>
        <w:t>2026-08-07</w:t>
      </w:r>
    </w:p>
    <w:p>
      <w:r>
        <w:rPr>
          <w:b/>
        </w:rPr>
        <w:t xml:space="preserve">Case note: </w:t>
      </w:r>
      <w:r>
        <w:t>Dev Malhotra requested a follow-up regarding service eligibility. The protected release should retain the case structure while removing identity-reconstruction clues.</w:t>
      </w:r>
    </w:p>
    <w:p>
      <w:pPr>
        <w:pStyle w:val="Heading2"/>
      </w:pPr>
      <w:r>
        <w:t>Related contact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Field</w:t>
            </w:r>
          </w:p>
        </w:tc>
        <w:tc>
          <w:tcPr>
            <w:tcW w:type="dxa" w:w="5083"/>
          </w:tcPr>
          <w:p>
            <w:r>
              <w:t>Value</w:t>
            </w:r>
          </w:p>
        </w:tc>
      </w:tr>
      <w:tr>
        <w:tc>
          <w:tcPr>
            <w:tcW w:type="dxa" w:w="5083"/>
            <w:vAlign w:val="center"/>
          </w:tcPr>
          <w:p>
            <w:r>
              <w:t>Name</w:t>
            </w:r>
          </w:p>
        </w:tc>
        <w:tc>
          <w:tcPr>
            <w:tcW w:type="dxa" w:w="5083"/>
            <w:vAlign w:val="center"/>
          </w:tcPr>
          <w:p>
            <w:r>
              <w:t>Siya Khanna</w:t>
            </w:r>
          </w:p>
        </w:tc>
      </w:tr>
      <w:tr>
        <w:tc>
          <w:tcPr>
            <w:tcW w:type="dxa" w:w="5083"/>
            <w:vAlign w:val="center"/>
          </w:tcPr>
          <w:p>
            <w:r>
              <w:t>Email</w:t>
            </w:r>
          </w:p>
        </w:tc>
        <w:tc>
          <w:tcPr>
            <w:tcW w:type="dxa" w:w="5083"/>
            <w:vAlign w:val="center"/>
          </w:tcPr>
          <w:p>
            <w:r>
              <w:t>siya.khanna@example.org</w:t>
            </w:r>
          </w:p>
        </w:tc>
      </w:tr>
      <w:tr>
        <w:tc>
          <w:tcPr>
            <w:tcW w:type="dxa" w:w="5083"/>
            <w:vAlign w:val="center"/>
          </w:tcPr>
          <w:p>
            <w:r>
              <w:t>Phone</w:t>
            </w:r>
          </w:p>
        </w:tc>
        <w:tc>
          <w:tcPr>
            <w:tcW w:type="dxa" w:w="5083"/>
            <w:vAlign w:val="center"/>
          </w:tcPr>
          <w:p>
            <w:r>
              <w:t>+91 90000 10012</w:t>
            </w:r>
          </w:p>
        </w:tc>
      </w:tr>
      <w:tr>
        <w:tc>
          <w:tcPr>
            <w:tcW w:type="dxa" w:w="5083"/>
            <w:vAlign w:val="center"/>
          </w:tcPr>
          <w:p>
            <w:r>
              <w:t>Age</w:t>
            </w:r>
          </w:p>
        </w:tc>
        <w:tc>
          <w:tcPr>
            <w:tcW w:type="dxa" w:w="5083"/>
            <w:vAlign w:val="center"/>
          </w:tcPr>
          <w:p>
            <w:r>
              <w:t>61</w:t>
            </w:r>
          </w:p>
        </w:tc>
      </w:tr>
      <w:tr>
        <w:tc>
          <w:tcPr>
            <w:tcW w:type="dxa" w:w="5083"/>
            <w:vAlign w:val="center"/>
          </w:tcPr>
          <w:p>
            <w:r>
              <w:t>City</w:t>
            </w:r>
          </w:p>
        </w:tc>
        <w:tc>
          <w:tcPr>
            <w:tcW w:type="dxa" w:w="5083"/>
            <w:vAlign w:val="center"/>
          </w:tcPr>
          <w:p>
            <w:r>
              <w:t>Indore</w:t>
            </w:r>
          </w:p>
        </w:tc>
      </w:tr>
      <w:tr>
        <w:tc>
          <w:tcPr>
            <w:tcW w:type="dxa" w:w="5083"/>
            <w:vAlign w:val="center"/>
          </w:tcPr>
          <w:p>
            <w:r>
              <w:t>Reference date</w:t>
            </w:r>
          </w:p>
        </w:tc>
        <w:tc>
          <w:tcPr>
            <w:tcW w:type="dxa" w:w="5083"/>
            <w:vAlign w:val="center"/>
          </w:tcPr>
          <w:p>
            <w:r>
              <w:t>2026-08-08</w:t>
            </w:r>
          </w:p>
        </w:tc>
      </w:tr>
    </w:tbl>
    <w:p>
      <w:r>
        <w:rPr>
          <w:b/>
        </w:rPr>
        <w:t xml:space="preserve">Reference portal: </w:t>
      </w:r>
      <w:hyperlink r:id="rId10">
        <w:r>
          <w:rPr>
            <w:color w:val="0563C1"/>
            <w:u w:val="single"/>
          </w:rPr>
          <w:t>Citizen service reference</w:t>
        </w:r>
      </w:hyperlink>
    </w:p>
    <w:p>
      <w:r>
        <w:rPr>
          <w:b/>
        </w:rPr>
        <w:t xml:space="preserve">Expected analyst action: </w:t>
      </w:r>
      <w:r>
        <w:t>select a privacy level, review uncertain people, transform, run all mandatory gates, then compare the clean protected artifact with the annotated evidence export.</w:t>
      </w:r>
    </w:p>
    <w:sectPr w:rsidR="00FC693F" w:rsidRPr="0006063C" w:rsidSect="00034616">
      <w:headerReference w:type="default" r:id="rId9"/>
      <w:footerReference w:type="default" r:id="rId11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Confidential test fixture | Escalation: ops@example.org | +91 98888 70001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VeilGraph DOCX privacy demo | Case owner: Aisha Rao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yperlink" Target="https://example.org/private/case/DEV-1001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VeilGraph DOCX Privacy Demo</dc:title>
  <dc:subject>Synthetic privacy test data</dc:subject>
  <dc:creator>VeilGraph Test Fixture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