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254" w:rsidRPr="00BB0254" w:rsidRDefault="00BB0254" w:rsidP="00BB0254">
      <w:pPr>
        <w:shd w:val="clear" w:color="auto" w:fill="FFFFFF"/>
        <w:spacing w:after="0" w:line="450" w:lineRule="atLeast"/>
        <w:jc w:val="center"/>
        <w:outlineLvl w:val="3"/>
        <w:rPr>
          <w:rFonts w:ascii="Arial" w:eastAsia="Times New Roman" w:hAnsi="Arial" w:cs="Arial"/>
          <w:color w:val="38B1EF"/>
          <w:sz w:val="32"/>
          <w:szCs w:val="32"/>
          <w:lang w:eastAsia="en-IN"/>
        </w:rPr>
      </w:pPr>
      <w:bookmarkStart w:id="0" w:name="_GoBack"/>
      <w:bookmarkEnd w:id="0"/>
      <w:r w:rsidRPr="00BB0254">
        <w:rPr>
          <w:rFonts w:ascii="Arial" w:eastAsia="Times New Roman" w:hAnsi="Arial" w:cs="Arial"/>
          <w:color w:val="38B1EF"/>
          <w:sz w:val="56"/>
          <w:szCs w:val="56"/>
          <w:lang w:eastAsia="en-IN"/>
        </w:rPr>
        <w:t>Metadata</w:t>
      </w:r>
    </w:p>
    <w:p w:rsidR="00AD14A7" w:rsidRDefault="00F032C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20"/>
      </w:tblGrid>
      <w:tr w:rsidR="00BB0254" w:rsidRPr="00BB0254" w:rsidTr="00BB0254">
        <w:tc>
          <w:tcPr>
            <w:tcW w:w="4500" w:type="dxa"/>
            <w:tcBorders>
              <w:left w:val="single" w:sz="2" w:space="0" w:color="D9DCCF"/>
              <w:right w:val="single" w:sz="2" w:space="0" w:color="D9DCCF"/>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Indicator Name</w:t>
            </w:r>
          </w:p>
        </w:tc>
        <w:tc>
          <w:tcPr>
            <w:tcW w:w="0" w:type="auto"/>
            <w:tcBorders>
              <w:left w:val="single" w:sz="2" w:space="0" w:color="D9DCCF"/>
              <w:right w:val="single" w:sz="2" w:space="0" w:color="D9DCCF"/>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CO2 emissions (kt) (EN.ATM.CO2E.KT)</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Long definition</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Carbon dioxide emissions are those stemming from the burning of fossil fuels and the manufacture of cement. They include carbon dioxide produced during consumption of solid, liquid, and gas fuels and gas flaring.</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Source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Carbon Dioxide Information Analysis Center, Environmental Sciences Division, Oak Ridge National Laboratory, Tennessee, United States.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Topic</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Environment: Emissions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Periodicity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Annual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Aggregation method</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Gap-filled total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Statistical concept and methodology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Carbon dioxide emissions, largely by-products of energy production and use, account for the largest share of greenhouse gases, which are associated with global warming. Anthropogenic carbon dioxide emissions result primarily from fossil fuel combustion and cement manufacturing. In combustion different fossil fuels release different amounts of carbon dioxide for the same level of energy use: oil releases about 50 percent more carbon dioxide than natural gas, and coal releases about twice as much. Cement manufacturing releases about half a metric ton of carbon dioxide for each metric ton of cement produced. Data for carbon dioxide emissions include gases from the burning of fossil fuels and cement manufacture, but excludes emissions from land use such as deforestation. The unit of measurement is kt (kiloton). Carbon dioxide emissions are often calculated and reported as elemental carbon. The were converted to actual carbon dioxide mass by multiplying them by 3.667 (the ratio of the mass of carbon to that of carbon dioxide).</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Development relevance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 xml:space="preserve">Carbon dioxide (CO2) is naturally occurring gas fixed by photosynthesis into organic matter. A byproduct of fossil fuel combustion and biomass burning, it is also emitted from land use changes and other industrial processes. It is the principal anthropogenic greenhouse gas that affects the Earth's radiative balance. It is the reference gas against which other greenhouse gases are measured, thus having a Global Warming Potential of 1. Burning of carbon-based fuels since the industrial revolution has rapidly increased concentrations of atmospheric carbon dioxide, increasing the rate of global warming and causing anthropogenic climate change. It is also a major source of ocean acidification since it dissolves in water to form carbonic acid. The addition of man-made greenhouse gases to the Atmosphere disturbs the earth's radiative balance. </w:t>
            </w:r>
            <w:r w:rsidRPr="00BB0254">
              <w:rPr>
                <w:rFonts w:ascii="Arial" w:eastAsia="Times New Roman" w:hAnsi="Arial" w:cs="Arial"/>
                <w:color w:val="666666"/>
                <w:sz w:val="20"/>
                <w:lang w:eastAsia="en-IN"/>
              </w:rPr>
              <w:lastRenderedPageBreak/>
              <w:t>This is leading to an increase in the earth's surface temperature and to related effects on climate, sea level rise and world agriculture. Emissions of CO2 are from burning oil, coal and gas for energy use, burning wood and waste materials, and from industrial processes such as cement production. Emission intensity is the average emission rate of a given pollutant from a given source relative to the intensity of a specific activity. Emission intensities are also used to compare the environmental impact of different fuels or activities. The related terms - emission factor and carbon intensity - are often used interchangeably. The carbon dioxide emissions of a country are only an indicator of one greenhouse gas. For a more complete idea of how a country influences climate change, gases such as methane and nitrous oxide should be taken into account. This is particularly important in agricultural economies. The environmental effects of carbon dioxide are of significant interest. Carbon dioxide (CO2) makes up the largest share of the greenhouse gases contributing to global warming and climate change. Converting all other greenhouse gases (methane (CH4), nitrous oxide (N2O), hydrofluorocarbons (HFCs), perfluorocarbons (PFCs), sulphur hexafluoride (SF6)) to carbon dioxide (or CO2) equivalents makes it possible to compare them and to determine their individual and total contributions to global warming. The Kyoto Protocol, an environmental agreement adopted in 1997 by many of the parties to the United Nations Framework Convention on Climate Change (UNFCCC), is working towards curbing CO2 emissions globally.</w:t>
            </w:r>
          </w:p>
        </w:tc>
      </w:tr>
    </w:tbl>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20"/>
      </w:tblGrid>
      <w:tr w:rsidR="00BB0254" w:rsidRPr="00BB0254" w:rsidTr="00BB0254">
        <w:tc>
          <w:tcPr>
            <w:tcW w:w="4500" w:type="dxa"/>
            <w:tcBorders>
              <w:left w:val="single" w:sz="2" w:space="0" w:color="D9DCCF"/>
              <w:right w:val="single" w:sz="2" w:space="0" w:color="D9DCCF"/>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Indicator Name</w:t>
            </w:r>
          </w:p>
        </w:tc>
        <w:tc>
          <w:tcPr>
            <w:tcW w:w="0" w:type="auto"/>
            <w:tcBorders>
              <w:left w:val="single" w:sz="2" w:space="0" w:color="D9DCCF"/>
              <w:right w:val="single" w:sz="2" w:space="0" w:color="D9DCCF"/>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GDP (current US$) (NY.GDP.MKTP.CD)</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Long definition</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Source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World Bank national accounts data, and OECD National Accounts data files.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Topic</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Economic Policy &amp; Debt: National accounts: US$ at current prices: Aggregate indicators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Periodicity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Annual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Aggregation method</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Gap-filled total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Statistical concept and methodology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Gross domestic product (GDP) represents the sum of value added by all its producers. Value added is the value of the gross output of producers less the value of intermediate goods and services consumed in production, before accounting for consumption of fixed capital in production. The United Nations System of National Accounts calls for value added to be valued at either basic prices (excluding net taxes on products) or producer prices (including net taxes on products paid by producers but excluding sales or value added taxes). Both valuations exclude transport charges that are invoiced separately by producers. Total GDP is measured at purchaser prices. Value added by industry is normally measured at basic prices.</w:t>
            </w:r>
          </w:p>
        </w:tc>
      </w:tr>
    </w:tbl>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p w:rsidR="00BB0254" w:rsidRDefault="00BB025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20"/>
      </w:tblGrid>
      <w:tr w:rsidR="00BB0254" w:rsidRPr="00BB0254" w:rsidTr="00BB0254">
        <w:tc>
          <w:tcPr>
            <w:tcW w:w="4500" w:type="dxa"/>
            <w:tcBorders>
              <w:left w:val="single" w:sz="2" w:space="0" w:color="D9DCCF"/>
              <w:right w:val="single" w:sz="2" w:space="0" w:color="D9DCCF"/>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Indicator Name</w:t>
            </w:r>
          </w:p>
        </w:tc>
        <w:tc>
          <w:tcPr>
            <w:tcW w:w="0" w:type="auto"/>
            <w:tcBorders>
              <w:left w:val="single" w:sz="2" w:space="0" w:color="D9DCCF"/>
              <w:right w:val="single" w:sz="2" w:space="0" w:color="D9DCCF"/>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Adjusted savings: natural resources depletion (% of GNI) (NY.ADJ.DRES.GN.ZS)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Long definition</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Natural resource depletion is the sum of net forest depletion, energy depletion, and mineral depletion. Net forest depletion is unit resource rents times the excess of roundwood harvest over natural growth. Energy depletion is the ratio of the value of the stock of energy resources to the remaining reserve lifetime (capped at 25 years). It covers coal, crude oil, and natural gas. Mineral depletion is the ratio of the value of the stock of mineral resources to the remaining reserve lifetime (capped at 25 years). It covers tin, gold, lead, zinc, iron, copper, nickel, silver, bauxite, and phosphate.</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Source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World Bank staff estimates based on sources and methods in World Bank's "The Changing Wealth of Nations: Measuring Sustainable Development in the New Millennium" (2011).</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Topic</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Economic Policy &amp; Debt: National accounts: Adjusted savings &amp; income</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Periodicity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Annual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Aggregation method</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Weighted average</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Statistical concept and methodology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Natural resources depletion is the sum of net forest depletion, energy depletion, and mineral depletion: Net forest depletion is the product of unit resource rents and the excess of roundwood harvest over natural growth. In a country where incremental growth exceeds wood extraction, net forest depletion would be zero, no matter the absolute volume or value of wood extracted. Energy depletion is the ratio of the present value of energy resource rents, discounted at 4 percent, to the exhaustion time of the resource (capped at 25 years). Rent is calculated as the product of unit resource rents and the physical quantities of energy resources extracted. It covers hard and soft coal, crude oil, and natural gas. Mineral depletion is the ratio of the present value of mineral resource rents, discounted at 4 percent, to the exhaustion time of the resource (capped at 25 years). Rent is calculated as the product of unit resource rents and the physical quantities of mineral extracted. It covers tin, gold, lead, zinc, iron, copper, nickel, silver, bauxite, and phosphate.</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Development relevance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 xml:space="preserve">Natural resources depletion is a critical component in the calculation of adjusted net national income. Adjusted net national income is calculated by subtracting from GNI a charge for the consumption of fixed capital (a calculation that yields net national income) and for the depletion of natural resources. The deduction for the depletion of natural resources, which covers net forest depletion, energy depletion, and mineral depletion, reflects the decline in asset values </w:t>
            </w:r>
            <w:r w:rsidRPr="00BB0254">
              <w:rPr>
                <w:rFonts w:ascii="Arial" w:eastAsia="Times New Roman" w:hAnsi="Arial" w:cs="Arial"/>
                <w:color w:val="666666"/>
                <w:sz w:val="20"/>
                <w:lang w:eastAsia="en-IN"/>
              </w:rPr>
              <w:lastRenderedPageBreak/>
              <w:t>associated with the extraction and harvest of natural resources - this is analogous to depreciation of fixed assets</w:t>
            </w:r>
          </w:p>
        </w:tc>
      </w:tr>
    </w:tbl>
    <w:p w:rsidR="00BB0254" w:rsidRDefault="00BB025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20"/>
      </w:tblGrid>
      <w:tr w:rsidR="00BB0254" w:rsidRPr="00BB0254" w:rsidTr="00BB0254">
        <w:tc>
          <w:tcPr>
            <w:tcW w:w="4500" w:type="dxa"/>
            <w:tcBorders>
              <w:left w:val="single" w:sz="2" w:space="0" w:color="D9DCCF"/>
              <w:right w:val="single" w:sz="2" w:space="0" w:color="D9DCCF"/>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Indicator Name</w:t>
            </w:r>
          </w:p>
        </w:tc>
        <w:tc>
          <w:tcPr>
            <w:tcW w:w="0" w:type="auto"/>
            <w:tcBorders>
              <w:left w:val="single" w:sz="2" w:space="0" w:color="D9DCCF"/>
              <w:right w:val="single" w:sz="2" w:space="0" w:color="D9DCCF"/>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Health expenditure, public (% of GDP) (SH.XPD.PUBL.ZS)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Long definition</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Public health expenditure consists of recurrent and capital spending from government (central and local) budgets, external borrowings and grants (including donations from international agencies and nongovernmental organizations), and social (or compulsory) health insurance funds.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Source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World Health Organization Global Health Expenditure database (see http://apps.who.int/nha/database for the most recent updates).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Topic</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Health: Health systems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Periodicity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Annual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Aggregation method</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Weighted average</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Notes from original source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All the health expenditure indicators refer to expenditures by financing agent except external resources which is a financing source. When the number is smaller than 0.05%, the percentage may appear as zero. In countries where the fiscal year begins in July, expenditure data have been allocated to the later calendar year (for example, 2010 data will cover the fiscal year 2009–10), unless otherwise stated for the country.</w:t>
            </w:r>
          </w:p>
        </w:tc>
      </w:tr>
    </w:tbl>
    <w:p w:rsidR="00BB0254" w:rsidRDefault="00BB025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20"/>
      </w:tblGrid>
      <w:tr w:rsidR="00BB0254" w:rsidRPr="00BB0254" w:rsidTr="00BB0254">
        <w:tc>
          <w:tcPr>
            <w:tcW w:w="4500" w:type="dxa"/>
            <w:tcBorders>
              <w:left w:val="single" w:sz="2" w:space="0" w:color="D9DCCF"/>
              <w:right w:val="single" w:sz="2" w:space="0" w:color="D9DCCF"/>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Indicator Name</w:t>
            </w:r>
          </w:p>
        </w:tc>
        <w:tc>
          <w:tcPr>
            <w:tcW w:w="0" w:type="auto"/>
            <w:tcBorders>
              <w:left w:val="single" w:sz="2" w:space="0" w:color="D9DCCF"/>
              <w:right w:val="single" w:sz="2" w:space="0" w:color="D9DCCF"/>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Agriculture, value added (% of GDP) (NV.AGR.TOTL.ZS)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Long definition</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Agriculture corresponds to ISIC divisions 1-5 and includes forestry, hunting, and fishing, as well as cultivation of crops and livestock production. Value added is the net output of a sector after adding up all outputs and subtracting intermediate inputs. It is calculated without making deductions for depreciation of fabricated assets or depletion and degradation of natural resources. The origin of value added is determined by the International Standard Industrial Classification (ISIC), revision 3. Note: For VAB countries, gross value added at factor cost is used as the denominator.</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Source</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World Bank national accounts data, and OECD National Accounts data files.</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Topic</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Economic Policy &amp; Debt: National accounts: Shares of GDP &amp; other</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Periodicity</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Annual</w:t>
            </w:r>
          </w:p>
        </w:tc>
      </w:tr>
      <w:tr w:rsidR="00BB0254" w:rsidRPr="00BB0254" w:rsidTr="00BB0254">
        <w:tc>
          <w:tcPr>
            <w:tcW w:w="4500" w:type="dxa"/>
            <w:tcBorders>
              <w:top w:val="nil"/>
              <w:left w:val="nil"/>
              <w:bottom w:val="nil"/>
              <w:right w:val="nil"/>
            </w:tcBorders>
            <w:shd w:val="clear" w:color="auto" w:fill="FFFFFF"/>
            <w:tcMar>
              <w:top w:w="30" w:type="dxa"/>
              <w:left w:w="30" w:type="dxa"/>
              <w:bottom w:w="30" w:type="dxa"/>
              <w:right w:w="300" w:type="dxa"/>
            </w:tcMar>
            <w:hideMark/>
          </w:tcPr>
          <w:p w:rsidR="00BB0254" w:rsidRPr="00BB0254" w:rsidRDefault="00BB0254" w:rsidP="00BB0254">
            <w:pPr>
              <w:spacing w:after="0" w:line="240" w:lineRule="auto"/>
              <w:rPr>
                <w:rFonts w:ascii="Arial" w:eastAsia="Times New Roman" w:hAnsi="Arial" w:cs="Arial"/>
                <w:b/>
                <w:bCs/>
                <w:color w:val="666666"/>
                <w:sz w:val="20"/>
                <w:lang w:eastAsia="en-IN"/>
              </w:rPr>
            </w:pPr>
            <w:r w:rsidRPr="00BB0254">
              <w:rPr>
                <w:rFonts w:ascii="Arial" w:eastAsia="Times New Roman" w:hAnsi="Arial" w:cs="Arial"/>
                <w:b/>
                <w:bCs/>
                <w:color w:val="666666"/>
                <w:sz w:val="20"/>
                <w:lang w:eastAsia="en-IN"/>
              </w:rPr>
              <w:t>Aggregation method</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BB0254" w:rsidRPr="00BB0254" w:rsidRDefault="00BB0254" w:rsidP="00BB0254">
            <w:pPr>
              <w:spacing w:after="0" w:line="240" w:lineRule="auto"/>
              <w:rPr>
                <w:rFonts w:ascii="Arial" w:eastAsia="Times New Roman" w:hAnsi="Arial" w:cs="Arial"/>
                <w:color w:val="666666"/>
                <w:sz w:val="20"/>
                <w:lang w:eastAsia="en-IN"/>
              </w:rPr>
            </w:pPr>
            <w:r w:rsidRPr="00BB0254">
              <w:rPr>
                <w:rFonts w:ascii="Arial" w:eastAsia="Times New Roman" w:hAnsi="Arial" w:cs="Arial"/>
                <w:color w:val="666666"/>
                <w:sz w:val="20"/>
                <w:lang w:eastAsia="en-IN"/>
              </w:rPr>
              <w:t>Weighted average</w:t>
            </w:r>
          </w:p>
        </w:tc>
      </w:tr>
    </w:tbl>
    <w:p w:rsidR="00BB0254" w:rsidRDefault="00BB0254"/>
    <w:sectPr w:rsidR="00BB0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54"/>
    <w:rsid w:val="00730A3D"/>
    <w:rsid w:val="008837B5"/>
    <w:rsid w:val="00BB0254"/>
    <w:rsid w:val="00DC7C41"/>
    <w:rsid w:val="00E759F2"/>
    <w:rsid w:val="00EC6F6D"/>
    <w:rsid w:val="00F032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E741C-9169-4E95-A4B0-336C5A93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56917">
      <w:bodyDiv w:val="1"/>
      <w:marLeft w:val="0"/>
      <w:marRight w:val="0"/>
      <w:marTop w:val="0"/>
      <w:marBottom w:val="0"/>
      <w:divBdr>
        <w:top w:val="none" w:sz="0" w:space="0" w:color="auto"/>
        <w:left w:val="none" w:sz="0" w:space="0" w:color="auto"/>
        <w:bottom w:val="none" w:sz="0" w:space="0" w:color="auto"/>
        <w:right w:val="none" w:sz="0" w:space="0" w:color="auto"/>
      </w:divBdr>
    </w:div>
    <w:div w:id="858861409">
      <w:bodyDiv w:val="1"/>
      <w:marLeft w:val="0"/>
      <w:marRight w:val="0"/>
      <w:marTop w:val="0"/>
      <w:marBottom w:val="0"/>
      <w:divBdr>
        <w:top w:val="none" w:sz="0" w:space="0" w:color="auto"/>
        <w:left w:val="none" w:sz="0" w:space="0" w:color="auto"/>
        <w:bottom w:val="none" w:sz="0" w:space="0" w:color="auto"/>
        <w:right w:val="none" w:sz="0" w:space="0" w:color="auto"/>
      </w:divBdr>
    </w:div>
    <w:div w:id="1519201707">
      <w:bodyDiv w:val="1"/>
      <w:marLeft w:val="0"/>
      <w:marRight w:val="0"/>
      <w:marTop w:val="0"/>
      <w:marBottom w:val="0"/>
      <w:divBdr>
        <w:top w:val="none" w:sz="0" w:space="0" w:color="auto"/>
        <w:left w:val="none" w:sz="0" w:space="0" w:color="auto"/>
        <w:bottom w:val="none" w:sz="0" w:space="0" w:color="auto"/>
        <w:right w:val="none" w:sz="0" w:space="0" w:color="auto"/>
      </w:divBdr>
    </w:div>
    <w:div w:id="1548571105">
      <w:bodyDiv w:val="1"/>
      <w:marLeft w:val="0"/>
      <w:marRight w:val="0"/>
      <w:marTop w:val="0"/>
      <w:marBottom w:val="0"/>
      <w:divBdr>
        <w:top w:val="none" w:sz="0" w:space="0" w:color="auto"/>
        <w:left w:val="none" w:sz="0" w:space="0" w:color="auto"/>
        <w:bottom w:val="none" w:sz="0" w:space="0" w:color="auto"/>
        <w:right w:val="none" w:sz="0" w:space="0" w:color="auto"/>
      </w:divBdr>
    </w:div>
    <w:div w:id="1711488642">
      <w:bodyDiv w:val="1"/>
      <w:marLeft w:val="0"/>
      <w:marRight w:val="0"/>
      <w:marTop w:val="0"/>
      <w:marBottom w:val="0"/>
      <w:divBdr>
        <w:top w:val="none" w:sz="0" w:space="0" w:color="auto"/>
        <w:left w:val="none" w:sz="0" w:space="0" w:color="auto"/>
        <w:bottom w:val="none" w:sz="0" w:space="0" w:color="auto"/>
        <w:right w:val="none" w:sz="0" w:space="0" w:color="auto"/>
      </w:divBdr>
    </w:div>
    <w:div w:id="19535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GUPTA</dc:creator>
  <cp:keywords/>
  <dc:description/>
  <cp:lastModifiedBy>AMOGH GUPTA</cp:lastModifiedBy>
  <cp:revision>2</cp:revision>
  <dcterms:created xsi:type="dcterms:W3CDTF">2017-12-23T18:26:00Z</dcterms:created>
  <dcterms:modified xsi:type="dcterms:W3CDTF">2018-01-26T16:49:00Z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