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b/>
          <w:sz w:val="28"/>
        </w:rPr>
        <w:t>ОТЧЁТ О ПОДОЗРИТЕЛЬНОЙ АКТИВНОСТИ</w:t>
      </w:r>
    </w:p>
    <w:p>
      <w:pPr>
        <w:spacing w:before="240" w:after="80"/>
      </w:pPr>
      <w:r>
        <w:rPr>
          <w:b/>
          <w:sz w:val="24"/>
        </w:rPr>
        <w:t>1. ПАСПОРТ РАССЛЕДОВАНИЯ</w:t>
      </w:r>
    </w:p>
    <w:p>
      <w:pPr>
        <w:pStyle w:val="ListBullet"/>
        <w:spacing w:after="40"/>
      </w:pPr>
      <w:r>
        <w:rPr>
          <w:b/>
        </w:rPr>
        <w:t xml:space="preserve">Состав команды Blue Team (ФИО полностью): </w:t>
      </w:r>
      <w:r>
        <w:rPr>
          <w:b w:val="0"/>
        </w:rPr>
        <w:t>[Заполнить вручную]</w:t>
      </w:r>
    </w:p>
    <w:p>
      <w:pPr>
        <w:pStyle w:val="ListBullet"/>
        <w:spacing w:after="40"/>
      </w:pPr>
      <w:r>
        <w:rPr>
          <w:b/>
        </w:rPr>
        <w:t xml:space="preserve">Название выданного CSV-файла: </w:t>
      </w:r>
      <w:r>
        <w:rPr>
          <w:b w:val="0"/>
        </w:rPr>
        <w:t>906092.csv</w:t>
      </w:r>
    </w:p>
    <w:p>
      <w:pPr>
        <w:spacing w:before="240" w:after="80"/>
      </w:pPr>
      <w:r>
        <w:rPr>
          <w:b/>
          <w:sz w:val="24"/>
        </w:rPr>
        <w:t>2. РЕЗЮМЕ РАССЛЕДОВАНИЯ</w:t>
      </w:r>
    </w:p>
    <w:p>
      <w:pPr>
        <w:spacing w:after="80"/>
      </w:pPr>
      <w:r>
        <w:rPr>
          <w:i/>
        </w:rPr>
        <w:t>(Краткое описание выявленной схемы отмывания денег. Не более 3–4 предложений. Какая типология была использована преступниками?)</w:t>
      </w:r>
    </w:p>
    <w:p>
      <w:pPr>
        <w:spacing w:after="80"/>
      </w:pPr>
      <w:r>
        <w:t>В ходе анализа выявлены признаки двух типологий. По структуре движения средств (смурфы → промежуточный круг физлиц → мулы → Shell, через 3 шага между физлицами) схема ближе к «Карусели» (Сценарий 1). Однако обратных микроциклов от мулов к смурфам в данной выгрузке не зафиксировано, поэтому итоговая квалификация — «Корпоративный транзит» (Сценарий 3) с элементами многоуровневого smurfing'а, маскирующего прямую связь смурф↔Shell.</w:t>
      </w:r>
    </w:p>
    <w:p>
      <w:pPr>
        <w:spacing w:after="80"/>
      </w:pPr>
      <w:r>
        <w:t>Средства поступали от ~57 физических лиц-смурфов (число уточняется: при определении «смурф = прямой плательщик мула» получается 57 уникальных физлиц; при расширенной классификации с учётом промежуточного круга — около 95). Переводы шли мелкими суммами под легендами «Возврат долга», «Перевод средств» и «Оплата услуг» на счета пяти физических лиц-мулов: IND-100004, IND-100074, IND-100177, IND-100233, IND-100253. Мулы консолидировали средства и в ночные часы (преимущественно 00:00–05:00, отдельные операции в 22:00–23:00) тринадцатью крупными траншами по 80–200 тыс. ₽ под видом «Оплата по договору» выводили их на две Shell-компании: ORG-SHELL-1 (1 455 899,06 ₽, 11 операций от четырёх мулов) и ORG-SHELL-0 (340 277,24 ₽, 2 операции от IND-100233). Общая сумма легализованных средств — 1 796 176,30 ₽.</w:t>
      </w:r>
    </w:p>
    <w:p>
      <w:pPr>
        <w:spacing w:after="80"/>
      </w:pPr>
      <w:r>
        <w:t>Примечание: в данном варианте мулы являются физическими лицами (не ООО), поэтому корпоративная маскировка реализована только на финальном этапе интеграции (вывод на Shell), без полноценного смешения с легальной выручкой, характерного для классического «Корпоративного транзита».</w:t>
      </w:r>
    </w:p>
    <w:p>
      <w:pPr>
        <w:spacing w:before="240" w:after="80"/>
      </w:pPr>
      <w:r>
        <w:rPr>
          <w:b/>
          <w:sz w:val="24"/>
        </w:rPr>
        <w:t>3. ИДЕНТИФИКАЦИЯ КЛЮЧЕВЫХ ФИГУРАНТОВ</w:t>
      </w:r>
    </w:p>
    <w:p>
      <w:pPr>
        <w:spacing w:after="80"/>
      </w:pPr>
      <w:r>
        <w:rPr>
          <w:i/>
        </w:rPr>
        <w:t>(Укажите точные ID счетов, которые вы считаете участниками схемы. Это главная часть, которая будет сверяться с секретным ключом Red Team).</w:t>
      </w:r>
    </w:p>
    <w:p>
      <w:pPr>
        <w:pStyle w:val="ListNumber"/>
        <w:spacing w:after="40"/>
      </w:pPr>
      <w:r>
        <w:rPr>
          <w:b/>
        </w:rPr>
        <w:t>Shell-компании:</w:t>
      </w:r>
    </w:p>
    <w:p>
      <w:pPr>
        <w:pStyle w:val="ListBullet2"/>
        <w:spacing w:after="40"/>
      </w:pPr>
      <w:r>
        <w:rPr>
          <w:b w:val="0"/>
        </w:rPr>
        <w:t xml:space="preserve">ORG-SHELL-1 — 1 455 899,06 ₽ </w:t>
      </w:r>
      <w:r>
        <w:rPr>
          <w:b w:val="0"/>
        </w:rPr>
        <w:t>(11 операций «Оплата по договору» от 4 мулов)</w:t>
      </w:r>
    </w:p>
    <w:p>
      <w:pPr>
        <w:pStyle w:val="ListBullet2"/>
        <w:spacing w:after="40"/>
      </w:pPr>
      <w:r>
        <w:rPr>
          <w:b w:val="0"/>
        </w:rPr>
        <w:t xml:space="preserve">ORG-SHELL-0 — 340 277,24 ₽ </w:t>
      </w:r>
      <w:r>
        <w:rPr>
          <w:b w:val="0"/>
        </w:rPr>
        <w:t>(2 операции «Оплата по договору» от IND-100233)</w:t>
      </w:r>
    </w:p>
    <w:p>
      <w:pPr>
        <w:pStyle w:val="ListNumber"/>
        <w:spacing w:after="40"/>
      </w:pPr>
      <w:r>
        <w:rPr>
          <w:b/>
        </w:rPr>
        <w:t>Мулы (число входящих P2P от физлиц / число исходящих на Shell / сумма):</w:t>
      </w:r>
    </w:p>
    <w:p>
      <w:pPr>
        <w:pStyle w:val="ListBullet2"/>
        <w:spacing w:after="40"/>
      </w:pPr>
      <w:r>
        <w:rPr>
          <w:b w:val="0"/>
        </w:rPr>
        <w:t xml:space="preserve">IND-100253 </w:t>
      </w:r>
      <w:r>
        <w:rPr>
          <w:b w:val="0"/>
        </w:rPr>
        <w:t xml:space="preserve">(17 входов / 3 выхода, 429 310 ₽) </w:t>
      </w:r>
      <w:r>
        <w:rPr>
          <w:b/>
        </w:rPr>
        <w:t>→ ORG-SHELL-1</w:t>
      </w:r>
    </w:p>
    <w:p>
      <w:pPr>
        <w:pStyle w:val="ListBullet2"/>
        <w:spacing w:after="40"/>
      </w:pPr>
      <w:r>
        <w:rPr>
          <w:b w:val="0"/>
        </w:rPr>
        <w:t xml:space="preserve">IND-100177 </w:t>
      </w:r>
      <w:r>
        <w:rPr>
          <w:b w:val="0"/>
        </w:rPr>
        <w:t xml:space="preserve">(25 входов / 3 выхода, 402 414 ₽) </w:t>
      </w:r>
      <w:r>
        <w:rPr>
          <w:b/>
        </w:rPr>
        <w:t>→ ORG-SHELL-1</w:t>
      </w:r>
    </w:p>
    <w:p>
      <w:pPr>
        <w:pStyle w:val="ListBullet2"/>
        <w:spacing w:after="40"/>
      </w:pPr>
      <w:r>
        <w:rPr>
          <w:b w:val="0"/>
        </w:rPr>
        <w:t xml:space="preserve">IND-100074 </w:t>
      </w:r>
      <w:r>
        <w:rPr>
          <w:b w:val="0"/>
        </w:rPr>
        <w:t xml:space="preserve">(23 входа / 3 выхода, 378 350 ₽) </w:t>
      </w:r>
      <w:r>
        <w:rPr>
          <w:b/>
        </w:rPr>
        <w:t>→ ORG-SHELL-1</w:t>
      </w:r>
    </w:p>
    <w:p>
      <w:pPr>
        <w:pStyle w:val="ListBullet2"/>
        <w:spacing w:after="40"/>
      </w:pPr>
      <w:r>
        <w:rPr>
          <w:b w:val="0"/>
        </w:rPr>
        <w:t xml:space="preserve">IND-100004 </w:t>
      </w:r>
      <w:r>
        <w:rPr>
          <w:b w:val="0"/>
        </w:rPr>
        <w:t xml:space="preserve">(25 входов / 2 выхода, 245 825 ₽) </w:t>
      </w:r>
      <w:r>
        <w:rPr>
          <w:b/>
        </w:rPr>
        <w:t>→ ORG-SHELL-1</w:t>
      </w:r>
    </w:p>
    <w:p>
      <w:pPr>
        <w:pStyle w:val="ListBullet2"/>
        <w:spacing w:after="40"/>
      </w:pPr>
      <w:r>
        <w:rPr>
          <w:b w:val="0"/>
        </w:rPr>
        <w:t xml:space="preserve">IND-100233 </w:t>
      </w:r>
      <w:r>
        <w:rPr>
          <w:b w:val="0"/>
        </w:rPr>
        <w:t xml:space="preserve">(15 входов / 2 выхода, 340 277 ₽) </w:t>
      </w:r>
      <w:r>
        <w:rPr>
          <w:b/>
        </w:rPr>
        <w:t>→ ORG-SHELL-0</w:t>
      </w:r>
    </w:p>
    <w:p>
      <w:pPr>
        <w:pStyle w:val="ListNumber"/>
        <w:spacing w:after="40"/>
      </w:pPr>
      <w:r>
        <w:rPr>
          <w:b/>
        </w:rPr>
        <w:t>Смурфы (выборочно, 5 ключевых ID по объёму платежей мулам):</w:t>
      </w:r>
    </w:p>
    <w:p>
      <w:pPr>
        <w:pStyle w:val="ListBullet2"/>
        <w:spacing w:after="40"/>
      </w:pPr>
      <w:r>
        <w:rPr>
          <w:b w:val="0"/>
        </w:rPr>
        <w:t xml:space="preserve">IND-100264 </w:t>
      </w:r>
      <w:r>
        <w:rPr>
          <w:b w:val="0"/>
        </w:rPr>
        <w:t>(5 платежей трём разным мулам — главный «координатор-смурф»)</w:t>
      </w:r>
    </w:p>
    <w:p>
      <w:pPr>
        <w:pStyle w:val="ListBullet2"/>
        <w:spacing w:after="40"/>
      </w:pPr>
      <w:r>
        <w:rPr>
          <w:b w:val="0"/>
        </w:rPr>
        <w:t xml:space="preserve">IND-100222 </w:t>
      </w:r>
      <w:r>
        <w:rPr>
          <w:b w:val="0"/>
        </w:rPr>
        <w:t>(4 платежа двум разным мулам)</w:t>
      </w:r>
    </w:p>
    <w:p>
      <w:pPr>
        <w:pStyle w:val="ListBullet2"/>
        <w:spacing w:after="40"/>
      </w:pPr>
      <w:r>
        <w:rPr>
          <w:b w:val="0"/>
        </w:rPr>
        <w:t xml:space="preserve">IND-100056 </w:t>
      </w:r>
      <w:r>
        <w:rPr>
          <w:b w:val="0"/>
        </w:rPr>
        <w:t>(4 платежа двум разным мулам)</w:t>
      </w:r>
    </w:p>
    <w:p>
      <w:pPr>
        <w:pStyle w:val="ListBullet2"/>
        <w:spacing w:after="40"/>
      </w:pPr>
      <w:r>
        <w:rPr>
          <w:b w:val="0"/>
        </w:rPr>
        <w:t xml:space="preserve">IND-100172 </w:t>
      </w:r>
      <w:r>
        <w:rPr>
          <w:b w:val="0"/>
        </w:rPr>
        <w:t>(4 платежа двум разным мулам)</w:t>
      </w:r>
    </w:p>
    <w:p>
      <w:pPr>
        <w:pStyle w:val="ListBullet2"/>
        <w:spacing w:after="40"/>
      </w:pPr>
      <w:r>
        <w:rPr>
          <w:b w:val="0"/>
        </w:rPr>
        <w:t xml:space="preserve">IND-100120 </w:t>
      </w:r>
      <w:r>
        <w:rPr>
          <w:b w:val="0"/>
        </w:rPr>
        <w:t>(4 платежа двум разным мулам)</w:t>
      </w:r>
    </w:p>
    <w:p>
      <w:pPr>
        <w:pStyle w:val="ListNumber"/>
        <w:spacing w:after="40"/>
      </w:pPr>
      <w:r>
        <w:rPr>
          <w:b/>
        </w:rPr>
        <w:t>Ложные хабы:</w:t>
      </w:r>
    </w:p>
    <w:p>
      <w:pPr>
        <w:pStyle w:val="ListBullet2"/>
        <w:spacing w:after="40"/>
      </w:pPr>
      <w:r>
        <w:rPr>
          <w:b w:val="0"/>
        </w:rPr>
        <w:t xml:space="preserve">ORG-SUPERMARKET </w:t>
      </w:r>
      <w:r>
        <w:rPr>
          <w:b w:val="0"/>
        </w:rPr>
        <w:t>(розничный фон: 770 операций «Покупка в супермаркете» от 250 уникальных физлиц, Degree Centrality 0,79 — наивысший в сети)</w:t>
      </w:r>
    </w:p>
    <w:p>
      <w:pPr>
        <w:pStyle w:val="ListBullet2"/>
        <w:spacing w:after="40"/>
      </w:pPr>
      <w:r>
        <w:rPr>
          <w:b w:val="0"/>
        </w:rPr>
        <w:t xml:space="preserve">ORG-500000 … ORG-500018 </w:t>
      </w:r>
      <w:r>
        <w:rPr>
          <w:b w:val="0"/>
        </w:rPr>
        <w:t>(19 сервисных юрлиц: онлайн-кинотеатр, музыка, подписки, интернет, оплата по счёту; на исходящих — зарплата/аванс/премия)</w:t>
      </w:r>
    </w:p>
    <w:p>
      <w:pPr>
        <w:spacing w:before="240" w:after="80"/>
      </w:pPr>
      <w:r>
        <w:rPr>
          <w:b/>
          <w:sz w:val="24"/>
        </w:rPr>
        <w:t>4. ФИНАНСОВЫЙ И ВРЕМЕННОЙ АНАЛИЗ</w:t>
      </w:r>
    </w:p>
    <w:p>
      <w:pPr>
        <w:pStyle w:val="ListBullet"/>
        <w:spacing w:after="40"/>
      </w:pPr>
      <w:r>
        <w:rPr>
          <w:b/>
        </w:rPr>
        <w:t xml:space="preserve">Общая оценка отмытых денежных средств: </w:t>
      </w:r>
      <w:r>
        <w:rPr>
          <w:b w:val="0"/>
        </w:rPr>
        <w:t>1 796 176,30 ₽ (входящие на ORG-SHELL-0 и ORG-SHELL-1).</w:t>
      </w:r>
    </w:p>
    <w:p>
      <w:pPr>
        <w:pStyle w:val="ListBullet"/>
      </w:pPr>
      <w:r>
        <w:rPr>
          <w:b/>
        </w:rPr>
        <w:t xml:space="preserve">Временной период: </w:t>
      </w:r>
      <w:r>
        <w:t>01.10.2025 – 30.10.2025 (период всего файла).</w:t>
      </w:r>
    </w:p>
    <w:p>
      <w:pPr>
        <w:pStyle w:val="ListBullet2"/>
        <w:spacing w:after="40"/>
      </w:pPr>
      <w:r>
        <w:rPr>
          <w:b w:val="0"/>
        </w:rPr>
        <w:t>Фаза 1 (смурфы → мулы): весь октябрь</w:t>
      </w:r>
    </w:p>
    <w:p>
      <w:pPr>
        <w:pStyle w:val="ListBullet2"/>
        <w:spacing w:after="40"/>
      </w:pPr>
      <w:r>
        <w:rPr>
          <w:b w:val="0"/>
        </w:rPr>
        <w:t>Фаза 2 (вывод на Shell): 18.10–23.10.2025 — концентрированные ночные транши</w:t>
      </w:r>
    </w:p>
    <w:p>
      <w:pPr>
        <w:pStyle w:val="ListBullet"/>
        <w:spacing w:after="40"/>
      </w:pPr>
      <w:r>
        <w:rPr>
          <w:b/>
        </w:rPr>
        <w:t xml:space="preserve">Аномалии по времени суток: </w:t>
      </w:r>
      <w:r>
        <w:rPr>
          <w:b w:val="0"/>
        </w:rPr>
        <w:t>все 13 переводов от мулов на Shell-компании прошли в ночные часы — 11 операций в интервале 00:00–05:59 и 2 операции в 22:00–23:59. В дневное время (06:00–21:00) переводов на Shell не зафиксировано. Платежи под назначением «Оплата по договору» в 02:00–04:00 ночи не имеют экономического обоснования и являются явным маркером автоматизированной генерации транзакций.</w:t>
      </w:r>
    </w:p>
    <w:p>
      <w:pPr>
        <w:spacing w:before="240" w:after="80"/>
      </w:pPr>
      <w:r>
        <w:rPr>
          <w:b/>
          <w:sz w:val="24"/>
        </w:rPr>
        <w:t>5. МЕТОДОЛОГИЯ РАССЛЕДОВАНИЯ В IBM i2</w:t>
      </w:r>
    </w:p>
    <w:p>
      <w:pPr>
        <w:spacing w:after="80"/>
      </w:pPr>
      <w:r>
        <w:rPr>
          <w:i/>
        </w:rPr>
        <w:t>(Опишите ваш алгоритм действий. Как вы обошли ловушки, расставленные создателями датасета?)</w:t>
      </w:r>
    </w:p>
    <w:p>
      <w:pPr>
        <w:pStyle w:val="ListNumber"/>
        <w:spacing w:after="40"/>
      </w:pPr>
      <w:r>
        <w:rPr>
          <w:b/>
        </w:rPr>
        <w:t>Борьба с ложными хабами и «белым шумом»:</w:t>
      </w:r>
    </w:p>
    <w:p>
      <w:pPr>
        <w:pStyle w:val="ListBullet2"/>
        <w:spacing w:after="40"/>
      </w:pPr>
      <w:r>
        <w:rPr>
          <w:b/>
        </w:rPr>
        <w:t xml:space="preserve">Какие легальные узлы выявили и исключили из анализа? </w:t>
      </w:r>
      <w:r>
        <w:rPr>
          <w:b w:val="0"/>
        </w:rPr>
        <w:t>Выявлен ключевой ложный хаб ORG-SUPERMARKET (in-degree 250, 770 операций «Покупка в супермаркете») — это розничный фон. Также исключены 19 узлов с высокой степенью (ORG-500000…ORG-500018), у которых входящие транзакции — это музыка, онлайн-кинотеатр, подписки, интернет, ЖКХ, оплата по счёту, аренда жилья, а исходящие — зарплата, аванс, премия. Это стандартный потребительский шум.</w:t>
      </w:r>
    </w:p>
    <w:p>
      <w:pPr>
        <w:pStyle w:val="ListBullet2"/>
        <w:spacing w:after="40"/>
      </w:pPr>
      <w:r>
        <w:rPr>
          <w:b/>
        </w:rPr>
        <w:t xml:space="preserve">Как отфильтровали белые зарплаты? </w:t>
      </w:r>
      <w:r>
        <w:rPr>
          <w:b w:val="0"/>
        </w:rPr>
        <w:t>Через Visual Search скрыты связи с назначениями «Заработная плата за сентябрь», «Аванс», «Премия», «ЖКХ», «Покупка в супермаркете», «Музыка», «Онлайн-кинотеатр», «Подписка на сервис», «Оплата услуг интернета», «Покупка товаров», «Аренда жилья». После очистки в графе осталось около 660 «грязных» связей вместо 3 533 исходных.</w:t>
      </w:r>
    </w:p>
    <w:p>
      <w:pPr>
        <w:pStyle w:val="ListNumber"/>
        <w:spacing w:after="40"/>
      </w:pPr>
      <w:r>
        <w:rPr>
          <w:b/>
        </w:rPr>
        <w:t>Применение метрик центральности:</w:t>
      </w:r>
    </w:p>
    <w:p>
      <w:pPr>
        <w:pStyle w:val="ListBullet2"/>
        <w:spacing w:after="40"/>
      </w:pPr>
      <w:r>
        <w:rPr>
          <w:b/>
        </w:rPr>
        <w:t xml:space="preserve">Betweenness Centrality главного мула: </w:t>
      </w:r>
      <w:r>
        <w:rPr>
          <w:b w:val="0"/>
        </w:rPr>
        <w:t>По объёму выведенных средств главный мул — IND-100253 (429 310 ₽ на ORG-SHELL-1). По Betweenness Centrality в очищенном графе главный — IND-100233 (BC ≈ 0,0028). Низкие абсолютные значения BC объясняются тем, что мулы — локальные воронки (in-degree 15–25, out-degree = 1), а не классические «мосты».</w:t>
      </w:r>
    </w:p>
    <w:p>
      <w:pPr>
        <w:pStyle w:val="ListBullet2"/>
        <w:spacing w:after="40"/>
      </w:pPr>
      <w:r>
        <w:rPr>
          <w:b/>
        </w:rPr>
        <w:t xml:space="preserve">Почему стандартный Degree Centrality не показал Shell-компанию сразу: </w:t>
      </w:r>
      <w:r>
        <w:rPr>
          <w:b w:val="0"/>
        </w:rPr>
        <w:t>ORG-SHELL-0 имеет 1 входящего контрагента, ORG-SHELL-1 — 4. DC у них 0,0032 и 0,0127. Это на два порядка меньше, чем у ORG-SUPERMARKET (0,79) и любого ORG-500xxx (~0,30). Преступники намеренно ограничили число контрагентов и не открывали ни одного исходящего платежа — Shell имитировали «спящие» юрлица.</w:t>
      </w:r>
    </w:p>
    <w:p>
      <w:pPr>
        <w:pStyle w:val="ListNumber"/>
        <w:spacing w:after="40"/>
      </w:pPr>
      <w:r>
        <w:rPr>
          <w:b/>
        </w:rPr>
        <w:t>Поиск микроциклов и возвратов (фаза расслоения, Layering):</w:t>
      </w:r>
    </w:p>
    <w:p>
      <w:pPr>
        <w:pStyle w:val="ListBullet2"/>
        <w:spacing w:after="40"/>
      </w:pPr>
      <w:r>
        <w:rPr>
          <w:b/>
        </w:rPr>
        <w:t xml:space="preserve">Использовали ли вы функцию Find Path? Нашли ли обратные транзакции? </w:t>
      </w:r>
      <w:r>
        <w:rPr>
          <w:b w:val="0"/>
        </w:rPr>
        <w:t>Применён инструмент Find Path с разной глубиной поиска. Получены два уровня прочтения схемы:</w:t>
      </w:r>
    </w:p>
    <w:p>
      <w:pPr>
        <w:spacing w:after="80"/>
      </w:pPr>
      <w:r>
        <w:t xml:space="preserve">    1) Прямой путь длины 2 (квалификация как «Корпоративный транзит»). Все 5 мулов имеют кратчайшие пути длины 2 до соответствующей Shell-компании: IND-100253, IND-100177, IND-100074, IND-100004 → ORG-SHELL-1; IND-100233 → ORG-SHELL-0. На этом уровне путь читается как «смурф → мул → Shell».</w:t>
      </w:r>
    </w:p>
    <w:p>
      <w:pPr>
        <w:spacing w:after="80"/>
      </w:pPr>
      <w:r>
        <w:t xml:space="preserve">    2) Расширенный путь длины 3 (читался бы как «Карусель»). При увеличении глубины Find Path до 3 шагов виден промежуточный круг физлиц-посредников (IND-100264, IND-100222, IND-100056, IND-100172, IND-100120 и др., ~30 счетов), через который часть смурфов выходит на мулов. Это многоуровневое layering, характерное для Сценария 1.</w:t>
      </w:r>
    </w:p>
    <w:p>
      <w:pPr>
        <w:spacing w:after="80"/>
      </w:pPr>
      <w:r>
        <w:t>Обратных транзакций (мул → смурф или Shell → мул) не выявлено. Out-degree всех 5 мулов = 1 (только в Shell), out-degree Shell = 0 — Shell являются терминальной точкой вывода. Назначение «Возврат переплаты», классический маркер Карусели, в данной выгрузке отсутствует — есть только «Возврат долга» (155 раз), но как входящее на мулов от смурфов, а не обратно. Найдено 76 пар встречных рёбер A↔B, но все они относятся к легальному фону между физлицами и ORG-500xxx (абонент платит подписку и получает зарплату) и к схеме отмывания не относятся.</w:t>
      </w:r>
    </w:p>
    <w:p>
      <w:pPr>
        <w:spacing w:after="80"/>
      </w:pPr>
      <w:r>
        <w:t>Итог: именно отсутствие обратных микроциклов «мул → смурф» отличает наш вариант от классической «Карусели» и склоняет квалификацию в сторону «Корпоративного транзита» — даже несмотря на видимый промежуточный круг посредников.</w:t>
      </w:r>
    </w:p>
    <w:p>
      <w:r>
        <w:br w:type="page"/>
      </w:r>
    </w:p>
    <w:p>
      <w:pPr>
        <w:spacing w:before="240" w:after="80"/>
      </w:pPr>
      <w:r>
        <w:rPr>
          <w:b/>
          <w:sz w:val="24"/>
        </w:rPr>
        <w:t>6. ВИЗУАЛЬНАЯ ДОКАЗАТЕЛЬНАЯ БАЗА</w:t>
      </w:r>
    </w:p>
    <w:p>
      <w:pPr>
        <w:spacing w:after="80"/>
      </w:pPr>
      <w:r>
        <w:rPr>
          <w:i/>
        </w:rPr>
        <w:t>(Вставьте скриншоты из IBM i2 Analyst's Notebook, доказывающие ваши выводы).</w:t>
      </w:r>
    </w:p>
    <w:p>
      <w:pPr>
        <w:pStyle w:val="ListBullet"/>
        <w:spacing w:after="40"/>
      </w:pPr>
      <w:r>
        <w:rPr>
          <w:b/>
        </w:rPr>
        <w:t xml:space="preserve">Скриншот 1: </w:t>
      </w:r>
      <w:r>
        <w:rPr>
          <w:b w:val="0"/>
        </w:rPr>
        <w:t>Общий вид «очищенного» графа (после скрытия «белого шума»), сгруппированный через Hierarchical или Circular Layout.</w:t>
      </w:r>
    </w:p>
    <w:p>
      <w:pPr>
        <w:spacing w:after="80"/>
      </w:pPr>
      <w:r>
        <w:t>Получившийся «очищенный» граф из ~660 связей (без 19 сервисных компаний ORG-500xxx и ORG-SUPERMARKET). Хорошо видно радиальное расположение смурфов вокруг компактного «ядра» из 5 мулов и 2 Shell-компаний наверху.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leaned_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0"/>
        </w:rPr>
        <w:t>Рисунок 1 — «Очищенный» граф (Shell / мулы / смурфы)</w:t>
      </w:r>
    </w:p>
    <w:p>
      <w:pPr>
        <w:pStyle w:val="ListBullet"/>
        <w:spacing w:after="40"/>
      </w:pPr>
      <w:r>
        <w:rPr>
          <w:b/>
        </w:rPr>
        <w:t xml:space="preserve">Скриншот 2: </w:t>
      </w:r>
      <w:r>
        <w:rPr>
          <w:b w:val="0"/>
        </w:rPr>
        <w:t>Выделенный путь от любого Смурфа до Shell-компании с отображением сумм на связях.</w:t>
      </w:r>
    </w:p>
    <w:p>
      <w:pPr>
        <w:spacing w:after="80"/>
      </w:pPr>
      <w:r>
        <w:t>Объяснение рисунка 2: розовым выделен мул, жёлтым — случайно выбранный смурф (IND-100264), фиолетовым — Shell-компания. Красной жирной линией показан путь длины 2: IND-100264 → IND-100177 → ORG-SHELL-1, с подписями сумм на каждом ребре.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0"/>
        </w:rPr>
        <w:t>Рисунок 2 — Путь от смурфа IND-100264 до Shell-компании через мула</w:t>
      </w:r>
    </w:p>
    <w:p>
      <w:pPr>
        <w:pStyle w:val="ListBullet"/>
        <w:spacing w:after="40"/>
      </w:pPr>
      <w:r>
        <w:rPr>
          <w:b/>
        </w:rPr>
        <w:t xml:space="preserve">Скриншот 3: </w:t>
      </w:r>
      <w:r>
        <w:rPr>
          <w:b w:val="0"/>
        </w:rPr>
        <w:t>Временная шкала / гистограмма, демонстрирующая аномальный всплеск переводов в конкретные дни или время суток.</w:t>
      </w:r>
    </w:p>
    <w:p>
      <w:pPr>
        <w:spacing w:after="80"/>
      </w:pPr>
      <w:r>
        <w:t>На рисунке 3 видно, что переводы от мулов на Shell-компании сконцентрированы строго в окне 18.10–23.10.2025 (13 операций за 6 дней). Это финальная фаза вывода в типологии «Корпоративный транзит»: после нескольких недель сбора средств от смурфов схема завершается ночными траншами на Shell.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0"/>
        </w:rPr>
        <w:t>Рисунок 3 — Распределение переводов мул → Shell по датам</w:t>
      </w:r>
    </w:p>
    <w:p>
      <w:pPr>
        <w:spacing w:after="80"/>
      </w:pPr>
      <w:r>
        <w:t>На рисунке 4 — распределение по часам суток. Все 13 переводов мул → Shell (красные столбцы) находятся в окне 00:00–05:00 (11 операций) и 22:00–23:00 (2 операции). Платежи под назначением «Оплата по договору» в 02:00–04:00 ночи не имеют экономического обоснования и являются явным маркером автоматизированной генерации транзакций.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hou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20"/>
        </w:rPr>
        <w:t>Рисунок 4 — Распределение теневых транзакций по часам суток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