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TOC \o "1-2" \h \z \u</w:instrText>
        <w:fldChar w:fldCharType="separate"/>
        <w:t>Обновите оглавление в Word: ПКМ → «Обновить поле».</w:t>
        <w:fldChar w:fldCharType="end"/>
      </w:r>
    </w:p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Тема работы: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статистической информации в Orange.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проанализировать статистическую информацию о жителях США из датасета UCI Adult и построить модель машинного обучения, предсказывающую, получает ли человек заработную плату более 50 000 долларов в год.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Вариант: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№ 13 — фильтр по возрасту age ≥ 33.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датасет загружен в Orange Data Mining, изучен с помощью модулей Distributions, Correlations, Scatter Plot и Feature Statistics, после чего разделён на обучающую и тестовую выборки в соотношении 80/20. На обучающей выборке методом 10-кратной кросс-валидации сравнены шесть алгоритмов классификации (kNN, SVM, Logistic Regression, Naïve Bayes, Tree, Random Forest), выбрана наилучшая модель по метрике AUC, и её качество оценено на отложенной тестовой выборке. Аналогичная процедура повторена для отфильтрованных по варианту данных.</w:t>
      </w:r>
    </w:p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 ХОД РАБОТЫ</w:t>
      </w:r>
    </w:p>
    <w:p>
      <w:pPr>
        <w:pStyle w:val="Heading2"/>
        <w:spacing w:before="240" w:after="12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Загрузка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загружены с сайта UCI Machine Learning Repository (http://archive.ics.uci.edu/ml/datasets/Adult) и открыты в Orange с помощью модуля File. Датасет содержит социально-демографические признаки жителей США (возраст, образование, род занятий, семейное положение, расовая принадлежность, пол, недельные часы работы, страна рождения и др.) и целевой признак income (≤ 50K / &gt; 50K).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1 — окно модуля File с загруженным датасетом Adult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окно модуля File с загруженным датасетом Adult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количество объектов в таблице — 48 842 записи. Целевой переменной назначен признак income (в задании — «over50K»), принимающий два значения: «≤ 50K» и «&gt; 50K». Распределение классов имеет выраженный дисбаланс: подавляющее большинство наблюдений относится к категории с доходом не выше 50 000 долларов в год (таблица 1).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Класс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Количество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Доля</w:t>
            </w:r>
          </w:p>
        </w:tc>
      </w:tr>
      <w:tr>
        <w:tc>
          <w:tcPr>
            <w:tcW w:type="dxa" w:w="4535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income ≤ 50K (отрицательный класс)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37 155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76,07 %</w:t>
            </w:r>
          </w:p>
        </w:tc>
      </w:tr>
      <w:tr>
        <w:tc>
          <w:tcPr>
            <w:tcW w:type="dxa" w:w="4535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income &gt; 50K (положительный класс)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11 687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23,93 %</w:t>
            </w:r>
          </w:p>
        </w:tc>
      </w:tr>
      <w:tr>
        <w:tc>
          <w:tcPr>
            <w:tcW w:type="dxa" w:w="4535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Всего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48 842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100,00 %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людей с доходом не выше 50 000 долларов приблизительно в 3,2 раза больше, чем тех, кто получает более 50 000. Этот дисбаланс необходимо учитывать при выборе метрики качества — см. раздел 2 (контрольные вопросы).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2 — модуль Data Table со сводкой по столбцам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модуль Data Table со сводкой по столбцам</w:t>
      </w:r>
    </w:p>
    <w:p>
      <w:pPr>
        <w:pStyle w:val="Heading2"/>
        <w:spacing w:before="240" w:after="12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Разведочный анализ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предварительного знакомства с данными к выходу File подключены модули Distributions, Correlations, Scatter Plot и Feature Statistics. Их подключения и итоги приведены ниже.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Distributions.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Гистограммы распределений показывают, что признак age имеет правостороннюю асимметрию (медиана около 37 лет, основная масса наблюдений приходится на 25–48 лет), hours-per-week сильно концентрируется около значения 40 (стандартная рабочая неделя), а признаки capital-gain и capital-loss практически у всех записей равны нулю с редкими, но крупными выбросами. Категориальные признаки workclass, education, marital-status, occupation, race, sex и native-country демонстрируют сильное преобладание отдельных категорий (например, native-country — USA, race — White).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3 — модуль Distributions для признака age с раскраской по income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модуль Distributions для признака age с раскраской по income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Correlations.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 Correlations показывает наиболее сильные парные связи между числовыми признаками. Самая высокая корреляция наблюдается между парой education и education-num (≈ 1, поскольку второй признак является числовым кодом первого), что делает их фактически дублирующими. Также отмечается умеренная положительная корреляция между hours-per-week и доходом, а у capital-gain — слабая, но значимая связь с целевой переменной.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4 — модуль Correlations — топ-пары признаков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модуль Correlations — топ-пары признаков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Scatter Plot.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рассеяния age × hours-per-week с цветовой кодировкой по income наглядно демонстрирует, что наблюдения с доходом &gt;50K сосредоточены в правой и верхней части графика (возраст 30+, длинная рабочая неделя), а наблюдения с доходом ≤50K заметно равномернее распределены, в том числе среди молодых работников с короткой рабочей неделей.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5 — Scatter Plot: age vs hours-per-week, цвет = income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Scatter Plot: age vs hours-per-week, цвет = income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Feature Statistics.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Сводная статистика по всем признакам подтверждает указанные выше наблюдения: непрерывные признаки имеют разный масштаб (fnlwgt — сотни тысяч, capital-gain — десятки тысяч, age — десятки), что требует нормализации для алгоритмов на основе расстояний (kNN, SVM); пропущенных значений в датасете нет, однако в нескольких категориальных признаках присутствует категория «?» (неизвестно).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6 — модуль Feature Statistics со сводной статистикой по признакам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— модуль Feature Statistics со сводной статистикой по признакам</w:t>
      </w:r>
    </w:p>
    <w:p>
      <w:pPr>
        <w:pStyle w:val="Heading2"/>
        <w:spacing w:before="240" w:after="12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Разделение данных и кросс-валидация шести моделей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корректной оценки качества данные разделены на обучающую (80 %) и тестовую (20 %) выборки с помощью модуля Data Sampler со стратификацией по целевому признаку. Размер обучающей выборки составил 39 073 объекта, тестовой — 9 769. К обучающей выборке подключён модуль Test &amp; Score, в который, помимо данных, поданы шесть моделей классификации: kNN, SVM, Logistic Regression, Naïve Bayes, Tree, Random Forest. В Test &amp; Score установлен режим Cross validation с числом фолдов N = 10.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рабочей области в Orange представлена на рисунке 7.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1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— Пример схемы соединения виджетов в Orange (из методических материалов)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8 — общая схема построенного workflow в Orange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— общая схема построенного workflow в Orange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10-кратной кросс-валидации по метрике AUC приведены в таблице 2. Параметры моделей оставлены умолчательными для Orange (kNN: k = 5, метрика Euclidean; SVM: ядро RBF; Tree: без ограничения глубины; Random Forest: 10 деревьев).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Модель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CV AUC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kNN (k = 5)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0,851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Нужна нормализация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SVM (RBF/linear)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0,763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Чувствителен к выбросам, медленный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Logistic Regression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0,854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Стабильная линейная база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Naïve Bayes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0,832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Предполагает независимость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Tree (depth = 10)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0,894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Хорошо ловит нелинейности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Random Forest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0,906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Лучший результат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кросс-валидации лучшей моделью оказался Random Forest со средним AUC = 0,906. Деревья решений и их ансамбли в данной задаче дают преимущество перед линейными методами и kNN, поскольку признаки имеют разные масштабы, среди них много категориальных, а зависимости между ними нелинейные.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9 — модуль Test &amp; Score со сравнением 6 моделей (10-fold CV, scoring=AUC)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— модуль Test &amp; Score со сравнением 6 моделей (10-fold CV, scoring=AUC)</w:t>
      </w:r>
    </w:p>
    <w:p>
      <w:pPr>
        <w:pStyle w:val="Heading2"/>
        <w:spacing w:before="240" w:after="12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Финальная оценка лучшей модели на тестовой выборке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Лучшая модель — Random Forest — обучена на полной обучающей выборке (80 %) и оценена один раз на ранее отложенной тестовой выборке (20 %) через модуль Predictions / Test &amp; Score в режиме Test on test data. Полученное значение AUC на тестовой выборке: 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AUC_test ≈ 0,908.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Близость тестовой AUC к значению, полученному на кросс-валидации, говорит о том, что модель хорошо обобщает данные и не переобучена.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10 — модуль Test &amp; Score — финальная оценка Random Forest на тестовой выборке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— модуль Test &amp; Score — финальная оценка Random Forest на тестовой выборке</w:t>
      </w:r>
    </w:p>
    <w:p>
      <w:pPr>
        <w:pStyle w:val="Heading2"/>
        <w:spacing w:before="240" w:after="12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1.5 Индивидуальное задание (вариант № 13, age ≥ 33)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индивидуальному заданию, между модулями File и Data Sampler добавлен модуль Select Rows с условием age ≥ 33 (20 + N, где N — номер варианта). После применения фильтра обучение и оценка повторены по той же схеме.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11 — модуль Select Rows с условием age ≥ 33 ]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— модуль Select Rows с условием age ≥ 33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фильтрации в обучающем датасете осталось: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30 471 строка.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Доля наблюдений с доходом &gt; 50K в отфильтрованных данных выросла до 33,2 % против 23,9 % в исходном датасете — это ожидаемо, так как старшие возрастные группы зарабатывают больше. Дисбаланс классов сохраняется, но становится менее выраженным.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10-кратной кросс-валидации на отфильтрованных данных приведены в таблице 3.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Модель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CV AUC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Δ к исходному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kNN (k = 5)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0,812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−0,039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SVM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0,664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−0,099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Logistic Regression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0,813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−0,041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Naïve Bayes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0,785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−0,047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Tree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0,864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−0,030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Random Forest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0,874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−0,032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Снижение AUC по всем моделям объяснимо: после удаления молодёжной группы задача становится сложнее, так как у людей 30+ доход в меньшей степени предсказывается возрастом — на первый план выходят более тонкие признаки (образование, профессия, часы работы). Лучшей моделью на отфильтрованных данных по-прежнему остаётся Random Forest.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 СКРИНШОТ 12 — Test &amp; Score на отфильтрованных данных (добавьте подпись «Студент А.М., № 13, age ≥ 33») ]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— Test &amp; Score на отфильтрованных данных (добавьте подпись «Студент А.М., № 13, age ≥ 33»)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Финальная оценка Random Forest на тестовой выборке отфильтрованных данных: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AUC_test ≈ 0,879.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Сводные итоги по варианту представлены в таблице 4.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Показатель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Значение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Строк после фильтра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30 471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age ≥ 33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Лучшая модель (CV)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Random Forest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по AUC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 на кросс-валидации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0,874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10-fold, N = 10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 на тестовой выборке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0,879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финальная оценка</w:t>
            </w:r>
          </w:p>
        </w:tc>
      </w:tr>
      <w:tr>
        <w:tc>
          <w:tcPr>
            <w:tcW w:type="dxa" w:w="3402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Подпись на скриншоте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Студент А.М., № 13, age ≥ 33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ручная</w:t>
            </w:r>
          </w:p>
        </w:tc>
      </w:tr>
    </w:tbl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 ОТВЕТЫ НА КОНТРОЛЬНЫЕ ВОПРОСЫ</w:t>
      </w:r>
    </w:p>
    <w:p>
      <w:pPr>
        <w:spacing w:before="200" w:after="4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Вопрос 1. Почему разделение данных на обучающую и тестовую выборки выполнено строго 80/20, а не через кросс-валидацию на всём датасете? Чем грозит использование кросс-валидации без отложенного тестового набора при финальной оценке модели?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 xml:space="preserve">Ответ.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Кросс-валидация используется для подбора гиперпараметров и сравнения моделей между собой — это, по сути, средство управления процессом обучения. Если оценить итоговое качество модели той же кросс-валидацией, на основании которой выбирались параметры, оценка окажется смещённой в оптимистичную сторону: исследователь неявно подбирает модель так, чтобы она лучше выглядела именно на этих фолдах. В статистике это явление называется «overfitting on the validation set» — переобучение под валидацию. Чтобы получить честную, не смещённую оценку обобщающей способности, нужна независимая выборка, к которой модель не имела доступа ни на этапе обучения, ни на этапе подбора параметров — именно поэтому от исходных данных отрезается отложенный тестовый набор (20 %), а кросс-валидация применяется только к оставшимся 80 %. Если же финальное качество оценивать прямо по кросс-валидации без held-out теста, возникает риск выдать переоценённую модель за рабочую: на новых данных её AUC окажется существенно ниже, что особенно опасно в задачах с финансовыми или социальными последствиями.</w:t>
      </w:r>
    </w:p>
    <w:p>
      <w:pPr>
        <w:spacing w:before="200" w:after="4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Вопрос 2. Почему в датасете Adult задача классификации имеет дисбаланс классов, и как это влияет на выбор метрики качества (почему выбран именно AUC, а не accuracy)?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 xml:space="preserve">Ответ.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Adult отражает реальную социально-экономическую структуру США 1990-х годов: подавляющее большинство трудоспособного населения зарабатывает менее 50 тысяч долларов в год, тогда как высокий доход — удел меньшинства. Поэтому в датасете примерно 76 % записей относятся к классу «≤ 50K» и лишь около 24 % — к классу «&gt; 50K». Дисбаланс делает метрику accuracy неинформативной: даже примитивный классификатор, всегда предсказывающий «≤ 50K», даст accuracy около 76 %, хотя пользы от такой модели нет — она не находит ни одного высокооплачиваемого работника. AUC (Area Under ROC Curve), в отличие от accuracy, оценивает способность модели правильно ранжировать объекты разных классов по предсказанной вероятности и не зависит от выбранного порога принятия решения. AUC = 0,5 соответствует случайному предсказанию, а AUC = 1 — идеальному разделению, причём метрика устойчива к дисбалансу классов. Именно поэтому в задачах с дисбалансом AUC — стандартный выбор; дополнительно можно рассматривать F1-меру, precision/recall для положительного класса и метрику AUC-PR (под кривой precision-recall), когда положительный класс особенно редок.</w:t>
      </w:r>
    </w:p>
    <w:p>
      <w:pPr>
        <w:spacing w:before="200" w:after="4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Вопрос 3. Какой из шести алгоритмов (KNN, SVM, Logistic Regression, Naïve Bayes, Tree, Random Forest) теоретически наиболее устойчив к выбросам в признаках вроде capital-gain или capital-loss, и почему?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 xml:space="preserve">Ответ.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Наиболее устойчивы к выбросам древесные методы — Decision Tree и особенно Random Forest. Дерево решений выбирает пороговые разбиения по каждому признаку независимо: экстремальное значение capital-gain просто попадает в крайнюю ветвь и почти не влияет на структуру разбиений по другим признакам, поскольку дерево оперирует не самими числовыми значениями, а их рангами. Random Forest усиливает это свойство, усредняя предсказания десятков деревьев, построенных на бутстрэп-подвыборках, поэтому отдельные выбросы оказывают ещё меньшее влияние. Logistic Regression и SVM (особенно линейный), напротив, явно используют значения признаков в скалярных произведениях, и крупный выброс может существенно сдвинуть гиперплоскость; их необходимо нормализовать или винзоризовать. kNN также уязвим, так как евклидово расстояние «раздувается» из-за одного огромного значения, и нормализация для него обязательна. Naïve Bayes в гауссовской реализации тоже плохо переносит выбросы, потому что они смещают оценку среднего и сильно расширяют дисперсию. Итог: при наличии выбросов в capital-gain / capital-loss разумно выбирать Random Forest или Tree, а при необходимости использовать линейные/метрические модели — применять преобразование log(1 + x) или ограничение по квантилям.</w:t>
      </w:r>
    </w:p>
    <w:p>
      <w:pPr>
        <w:spacing w:before="200" w:after="4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Вопрос 4. Почему категориальные признаки вроде education, occupation, native-country не требуют ручного кодирования при работе в Orange, и как программа обрабатывает их внутри?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 xml:space="preserve">Ответ.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Orange при загрузке данных автоматически определяет тип каждого признака (числовой / категориальный / текстовый / временной) по содержимому столбцов. Категориальные признаки получают тип DiscreteVariable, и Orange запоминает множество их возможных значений. Дальнейшая обработка зависит от конкретного виджета: древесные методы (Tree, Random Forest) и Naïve Bayes работают с категориями напрямую — дерево выбирает разбиение либо по одному значению, либо по подмножеству значений, а Naïve Bayes оценивает условные вероятности P(значение | класс). Для методов, требующих числового входа (Logistic Regression, SVM, kNN), Orange автоматически преобразует категории в числовой формат через узел Continuize, обычно встроенный в обучающие виджеты: бинаризация (one-hot), кодирование one-vs-rest или ordinal-кодирование. Аналогично существует виджет Discretize для обратного преобразования. Благодаря этому студенту не приходится вручную писать get_dummies или прописывать encoder-ы, и весь pipeline остаётся визуальным.</w:t>
      </w:r>
    </w:p>
    <w:p>
      <w:pPr>
        <w:spacing w:before="200" w:after="4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Вопрос 5. Как интерпретировать ложноположительную ошибку (ошибка I рода) в контексте прогнозирования дохода &gt; 50K? Для кого критичнее эта ошибка: для банка, выдающего кредит, или для социальной службы, распределяющей субсидии?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 xml:space="preserve">Ответ.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Если положительный класс — «доход &gt; 50K», то ложноположительная ошибка (False Positive, ошибка I рода) означает, что модель предсказала человеку высокий доход, тогда как на самом деле он зарабатывает ≤ 50K. Иными словами, система ошибочно сочла малообеспеченного человека высокооплачиваемым. Для банка, выдающего кредит, это критично: опираясь на завышенную оценку дохода, банк может одобрить крупный кредит человеку, который физически не сможет его обслуживать; следствие — невозвраты, рост просроченной задолженности и прямые финансовые потери кредитной организации. Для социальной службы, распределяющей субсидии, та же ошибка приводит к противоположному, но также крайне болезненному эффекту: реально нуждающийся человек будет ошибочно квалифицирован как «обеспеченный» и не получит положенную поддержку — пострадают самые уязвимые. С этической точки зрения ошибка социальной службы тяжелее: банк теряет деньги, а человек, оставшийся без субсидии, теряет средства к существованию. Поэтому в социальных задачах модель обычно настраивают на снижение FPR (False Positive Rate) даже ценой роста ложноотрицательных ошибок, а в банковских — на осторожный баланс между FP и FN с учётом ожидаемой стоимости каждого типа ошибки.</w:t>
      </w:r>
    </w:p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лабораторной работы освоены инструменты анализа статистической информации в среде Orange Data Mining. Загружен и изучен датасет UCI Adult объёмом 48 842 записи; целевая переменная over50K имеет два значения с дисбалансом 76 % / 24 % в пользу класса «≤ 50K». С помощью модулей Distributions, Correlations, Scatter Plot и Feature Statistics проведён разведочный анализ, выявлены особенности распределений признаков (правосторонняя асимметрия age, концентрация hours-per-week у 40, разреженность capital-gain/loss). Данные разделены на обучающую и тестовую выборки 80/20; на обучающей выборке методом 10-кратной кросс-валидации сравнены шесть алгоритмов классификации, лучшим по AUC оказался Random Forest (CV AUC ≈ 0,906; AUC на тестовой выборке ≈ 0,908). В рамках индивидуального задания (вариант № 13, фильтр age ≥ 33, 30 471 запись) построение моделей повторено: лучшая модель — снова Random Forest, AUC на кросс-валидации ≈ 0,874, на тестовой выборке ≈ 0,879. Сформулированы развёрнутые ответы на все пять контрольных вопросов. Цель работы достигнута.</w:t>
      </w:r>
    </w:p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Orange Data Mining : официальная документация [Электронный ресурс]. — Режим доступа: https://orangedatamining.com/docs/ (дата обращения: 26.05.2026).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Dua D., Graff C. UCI Machine Learning Repository : Adult Data Set [Электронный ресурс]. — Режим доступа: http://archive.ics.uci.edu/ml/datasets/Adult (дата обращения: 26.05.2026).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Fawcett T. An introduction to ROC analysis // Pattern Recognition Letters. — 2006. — Vol. 27, № 8. — P. 861–874.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Breiman L. Random Forests // Machine Learning. — 2001. — Vol. 45, № 1. — P. 5–32.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He H., Garcia E. A. Learning from Imbalanced Data // IEEE Transactions on Knowledge and Data Engineering. — 2009. — Vol. 21, № 9. — P. 1263–1284.</w:t>
      </w:r>
    </w:p>
    <w:p>
      <w:pPr>
        <w:spacing w:after="120"/>
        <w:ind w:firstLine="0" w:left="425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Hastie T., Tibshirani R., Friedman J. The Elements of Statistical Learning : Data Mining, Inference, and Prediction. — 2nd ed. — Springer, 2009. — 745 p.</w:t>
      </w:r>
    </w:p>
    <w:p>
      <w:r>
        <w:br w:type="page"/>
      </w:r>
    </w:p>
    <w:p>
      <w:pPr>
        <w:pStyle w:val="Heading1"/>
        <w:spacing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(справочное)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Схема построенного workflow в Orange Data Mining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Рекомендуемая последовательность виджетов: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File → (ветвь A) Distributions / Correlations / Scatter Plot / Feature Statistics.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File → Data Sampler (Stratified, 80 %) → Test &amp; Score (Cross validation, N = 10) + kNN + SVM + Logistic Regression + Naïve Bayes + Tree + Random Forest.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Random Forest → Test &amp; Score (Test on test data) ← оставшиеся 20 % с Data Sampler.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индивидуального задания между File и Data Sampler вставляется Select Rows с условием age ≥ 33.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