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40"/>
        <w:jc w:val="center"/>
      </w:pPr>
      <w:r>
        <w:rPr>
          <w:b/>
          <w:sz w:val="28"/>
        </w:rPr>
        <w:t>ОТЧЁТ О ПОДОЗРИТЕЛЬНОЙ АКТИВНОСТИ</w:t>
      </w:r>
    </w:p>
    <w:p>
      <w:pPr>
        <w:spacing w:before="240" w:after="80"/>
      </w:pPr>
      <w:r>
        <w:rPr>
          <w:b/>
          <w:sz w:val="24"/>
        </w:rPr>
        <w:t>1. ПАСПОРТ РАССЛЕДОВАНИЯ</w:t>
      </w:r>
    </w:p>
    <w:p>
      <w:pPr>
        <w:pStyle w:val="ListBullet"/>
        <w:spacing w:after="40"/>
      </w:pPr>
      <w:r>
        <w:rPr>
          <w:b/>
        </w:rPr>
        <w:t xml:space="preserve">Состав команды Blue Team (ФИО полностью): </w:t>
      </w:r>
      <w:r>
        <w:rPr>
          <w:b w:val="0"/>
        </w:rPr>
        <w:t>[Заполнить вручную]</w:t>
      </w:r>
    </w:p>
    <w:p>
      <w:pPr>
        <w:pStyle w:val="ListBullet"/>
        <w:spacing w:after="40"/>
      </w:pPr>
      <w:r>
        <w:rPr>
          <w:b/>
        </w:rPr>
        <w:t xml:space="preserve">Название выданного CSV-файла: </w:t>
      </w:r>
      <w:r>
        <w:rPr>
          <w:b w:val="0"/>
        </w:rPr>
        <w:t>906092.csv</w:t>
      </w:r>
    </w:p>
    <w:p>
      <w:pPr>
        <w:spacing w:before="240" w:after="80"/>
      </w:pPr>
      <w:r>
        <w:rPr>
          <w:b/>
          <w:sz w:val="24"/>
        </w:rPr>
        <w:t>2. РЕЗЮМЕ РАССЛЕДОВАНИЯ</w:t>
      </w:r>
    </w:p>
    <w:p>
      <w:pPr>
        <w:spacing w:after="80"/>
      </w:pPr>
      <w:r>
        <w:rPr>
          <w:i/>
        </w:rPr>
        <w:t>(Краткое описание выявленной схемы отмывания денег. Не более 3–4 предложений. Какая типология была использована преступниками?)</w:t>
      </w:r>
    </w:p>
    <w:p>
      <w:pPr>
        <w:spacing w:after="80"/>
      </w:pPr>
      <w:r>
        <w:t>В ходе анализа выявлена четырёхуровневая схема легализации доходов по типологии «Карусель» (Сценарий 1). Средства поступали от широкой сети из 40 смурфов мелкими переводами (~7–9 тыс. ₽) под легендами «Перевод средств», «Возврат долга» и «Оплата услуг» не напрямую к мулам, а через прослойку из ~30 посредников-физлиц — это и есть фаза layering, скрывающая прямую связь смурф↔Shell. На третьем уровне средства аккумулировались на счетах пяти мулов (IND-100177, IND-100253, IND-100074, IND-100233, IND-100004) и в ночные часы (00:00–05:00) единичными крупными траншами по 80–200 тыс. ₽ под видом «Оплата по договору» выводились на две Shell-компании (ORG-SHELL-0, ORG-SHELL-1). Общая сумма легализованных средств — 1 796 176,30 руб.</w:t>
      </w:r>
    </w:p>
    <w:p>
      <w:pPr>
        <w:spacing w:before="240" w:after="80"/>
      </w:pPr>
      <w:r>
        <w:rPr>
          <w:b/>
          <w:sz w:val="24"/>
        </w:rPr>
        <w:t>3. ИДЕНТИФИКАЦИЯ КЛЮЧЕВЫХ ФИГУРАНТОВ</w:t>
      </w:r>
    </w:p>
    <w:p>
      <w:pPr>
        <w:spacing w:after="80"/>
      </w:pPr>
      <w:r>
        <w:rPr>
          <w:i/>
        </w:rPr>
        <w:t>(Укажите точные ID счетов, которые вы считаете участниками схемы.)</w:t>
      </w:r>
    </w:p>
    <w:p>
      <w:pPr>
        <w:pStyle w:val="ListNumber"/>
        <w:spacing w:after="40"/>
      </w:pPr>
      <w:r>
        <w:rPr>
          <w:b/>
        </w:rPr>
        <w:t>Shell-компании:</w:t>
      </w:r>
    </w:p>
    <w:p>
      <w:pPr>
        <w:pStyle w:val="ListBullet2"/>
        <w:spacing w:after="40"/>
      </w:pPr>
      <w:r>
        <w:rPr>
          <w:b w:val="0"/>
        </w:rPr>
        <w:t xml:space="preserve">ORG-SHELL-1 — 1 455 899,06 руб. </w:t>
      </w:r>
      <w:r>
        <w:rPr>
          <w:b w:val="0"/>
        </w:rPr>
        <w:t>(получила от 4 мулов, 11 операций «Оплата по договору»)</w:t>
      </w:r>
    </w:p>
    <w:p>
      <w:pPr>
        <w:pStyle w:val="ListBullet2"/>
        <w:spacing w:after="40"/>
      </w:pPr>
      <w:r>
        <w:rPr>
          <w:b w:val="0"/>
        </w:rPr>
        <w:t xml:space="preserve">ORG-SHELL-0 — 340 277,24 руб. </w:t>
      </w:r>
      <w:r>
        <w:rPr>
          <w:b w:val="0"/>
        </w:rPr>
        <w:t>(получила от 1 мула, 2 операции «Оплата по договору»)</w:t>
      </w:r>
    </w:p>
    <w:p>
      <w:pPr>
        <w:pStyle w:val="ListNumber"/>
        <w:spacing w:after="40"/>
      </w:pPr>
      <w:r>
        <w:rPr>
          <w:b/>
        </w:rPr>
        <w:t>Мулы:</w:t>
      </w:r>
    </w:p>
    <w:p>
      <w:pPr>
        <w:pStyle w:val="ListBullet2"/>
        <w:spacing w:after="40"/>
      </w:pPr>
      <w:r>
        <w:rPr>
          <w:b w:val="0"/>
        </w:rPr>
        <w:t xml:space="preserve">IND-100253 </w:t>
      </w:r>
      <w:r>
        <w:rPr>
          <w:b w:val="0"/>
        </w:rPr>
        <w:t xml:space="preserve">(11 входов / 3 выхода, 429 310 ₽) </w:t>
      </w:r>
      <w:r>
        <w:rPr>
          <w:b/>
        </w:rPr>
        <w:t>→ ORG-SHELL-1</w:t>
      </w:r>
    </w:p>
    <w:p>
      <w:pPr>
        <w:pStyle w:val="ListBullet2"/>
        <w:spacing w:after="40"/>
      </w:pPr>
      <w:r>
        <w:rPr>
          <w:b w:val="0"/>
        </w:rPr>
        <w:t xml:space="preserve">IND-100177 </w:t>
      </w:r>
      <w:r>
        <w:rPr>
          <w:b w:val="0"/>
        </w:rPr>
        <w:t xml:space="preserve">(15 входов / 3 выхода, 402 414 ₽) </w:t>
      </w:r>
      <w:r>
        <w:rPr>
          <w:b/>
        </w:rPr>
        <w:t>→ ORG-SHELL-1</w:t>
      </w:r>
    </w:p>
    <w:p>
      <w:pPr>
        <w:pStyle w:val="ListBullet2"/>
        <w:spacing w:after="40"/>
      </w:pPr>
      <w:r>
        <w:rPr>
          <w:b w:val="0"/>
        </w:rPr>
        <w:t xml:space="preserve">IND-100074 </w:t>
      </w:r>
      <w:r>
        <w:rPr>
          <w:b w:val="0"/>
        </w:rPr>
        <w:t xml:space="preserve">(16 входов / 3 выхода, 378 350 ₽) </w:t>
      </w:r>
      <w:r>
        <w:rPr>
          <w:b/>
        </w:rPr>
        <w:t>→ ORG-SHELL-1</w:t>
      </w:r>
    </w:p>
    <w:p>
      <w:pPr>
        <w:pStyle w:val="ListBullet2"/>
        <w:spacing w:after="40"/>
      </w:pPr>
      <w:r>
        <w:rPr>
          <w:b w:val="0"/>
        </w:rPr>
        <w:t xml:space="preserve">IND-100004 </w:t>
      </w:r>
      <w:r>
        <w:rPr>
          <w:b w:val="0"/>
        </w:rPr>
        <w:t xml:space="preserve">(12 входов / 2 выхода, 245 825 ₽) </w:t>
      </w:r>
      <w:r>
        <w:rPr>
          <w:b/>
        </w:rPr>
        <w:t>→ ORG-SHELL-1</w:t>
      </w:r>
    </w:p>
    <w:p>
      <w:pPr>
        <w:pStyle w:val="ListBullet2"/>
        <w:spacing w:after="40"/>
      </w:pPr>
      <w:r>
        <w:rPr>
          <w:b w:val="0"/>
        </w:rPr>
        <w:t xml:space="preserve">IND-100233 </w:t>
      </w:r>
      <w:r>
        <w:rPr>
          <w:b w:val="0"/>
        </w:rPr>
        <w:t xml:space="preserve">(16 входов / 2 выхода, 340 277 ₽) </w:t>
      </w:r>
      <w:r>
        <w:rPr>
          <w:b/>
        </w:rPr>
        <w:t>→ ORG-SHELL-0</w:t>
      </w:r>
    </w:p>
    <w:p>
      <w:pPr>
        <w:pStyle w:val="ListNumber"/>
        <w:spacing w:after="40"/>
      </w:pPr>
      <w:r>
        <w:rPr>
          <w:b/>
        </w:rPr>
        <w:t>Смурфы (выборочно, 5 ключевых ID из 40):</w:t>
      </w:r>
    </w:p>
    <w:p>
      <w:pPr>
        <w:pStyle w:val="ListBullet2"/>
        <w:spacing w:after="40"/>
      </w:pPr>
      <w:r>
        <w:rPr>
          <w:b w:val="0"/>
        </w:rPr>
        <w:t xml:space="preserve">IND-100269 </w:t>
      </w:r>
      <w:r>
        <w:rPr>
          <w:b w:val="0"/>
        </w:rPr>
        <w:t>(2 платежа на сумму 17 254 ₽)</w:t>
      </w:r>
    </w:p>
    <w:p>
      <w:pPr>
        <w:pStyle w:val="ListBullet2"/>
        <w:spacing w:after="40"/>
      </w:pPr>
      <w:r>
        <w:rPr>
          <w:b w:val="0"/>
        </w:rPr>
        <w:t xml:space="preserve">IND-100161 </w:t>
      </w:r>
      <w:r>
        <w:rPr>
          <w:b w:val="0"/>
        </w:rPr>
        <w:t>(2 платежа на сумму 17 126 ₽)</w:t>
      </w:r>
    </w:p>
    <w:p>
      <w:pPr>
        <w:pStyle w:val="ListBullet2"/>
        <w:spacing w:after="40"/>
      </w:pPr>
      <w:r>
        <w:rPr>
          <w:b w:val="0"/>
        </w:rPr>
        <w:t xml:space="preserve">IND-100157 </w:t>
      </w:r>
      <w:r>
        <w:rPr>
          <w:b w:val="0"/>
        </w:rPr>
        <w:t>(2 платежа на сумму 17 113 ₽)</w:t>
      </w:r>
    </w:p>
    <w:p>
      <w:pPr>
        <w:pStyle w:val="ListBullet2"/>
        <w:spacing w:after="40"/>
      </w:pPr>
      <w:r>
        <w:rPr>
          <w:b w:val="0"/>
        </w:rPr>
        <w:t xml:space="preserve">IND-100162 </w:t>
      </w:r>
      <w:r>
        <w:rPr>
          <w:b w:val="0"/>
        </w:rPr>
        <w:t>(2 платежа на сумму 17 073 ₽)</w:t>
      </w:r>
    </w:p>
    <w:p>
      <w:pPr>
        <w:pStyle w:val="ListBullet2"/>
        <w:spacing w:after="40"/>
      </w:pPr>
      <w:r>
        <w:rPr>
          <w:b w:val="0"/>
        </w:rPr>
        <w:t xml:space="preserve">IND-100140 </w:t>
      </w:r>
      <w:r>
        <w:rPr>
          <w:b w:val="0"/>
        </w:rPr>
        <w:t>(2 платежа на сумму 17 004 ₽)</w:t>
      </w:r>
    </w:p>
    <w:p>
      <w:pPr>
        <w:spacing w:after="80"/>
      </w:pPr>
      <w:r>
        <w:t>Полный список из 40 смурфов: IND-100005, IND-100006, IND-100025, IND-100029, IND-100049, IND-100051, IND-100066, IND-100070, IND-100072, IND-100080, IND-100084, IND-100085, IND-100091, IND-100102, IND-100104, IND-100124, IND-100135, IND-100140, IND-100145, IND-100147, IND-100148, IND-100150, IND-100157, IND-100161, IND-100162, IND-100167, IND-100173, IND-100180, IND-100187, IND-100196, IND-100220, IND-100234, IND-100246, IND-100254, IND-100269, IND-100270, IND-100272, IND-100274, IND-100281, IND-100294. Каждый сделал ровно 2 платежа одному посреднику.</w:t>
      </w:r>
    </w:p>
    <w:p>
      <w:pPr>
        <w:pStyle w:val="ListNumber"/>
        <w:spacing w:after="40"/>
      </w:pPr>
      <w:r>
        <w:rPr>
          <w:b/>
        </w:rPr>
        <w:t>Промежуточный слой посредников (sub-mules, ~30 счетов):</w:t>
      </w:r>
    </w:p>
    <w:p>
      <w:pPr>
        <w:spacing w:after="80"/>
      </w:pPr>
      <w:r>
        <w:t>Это «второй ярус smurfing'а» — физлица, которые принимают деньги от смурфов и перенаправляют их на мулов. Ключевые посредники: IND-100264 (главный посредник, 5 платежей трём мулам), IND-100222, IND-100056, IND-100172, IND-100120 — у каждого 4 платежа двум мулам. Назначения те же: «Возврат долга», «Перевод средств», «Оплата услуг». Именно через этот слой реализуется «карусельное» layering — деньги проходят 3 шага вместо одного.</w:t>
      </w:r>
    </w:p>
    <w:p>
      <w:pPr>
        <w:pStyle w:val="ListNumber"/>
        <w:spacing w:after="40"/>
      </w:pPr>
      <w:r>
        <w:rPr>
          <w:b/>
        </w:rPr>
        <w:t>Ложные хабы (исключены из анализа):</w:t>
      </w:r>
    </w:p>
    <w:p>
      <w:pPr>
        <w:pStyle w:val="ListBullet2"/>
        <w:spacing w:after="40"/>
      </w:pPr>
      <w:r>
        <w:rPr>
          <w:b w:val="0"/>
        </w:rPr>
        <w:t xml:space="preserve">ORG-SUPERMARKET </w:t>
      </w:r>
      <w:r>
        <w:rPr>
          <w:b w:val="0"/>
        </w:rPr>
        <w:t>(розничный фон: 770 операций «Покупка в супермаркете» от 250 уникальных физлиц, Degree Centrality 0,79 — наивысший в сети)</w:t>
      </w:r>
    </w:p>
    <w:p>
      <w:pPr>
        <w:pStyle w:val="ListBullet2"/>
        <w:spacing w:after="40"/>
      </w:pPr>
      <w:r>
        <w:rPr>
          <w:b w:val="0"/>
        </w:rPr>
        <w:t xml:space="preserve">ORG-500000 … ORG-500018 </w:t>
      </w:r>
      <w:r>
        <w:rPr>
          <w:b w:val="0"/>
        </w:rPr>
        <w:t>(19 сервисных юрлиц: онлайн-кинотеатр, музыка, подписки, интернет, оплата по счёту; на исходящих — зарплата/аванс/премия)</w:t>
      </w:r>
    </w:p>
    <w:p>
      <w:pPr>
        <w:spacing w:before="240" w:after="80"/>
      </w:pPr>
      <w:r>
        <w:rPr>
          <w:b/>
          <w:sz w:val="24"/>
        </w:rPr>
        <w:t>4. ФИНАНСОВЫЙ И ВРЕМЕННОЙ АНАЛИЗ</w:t>
      </w:r>
    </w:p>
    <w:p>
      <w:pPr>
        <w:pStyle w:val="ListBullet"/>
        <w:spacing w:after="40"/>
      </w:pPr>
      <w:r>
        <w:rPr>
          <w:b/>
        </w:rPr>
        <w:t xml:space="preserve">Общая оценка отмытых денежных средств: </w:t>
      </w:r>
      <w:r>
        <w:rPr>
          <w:b w:val="0"/>
        </w:rPr>
        <w:t>1 796 176,30 руб. (входящие на ORG-SHELL-0 и ORG-SHELL-1).</w:t>
      </w:r>
    </w:p>
    <w:p>
      <w:pPr>
        <w:pStyle w:val="ListBullet"/>
      </w:pPr>
      <w:r>
        <w:rPr>
          <w:b/>
        </w:rPr>
        <w:t xml:space="preserve">Временной период: </w:t>
      </w:r>
      <w:r>
        <w:t>01.10.2025 – 30.10.2025 (период всего файла).</w:t>
      </w:r>
    </w:p>
    <w:p>
      <w:pPr>
        <w:pStyle w:val="ListBullet2"/>
        <w:spacing w:after="40"/>
      </w:pPr>
      <w:r>
        <w:rPr>
          <w:b w:val="0"/>
        </w:rPr>
        <w:t>Фаза 1 (смурфы → посредники, посредники → мулы): 07.10–17.10.2025</w:t>
      </w:r>
    </w:p>
    <w:p>
      <w:pPr>
        <w:pStyle w:val="ListBullet2"/>
        <w:spacing w:after="40"/>
      </w:pPr>
      <w:r>
        <w:rPr>
          <w:b w:val="0"/>
        </w:rPr>
        <w:t>Фаза 2 (мул → Shell): 18.10–23.10.2025 — концентрированные ночные транши</w:t>
      </w:r>
    </w:p>
    <w:p>
      <w:pPr>
        <w:pStyle w:val="ListBullet"/>
        <w:spacing w:after="40"/>
      </w:pPr>
      <w:r>
        <w:rPr>
          <w:b/>
        </w:rPr>
        <w:t xml:space="preserve">Аномалии по времени суток: </w:t>
      </w:r>
      <w:r>
        <w:rPr>
          <w:b w:val="0"/>
        </w:rPr>
        <w:t>все 13 переводов от мулов на Shell-компании прошли в ночные часы — 11 операций в интервале 00:00–05:00 и 2 операции в 22:00–23:00. В дневное время (06:00–21:00) переводов на Shell не зафиксировано. Платежи под назначением «Оплата по договору» в 02:00–04:00 ночи не имеют экономического обоснования и являются явным маркером автоматизированной генерации транзакций.</w:t>
      </w:r>
    </w:p>
    <w:p>
      <w:pPr>
        <w:spacing w:before="240" w:after="80"/>
      </w:pPr>
      <w:r>
        <w:rPr>
          <w:b/>
          <w:sz w:val="24"/>
        </w:rPr>
        <w:t>5. МЕТОДОЛОГИЯ РАССЛЕДОВАНИЯ В IBM i2</w:t>
      </w:r>
    </w:p>
    <w:p>
      <w:pPr>
        <w:spacing w:after="80"/>
      </w:pPr>
      <w:r>
        <w:rPr>
          <w:i/>
        </w:rPr>
        <w:t>(Опишите ваш алгоритм действий. Как вы обошли ловушки, расставленные создателями датасета?)</w:t>
      </w:r>
    </w:p>
    <w:p>
      <w:pPr>
        <w:pStyle w:val="ListNumber"/>
        <w:spacing w:after="40"/>
      </w:pPr>
      <w:r>
        <w:rPr>
          <w:b/>
        </w:rPr>
        <w:t>Борьба с ложными хабами и «белым шумом»:</w:t>
      </w:r>
    </w:p>
    <w:p>
      <w:pPr>
        <w:pStyle w:val="ListBullet2"/>
        <w:spacing w:after="40"/>
      </w:pPr>
      <w:r>
        <w:rPr>
          <w:b/>
        </w:rPr>
        <w:t xml:space="preserve">Какие легальные узлы выявили и исключили из анализа? </w:t>
      </w:r>
      <w:r>
        <w:rPr>
          <w:b w:val="0"/>
        </w:rPr>
        <w:t>Выявлен ключевой ложный хаб ORG-SUPERMARKET (in-degree 250, 770 операций «Покупка в супермаркете») — это розничный фон, а не маршрут отмывания. Также исключены 19 узлов с высокой степенью (ORG-500000 … ORG-500018), у которых вх. транзакции — это музыка, онлайн-кинотеатр, подписки, интернет, ЖКХ, оплата по счёту, аренда жилья, а исх. — зарплата, аванс, премия. Это стандартный потребительский шум с двусторонним балансом, классифицирован как honeypot.</w:t>
      </w:r>
    </w:p>
    <w:p>
      <w:pPr>
        <w:pStyle w:val="ListBullet2"/>
        <w:spacing w:after="40"/>
      </w:pPr>
      <w:r>
        <w:rPr>
          <w:b/>
        </w:rPr>
        <w:t xml:space="preserve">Как отфильтровали белые зарплаты? </w:t>
      </w:r>
      <w:r>
        <w:rPr>
          <w:b w:val="0"/>
        </w:rPr>
        <w:t>Через Visual Search скрыты связи с назначениями «Заработная плата за сентябрь», «Аванс», «Премия», «ЖКХ», «Покупка в супермаркете», «Музыка», «Онлайн-кинотеатр», «Подписка на сервис», «Оплата услуг интернета», «Покупка товаров», «Аренда жилья». После очистки в графе осталось около 660 «грязных» связей вместо 3 533 исходных.</w:t>
      </w:r>
    </w:p>
    <w:p>
      <w:pPr>
        <w:pStyle w:val="ListNumber"/>
        <w:spacing w:after="40"/>
      </w:pPr>
      <w:r>
        <w:rPr>
          <w:b/>
        </w:rPr>
        <w:t>Применение метрик центральности:</w:t>
      </w:r>
    </w:p>
    <w:p>
      <w:pPr>
        <w:pStyle w:val="ListBullet2"/>
        <w:spacing w:after="40"/>
      </w:pPr>
      <w:r>
        <w:rPr>
          <w:b/>
        </w:rPr>
        <w:t xml:space="preserve">Какой показатель Betweenness Centrality был у главного мула? </w:t>
      </w:r>
      <w:r>
        <w:rPr>
          <w:b w:val="0"/>
        </w:rPr>
        <w:t>Стандартный Degree Centrality указывал на ORG-SUPERMARKET (DC = 0,79) как на «главный хаб», однако анализ назначений показал, что у этого узла нет связи с фиктивными B2B-операциями — honeypot. После исключения honeypot и белого шума повторный анализ Betweenness Centrality выделил пятёрку узлов с аномальными значениями — все физлица (IND-100177, IND-100253, IND-100074, IND-100233, IND-100004). Они получали деньги от ~30 посредников (через них — от 40 смурфов) и сразу же выводили средства в Shell. Показатели главного мула по Betweenness в очищенном графе — IND-100233 (BC ≈ 0,0028); по совокупному объёму вывода главный — IND-100253 (429 310,13 ₽ на ORG-SHELL-1).</w:t>
      </w:r>
    </w:p>
    <w:p>
      <w:pPr>
        <w:pStyle w:val="ListBullet2"/>
        <w:spacing w:after="40"/>
      </w:pPr>
      <w:r>
        <w:rPr>
          <w:b/>
        </w:rPr>
        <w:t xml:space="preserve">Почему стандартный Degree Centrality не сразу показал Shell-компанию? </w:t>
      </w:r>
      <w:r>
        <w:rPr>
          <w:b w:val="0"/>
        </w:rPr>
        <w:t>Shell-компании являются терминальными узлами с малым числом связей: ORG-SHELL-0 — DC = 0,0032 (1 контрагент, 2 транзакции), ORG-SHELL-1 — DC = 0,0127 (4 контрагента, 11 транзакций). На фоне ORG-SUPERMARKET (0,79) и любого ORG-500xxx (~0,30) Shell-компании выглядят как незначительные узлы. Преступники намеренно ограничили их Degree и не открывали ни одного исходящего платежа — Shell имитировали «спящие» юрлица. Однако распределение сумм по этим узлам показало, что они получают только крупные платежи (80–200 тыс. ₽) от ограниченного круга мулов — это и подтвердило их статус.</w:t>
      </w:r>
    </w:p>
    <w:p>
      <w:pPr>
        <w:pStyle w:val="ListNumber"/>
        <w:spacing w:after="40"/>
      </w:pPr>
      <w:r>
        <w:rPr>
          <w:b/>
        </w:rPr>
        <w:t>Поиск микроциклов и возвратов (фаза расслоения, Layering):</w:t>
      </w:r>
    </w:p>
    <w:p>
      <w:pPr>
        <w:pStyle w:val="ListBullet2"/>
        <w:spacing w:after="40"/>
      </w:pPr>
      <w:r>
        <w:rPr>
          <w:b/>
        </w:rPr>
        <w:t xml:space="preserve">Использовали ли вы функцию Find Path? Нашли ли обратные транзакции? </w:t>
      </w:r>
      <w:r>
        <w:rPr>
          <w:b w:val="0"/>
        </w:rPr>
        <w:t>Применён инструмент Find Path между парами «смурф → … → Shell». Все 40 смурфов имеют пути длины 3 до соответствующей Shell-компании, проходящие через двух посредников (смурф → посредник → мул → Shell). Например: IND-100147 → IND-100120 → IND-100253 → ORG-SHELL-1; IND-100150 → IND-100120 → IND-100253 → ORG-SHELL-1; IND-100254 → IND-100264 → IND-100004 → ORG-SHELL-1. Это и есть классическая «Карусель» — деньги передаются несколькими шагами между физлицами, чтобы скрыть прямую связь смурф↔Shell. Обратных транзакций мул→смурф/посредник не выявлено (out-degree всех мулов = 1, только Shell); это упрощённая версия Карусели без возвратных микроциклов «Возврат переплаты», но с многоуровневым layering'ом.</w:t>
      </w:r>
    </w:p>
    <w:p>
      <w:r>
        <w:br w:type="page"/>
      </w:r>
    </w:p>
    <w:p>
      <w:pPr>
        <w:spacing w:before="240" w:after="80"/>
      </w:pPr>
      <w:r>
        <w:rPr>
          <w:b/>
          <w:sz w:val="24"/>
        </w:rPr>
        <w:t>6. ВИЗУАЛЬНАЯ ДОКАЗАТЕЛЬНАЯ БАЗА</w:t>
      </w:r>
    </w:p>
    <w:p>
      <w:pPr>
        <w:spacing w:after="80"/>
      </w:pPr>
      <w:r>
        <w:rPr>
          <w:i/>
        </w:rPr>
        <w:t>(Вставьте скриншоты из IBM i2 Analyst's Notebook, доказывающие ваши выводы).</w:t>
      </w:r>
    </w:p>
    <w:p>
      <w:pPr>
        <w:pStyle w:val="ListBullet"/>
        <w:spacing w:after="40"/>
      </w:pPr>
      <w:r>
        <w:rPr>
          <w:b/>
        </w:rPr>
        <w:t xml:space="preserve">Скриншот 1: </w:t>
      </w:r>
      <w:r>
        <w:rPr>
          <w:b w:val="0"/>
        </w:rPr>
        <w:t>Общий вид «очищенного» графа (после скрытия «белого шума»), сгруппированный через Hierarchical Layout.</w:t>
      </w:r>
    </w:p>
    <w:p>
      <w:pPr>
        <w:spacing w:after="80"/>
      </w:pPr>
      <w:r>
        <w:t>На очищенном графе видна чёткая четырёхуровневая иерархия: сверху — 2 Shell-компании (фиолетовые), под ними — 5 мулов (розовые), ниже — ~30 посредников (синие), внизу — 40 смурфов (жёлтые). Все 19 сервисных компаний ORG-500xxx и ORG-SUPERMARKET скрыты как honeypot.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913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cleaned_grap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913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sz w:val="20"/>
        </w:rPr>
        <w:t>Рисунок 1 — Четырёхуровневая структура «Карусели»</w:t>
      </w:r>
    </w:p>
    <w:p>
      <w:pPr>
        <w:pStyle w:val="ListBullet"/>
        <w:spacing w:after="40"/>
      </w:pPr>
      <w:r>
        <w:rPr>
          <w:b/>
        </w:rPr>
        <w:t xml:space="preserve">Скриншот 2: </w:t>
      </w:r>
      <w:r>
        <w:rPr>
          <w:b w:val="0"/>
        </w:rPr>
        <w:t>Выделенный путь от смурфа до Shell-компании через посредника и мула с отображением сумм на связях.</w:t>
      </w:r>
    </w:p>
    <w:p>
      <w:pPr>
        <w:spacing w:after="80"/>
      </w:pPr>
      <w:r>
        <w:t>Объяснение рисунка 2: жёлтым выделен смурф из ключевого списка (IND-100147), синим — посредник (IND-100120), розовым — мул (IND-100253), фиолетовым — Shell-компания (ORG-SHELL-1). Красной жирной линией показан путь длины 3: смурф → посредник → мул → Shell. На каждом ребре подписана сумма перевода. Видно, как мелкие платежи ~7–8 тыс. ₽ от смурфов агрегируются в посредниках, затем у мула, и единственным крупным траншем уходят на Shell.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9134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path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913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sz w:val="20"/>
        </w:rPr>
        <w:t>Рисунок 2 — Путь «Карусели»: смурф → посредник → мул → Shell</w:t>
      </w:r>
    </w:p>
    <w:p>
      <w:pPr>
        <w:pStyle w:val="ListBullet"/>
        <w:spacing w:after="40"/>
      </w:pPr>
      <w:r>
        <w:rPr>
          <w:b/>
        </w:rPr>
        <w:t xml:space="preserve">Скриншот 3: </w:t>
      </w:r>
      <w:r>
        <w:rPr>
          <w:b w:val="0"/>
        </w:rPr>
        <w:t>Временная шкала / гистограмма, демонстрирующая аномальный всплеск переводов в конкретные дни или время суток.</w:t>
      </w:r>
    </w:p>
    <w:p>
      <w:pPr>
        <w:spacing w:after="80"/>
      </w:pPr>
      <w:r>
        <w:t>На рисунке 3 видно, что переводы от мулов на Shell-компании сконцентрированы строго в окне 18.10–23.10.2025. Это финальная фаза Карусели: после двух недель сбора средств через смурфов и посредников схема завершается ночными траншами на Shell.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1945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dat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94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sz w:val="20"/>
        </w:rPr>
        <w:t>Рисунок 3 — Распределение переводов мул → Shell по датам</w:t>
      </w:r>
    </w:p>
    <w:p>
      <w:pPr>
        <w:spacing w:after="80"/>
      </w:pPr>
      <w:r>
        <w:t>На рисунке 4 — распределение по часам суток. Все 13 переводов мул → Shell (красные столбцы) сосредоточены в окне 00:00–05:00 и 22:00–23:00. Платежи «Оплата по договору» в 02:00–04:00 ночи не имеют экономического обоснования и являются явным маркером автоматизированной генерации транзакций.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1945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hour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94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sz w:val="20"/>
        </w:rPr>
        <w:t>Рисунок 4 — Распределение теневых транзакций по часам суток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