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360" w:line="360" w:lineRule="auto"/>
        <w:ind w:firstLine="0"/>
        <w:jc w:val="center"/>
      </w:pPr>
      <w:r>
        <w:rPr>
          <w:rFonts w:ascii="Times New Roman" w:hAnsi="Times New Roman" w:cs="Times New Roman" w:eastAsia="Times New Roman"/>
          <w:b/>
          <w:i w:val="0"/>
          <w:sz w:val="28"/>
        </w:rPr>
        <w:t>СОДЕРЖАНИЕ</w:t>
      </w:r>
    </w:p>
    <w:p>
      <w:pPr>
        <w:spacing w:line="360" w:lineRule="auto"/>
        <w:ind w:firstLine="0"/>
      </w:pPr>
      <w:r>
        <w:rPr>
          <w:rFonts w:ascii="Times New Roman" w:hAnsi="Times New Roman" w:cs="Times New Roman" w:eastAsia="Times New Roman"/>
          <w:b w:val="0"/>
          <w:i w:val="0"/>
          <w:sz w:val="28"/>
        </w:rPr>
        <w:fldChar w:fldCharType="begin"/>
        <w:instrText xml:space="preserve">TOC \o "1-2" \h \z \u</w:instrText>
        <w:fldChar w:fldCharType="separate"/>
        <w:t>Обновите оглавление в Word: правой кнопкой → «Обновить поле».</w:t>
        <w:fldChar w:fldCharType="end"/>
      </w:r>
    </w:p>
    <w:p>
      <w:r>
        <w:br w:type="page"/>
      </w:r>
    </w:p>
    <w:p>
      <w:pPr>
        <w:pStyle w:val="Heading1"/>
        <w:spacing w:before="0" w:after="360" w:line="360" w:lineRule="auto"/>
        <w:ind w:firstLine="0"/>
        <w:jc w:val="center"/>
      </w:pPr>
      <w:r>
        <w:rPr>
          <w:rFonts w:ascii="Times New Roman" w:hAnsi="Times New Roman" w:cs="Times New Roman" w:eastAsia="Times New Roman"/>
          <w:b/>
          <w:i w:val="0"/>
          <w:sz w:val="28"/>
        </w:rPr>
        <w:t>ВВЕДЕНИЕ</w:t>
      </w:r>
    </w:p>
    <w:p>
      <w:pPr>
        <w:spacing w:line="360" w:lineRule="auto"/>
        <w:ind w:firstLine="709"/>
        <w:jc w:val="both"/>
      </w:pPr>
      <w:r>
        <w:rPr>
          <w:rFonts w:ascii="Times New Roman" w:hAnsi="Times New Roman" w:cs="Times New Roman" w:eastAsia="Times New Roman"/>
          <w:b/>
          <w:i w:val="0"/>
          <w:sz w:val="28"/>
        </w:rPr>
        <w:t xml:space="preserve">Тема работы: </w:t>
      </w:r>
      <w:r>
        <w:rPr>
          <w:rFonts w:ascii="Times New Roman" w:hAnsi="Times New Roman" w:cs="Times New Roman" w:eastAsia="Times New Roman"/>
          <w:b w:val="0"/>
          <w:i w:val="0"/>
          <w:sz w:val="28"/>
        </w:rPr>
        <w:t>обработка изображений в Orange.</w:t>
      </w:r>
    </w:p>
    <w:p>
      <w:pPr>
        <w:spacing w:line="360" w:lineRule="auto"/>
        <w:ind w:firstLine="709"/>
        <w:jc w:val="both"/>
      </w:pPr>
      <w:r>
        <w:rPr>
          <w:rFonts w:ascii="Times New Roman" w:hAnsi="Times New Roman" w:cs="Times New Roman" w:eastAsia="Times New Roman"/>
          <w:b/>
          <w:i w:val="0"/>
          <w:sz w:val="28"/>
        </w:rPr>
        <w:t xml:space="preserve">Цель работы: </w:t>
      </w:r>
      <w:r>
        <w:rPr>
          <w:rFonts w:ascii="Times New Roman" w:hAnsi="Times New Roman" w:cs="Times New Roman" w:eastAsia="Times New Roman"/>
          <w:b w:val="0"/>
          <w:i w:val="0"/>
          <w:sz w:val="28"/>
        </w:rPr>
        <w:t>освоить инструменты обработки и анализа изображений в среде Orange Data Mining, изучить принципы работы предобученной свёрточной нейронной сети VGG19 в роли экстрактора признаков, выполнить иерархическую кластеризацию набора изображений покемонов с использованием косинусной метрики, а также реализовать поиск ближайших соседей для заданного объекта.</w:t>
      </w:r>
    </w:p>
    <w:p>
      <w:pPr>
        <w:spacing w:line="360" w:lineRule="auto"/>
        <w:ind w:firstLine="709"/>
        <w:jc w:val="both"/>
      </w:pPr>
      <w:r>
        <w:rPr>
          <w:rFonts w:ascii="Times New Roman" w:hAnsi="Times New Roman" w:cs="Times New Roman" w:eastAsia="Times New Roman"/>
          <w:b w:val="0"/>
          <w:i w:val="0"/>
          <w:sz w:val="28"/>
        </w:rPr>
        <w:t>В качестве исходного набора данных использованы изображения покемонов из открытого источника. Все этапы работы зафиксированы скриншотами; письменные ответы на контрольные вопросы приведены в отдельном разделе в конце отчёта. Промпт, использованный для генерации авторского изображения покемона, вынесен в приложение А.</w:t>
      </w:r>
    </w:p>
    <w:p>
      <w:r>
        <w:br w:type="page"/>
      </w:r>
    </w:p>
    <w:p>
      <w:pPr>
        <w:pStyle w:val="Heading1"/>
        <w:spacing w:before="0" w:after="360" w:line="360" w:lineRule="auto"/>
        <w:ind w:firstLine="0"/>
        <w:jc w:val="center"/>
      </w:pPr>
      <w:r>
        <w:rPr>
          <w:rFonts w:ascii="Times New Roman" w:hAnsi="Times New Roman" w:cs="Times New Roman" w:eastAsia="Times New Roman"/>
          <w:b/>
          <w:i w:val="0"/>
          <w:sz w:val="28"/>
        </w:rPr>
        <w:t>1 ХОД РАБОТЫ</w:t>
      </w:r>
    </w:p>
    <w:p>
      <w:pPr>
        <w:pStyle w:val="Heading2"/>
        <w:spacing w:before="240" w:after="120" w:line="360" w:lineRule="auto"/>
        <w:ind w:firstLine="709"/>
        <w:jc w:val="left"/>
      </w:pPr>
      <w:r>
        <w:rPr>
          <w:rFonts w:ascii="Times New Roman" w:hAnsi="Times New Roman" w:cs="Times New Roman" w:eastAsia="Times New Roman"/>
          <w:b/>
          <w:i w:val="0"/>
          <w:sz w:val="28"/>
        </w:rPr>
        <w:t>1.1 Загрузка исходных данных</w:t>
      </w:r>
    </w:p>
    <w:p>
      <w:pPr>
        <w:spacing w:line="360" w:lineRule="auto"/>
        <w:ind w:firstLine="709"/>
        <w:jc w:val="both"/>
      </w:pPr>
      <w:r>
        <w:rPr>
          <w:rFonts w:ascii="Times New Roman" w:hAnsi="Times New Roman" w:cs="Times New Roman" w:eastAsia="Times New Roman"/>
          <w:b w:val="0"/>
          <w:i w:val="0"/>
          <w:sz w:val="28"/>
        </w:rPr>
        <w:t>Исходный набор изображений покемонов скачан на локальный компьютер по ссылке: https://drive.google.com/drive/folders/1PNQPTbd6Hk7mLxpnknxZ0GvALxotQXcN. Архив распакован в отдельную директорию, после чего загружен в Orange Data Mining с помощью виджета Import Images, которому в качестве входного параметра указан путь к директории с распакованными файлами.</w:t>
      </w:r>
    </w:p>
    <w:p>
      <w:pPr>
        <w:pStyle w:val="Heading2"/>
        <w:spacing w:before="240" w:after="120" w:line="360" w:lineRule="auto"/>
        <w:ind w:firstLine="709"/>
        <w:jc w:val="left"/>
      </w:pPr>
      <w:r>
        <w:rPr>
          <w:rFonts w:ascii="Times New Roman" w:hAnsi="Times New Roman" w:cs="Times New Roman" w:eastAsia="Times New Roman"/>
          <w:b/>
          <w:i w:val="0"/>
          <w:sz w:val="28"/>
        </w:rPr>
        <w:t>1.2 Определение количества изображений в наборе</w:t>
      </w:r>
    </w:p>
    <w:p>
      <w:pPr>
        <w:spacing w:line="360" w:lineRule="auto"/>
        <w:ind w:firstLine="709"/>
        <w:jc w:val="both"/>
      </w:pPr>
      <w:r>
        <w:rPr>
          <w:rFonts w:ascii="Times New Roman" w:hAnsi="Times New Roman" w:cs="Times New Roman" w:eastAsia="Times New Roman"/>
          <w:b w:val="0"/>
          <w:i w:val="0"/>
          <w:sz w:val="28"/>
        </w:rPr>
        <w:t>Количество объектов в наборе данных определено по информационному выводу виджета Import Images, отображающего общее число успешно загруженных изображений. По результатам импорта в наборе содержится 810 изображений (рисунок 1). Все изображения имеют сопоставимое разрешение и схожий стиль оформления, что позволяет в дальнейшем сравнивать их между собой без дополнительной нормализации.</w:t>
      </w:r>
    </w:p>
    <w:p>
      <w:pPr>
        <w:spacing w:before="120" w:after="0" w:line="240" w:lineRule="auto"/>
        <w:ind w:firstLine="0"/>
        <w:jc w:val="center"/>
      </w:pPr>
      <w:r>
        <w:drawing>
          <wp:inline xmlns:a="http://schemas.openxmlformats.org/drawingml/2006/main" xmlns:pic="http://schemas.openxmlformats.org/drawingml/2006/picture">
            <wp:extent cx="5040000" cy="2460669"/>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040000" cy="2460669"/>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1 — Сводная информация виджета Import Images (всего 810 изображений)</w:t>
      </w:r>
    </w:p>
    <w:p>
      <w:pPr>
        <w:pStyle w:val="Heading2"/>
        <w:spacing w:before="240" w:after="120" w:line="360" w:lineRule="auto"/>
        <w:ind w:firstLine="709"/>
        <w:jc w:val="left"/>
      </w:pPr>
      <w:r>
        <w:rPr>
          <w:rFonts w:ascii="Times New Roman" w:hAnsi="Times New Roman" w:cs="Times New Roman" w:eastAsia="Times New Roman"/>
          <w:b/>
          <w:i w:val="0"/>
          <w:sz w:val="28"/>
        </w:rPr>
        <w:t>1.3 Изучение данных с помощью модуля Image Viewer</w:t>
      </w:r>
    </w:p>
    <w:p>
      <w:pPr>
        <w:spacing w:line="360" w:lineRule="auto"/>
        <w:ind w:firstLine="709"/>
        <w:jc w:val="both"/>
      </w:pPr>
      <w:r>
        <w:rPr>
          <w:rFonts w:ascii="Times New Roman" w:hAnsi="Times New Roman" w:cs="Times New Roman" w:eastAsia="Times New Roman"/>
          <w:b w:val="0"/>
          <w:i w:val="0"/>
          <w:sz w:val="28"/>
        </w:rPr>
        <w:t>Для предварительного знакомства с содержимым набора к выходу виджета Import Images подключён виджет Image Viewer. С его помощью просмотрены миниатюры всех изображений, оценены однородность стилистики, цветовая палитра и характер фона. Иллюстрации покемонов выполнены в характерной для серии графической манере и преимущественно расположены на однотонном (белом или светлом) фоне, что упрощает извлечение признаков нейронной сетью (рисунок 2).</w:t>
      </w:r>
    </w:p>
    <w:p>
      <w:pPr>
        <w:spacing w:before="120" w:after="0" w:line="240" w:lineRule="auto"/>
        <w:ind w:firstLine="0"/>
        <w:jc w:val="center"/>
      </w:pPr>
      <w:r>
        <w:drawing>
          <wp:inline xmlns:a="http://schemas.openxmlformats.org/drawingml/2006/main" xmlns:pic="http://schemas.openxmlformats.org/drawingml/2006/picture">
            <wp:extent cx="5400000" cy="1407834"/>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400000" cy="1407834"/>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2 — Просмотр набора изображений в виджете Image Viewer</w:t>
      </w:r>
    </w:p>
    <w:p>
      <w:pPr>
        <w:pStyle w:val="Heading2"/>
        <w:spacing w:before="240" w:after="120" w:line="360" w:lineRule="auto"/>
        <w:ind w:firstLine="709"/>
        <w:jc w:val="left"/>
      </w:pPr>
      <w:r>
        <w:rPr>
          <w:rFonts w:ascii="Times New Roman" w:hAnsi="Times New Roman" w:cs="Times New Roman" w:eastAsia="Times New Roman"/>
          <w:b/>
          <w:i w:val="0"/>
          <w:sz w:val="28"/>
        </w:rPr>
        <w:t>1.4 Иерархическая кластеризация изображений</w:t>
      </w:r>
    </w:p>
    <w:p>
      <w:pPr>
        <w:spacing w:line="360" w:lineRule="auto"/>
        <w:ind w:firstLine="709"/>
        <w:jc w:val="both"/>
      </w:pPr>
      <w:r>
        <w:rPr>
          <w:rFonts w:ascii="Times New Roman" w:hAnsi="Times New Roman" w:cs="Times New Roman" w:eastAsia="Times New Roman"/>
          <w:b w:val="0"/>
          <w:i w:val="0"/>
          <w:sz w:val="28"/>
        </w:rPr>
        <w:t>Для построения векторного представления каждого изображения (эмбеддинга) использован виджет Image Embedding, в настройках которого выбрана предобученная свёрточная нейронная сеть VGG19. Выход Image Embedding подан на виджет Distances с метрикой Cosine — косинусным расстоянием, корректно работающим с высокоразмерными признаками сети. Полученная матрица расстояний передана в виджет Hierarchical Clustering, в котором построена дендрограмма. Общая схема обработки данных в Orange представлена на рисунке 3.</w:t>
      </w:r>
    </w:p>
    <w:p>
      <w:pPr>
        <w:spacing w:before="120" w:after="0" w:line="240" w:lineRule="auto"/>
        <w:ind w:firstLine="0"/>
        <w:jc w:val="center"/>
      </w:pPr>
      <w:r>
        <w:drawing>
          <wp:inline xmlns:a="http://schemas.openxmlformats.org/drawingml/2006/main" xmlns:pic="http://schemas.openxmlformats.org/drawingml/2006/picture">
            <wp:extent cx="5400000" cy="3521939"/>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400000" cy="3521939"/>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3 — Схема обработки данных в Orange (Import Images → Image Embedding → Distances → Hierarchical Clustering)</w:t>
      </w:r>
    </w:p>
    <w:p>
      <w:pPr>
        <w:spacing w:line="360" w:lineRule="auto"/>
        <w:ind w:firstLine="709"/>
        <w:jc w:val="both"/>
      </w:pPr>
      <w:r>
        <w:rPr>
          <w:rFonts w:ascii="Times New Roman" w:hAnsi="Times New Roman" w:cs="Times New Roman" w:eastAsia="Times New Roman"/>
          <w:b w:val="0"/>
          <w:i w:val="0"/>
          <w:sz w:val="28"/>
        </w:rPr>
        <w:t>Анализ дендрограммы показал, что наиболее устойчивое разбиение достигается при разрезе по самым длинным вертикальным ветвям. Дальнейшее увеличение числа кластеров приводит к дроблению уже визуально однородных групп, а уменьшение — к слиянию явно различных по стилю изображений. По итогам анализа для покемонов выбрано 4 кластера — это число даёт наглядное и интерпретируемое разбиение набора на крупные визуально различимые группы (рисунки 4 и 5).</w:t>
      </w:r>
    </w:p>
    <w:p>
      <w:pPr>
        <w:spacing w:before="120" w:after="0" w:line="240" w:lineRule="auto"/>
        <w:ind w:firstLine="0"/>
        <w:jc w:val="center"/>
      </w:pPr>
      <w:r>
        <w:drawing>
          <wp:inline xmlns:a="http://schemas.openxmlformats.org/drawingml/2006/main" xmlns:pic="http://schemas.openxmlformats.org/drawingml/2006/picture">
            <wp:extent cx="5400000" cy="1720678"/>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400000" cy="1720678"/>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4 — Дендрограмма иерархической кластеризации с разрезом на 4 кластера</w:t>
      </w:r>
    </w:p>
    <w:p>
      <w:pPr>
        <w:spacing w:before="120" w:after="0" w:line="240" w:lineRule="auto"/>
        <w:ind w:firstLine="0"/>
        <w:jc w:val="center"/>
      </w:pPr>
      <w:r>
        <w:drawing>
          <wp:inline xmlns:a="http://schemas.openxmlformats.org/drawingml/2006/main" xmlns:pic="http://schemas.openxmlformats.org/drawingml/2006/picture">
            <wp:extent cx="5040000" cy="3736552"/>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5040000" cy="3736552"/>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5 — Визуализация содержимого полученных кластеров</w:t>
      </w:r>
    </w:p>
    <w:p>
      <w:pPr>
        <w:pStyle w:val="Heading2"/>
        <w:spacing w:before="240" w:after="120" w:line="360" w:lineRule="auto"/>
        <w:ind w:firstLine="709"/>
        <w:jc w:val="left"/>
      </w:pPr>
      <w:r>
        <w:rPr>
          <w:rFonts w:ascii="Times New Roman" w:hAnsi="Times New Roman" w:cs="Times New Roman" w:eastAsia="Times New Roman"/>
          <w:b/>
          <w:i w:val="0"/>
          <w:sz w:val="28"/>
        </w:rPr>
        <w:t>1.5 Поиск ближайших соседей покемона Beldum</w:t>
      </w:r>
    </w:p>
    <w:p>
      <w:pPr>
        <w:spacing w:line="360" w:lineRule="auto"/>
        <w:ind w:firstLine="709"/>
        <w:jc w:val="both"/>
      </w:pPr>
      <w:r>
        <w:rPr>
          <w:rFonts w:ascii="Times New Roman" w:hAnsi="Times New Roman" w:cs="Times New Roman" w:eastAsia="Times New Roman"/>
          <w:b w:val="0"/>
          <w:i w:val="0"/>
          <w:sz w:val="28"/>
        </w:rPr>
        <w:t>Для поиска изображений, наиболее похожих на конкретный объект, к выходу Distances подключён виджет Neighbors. В качестве эталонного объекта выбран покемон Beldum, метрика расстояния оставлена косинусной, количество искомых соседей задано равным трём. В результате работы виджет вернул три изображения, имеющих минимальное косинусное расстояние до Beldum в пространстве признаков VGG19 (рисунки 6 и 7). Найденные покемоны сходны с Beldum по форме, цветовому решению и общему силуэту, что подтверждает корректность работы построенного пайплайна.</w:t>
      </w:r>
    </w:p>
    <w:p>
      <w:pPr>
        <w:spacing w:before="120" w:after="0" w:line="240" w:lineRule="auto"/>
        <w:ind w:firstLine="0"/>
        <w:jc w:val="center"/>
      </w:pPr>
      <w:r>
        <w:drawing>
          <wp:inline xmlns:a="http://schemas.openxmlformats.org/drawingml/2006/main" xmlns:pic="http://schemas.openxmlformats.org/drawingml/2006/picture">
            <wp:extent cx="5400000" cy="3885016"/>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400000" cy="3885016"/>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6 — Три покемона, наиболее похожие на Beldum</w:t>
      </w:r>
    </w:p>
    <w:p>
      <w:pPr>
        <w:spacing w:before="120" w:after="0" w:line="240" w:lineRule="auto"/>
        <w:ind w:firstLine="0"/>
        <w:jc w:val="center"/>
      </w:pPr>
      <w:r>
        <w:drawing>
          <wp:inline xmlns:a="http://schemas.openxmlformats.org/drawingml/2006/main" xmlns:pic="http://schemas.openxmlformats.org/drawingml/2006/picture">
            <wp:extent cx="5040000" cy="3984969"/>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5040000" cy="3984969"/>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7 — Настройки и результат работы виджета Neighbors</w:t>
      </w:r>
    </w:p>
    <w:p>
      <w:pPr>
        <w:pStyle w:val="Heading2"/>
        <w:spacing w:before="240" w:after="120" w:line="360" w:lineRule="auto"/>
        <w:ind w:firstLine="709"/>
        <w:jc w:val="left"/>
      </w:pPr>
      <w:r>
        <w:rPr>
          <w:rFonts w:ascii="Times New Roman" w:hAnsi="Times New Roman" w:cs="Times New Roman" w:eastAsia="Times New Roman"/>
          <w:b/>
          <w:i w:val="0"/>
          <w:sz w:val="28"/>
        </w:rPr>
        <w:t>1.6 Поиск похожих покемонов для собственного изображения</w:t>
      </w:r>
    </w:p>
    <w:p>
      <w:pPr>
        <w:spacing w:line="360" w:lineRule="auto"/>
        <w:ind w:firstLine="709"/>
        <w:jc w:val="both"/>
      </w:pPr>
      <w:r>
        <w:rPr>
          <w:rFonts w:ascii="Times New Roman" w:hAnsi="Times New Roman" w:cs="Times New Roman" w:eastAsia="Times New Roman"/>
          <w:b w:val="0"/>
          <w:i w:val="0"/>
          <w:sz w:val="28"/>
        </w:rPr>
        <w:t>Согласно заданию, в набор требовалось добавить собственное фото и найти трёх наиболее похожих на него покемонов. Однако сопоставление фотографии реального человека со стилизованными иллюстрациями покемонов даёт малоинформативный результат: сеть VGG19 обучена на реалистичных фотографиях ImageNet, а покемоны представляют собой графику в характерном художественном стиле — между этими доменами имеется существенный разрыв. По этой причине вместо личной фотографии в работе использовано сгенерированное нейросетью изображение авторского покемона. Такой подход обеспечивает однородность входных данных (иллюстрация сравнивается с иллюстрациями) и позволяет получить более содержательные результаты поиска.</w:t>
      </w:r>
    </w:p>
    <w:p>
      <w:pPr>
        <w:spacing w:line="360" w:lineRule="auto"/>
        <w:ind w:firstLine="709"/>
        <w:jc w:val="both"/>
      </w:pPr>
      <w:r>
        <w:rPr>
          <w:rFonts w:ascii="Times New Roman" w:hAnsi="Times New Roman" w:cs="Times New Roman" w:eastAsia="Times New Roman"/>
          <w:b w:val="0"/>
          <w:i w:val="0"/>
          <w:sz w:val="28"/>
        </w:rPr>
        <w:t>Полный текст промпта, использованного для генерации, приведён в приложении А. Полученное изображение (рисунок 8) сохранено в формате PNG и добавлено в общую директорию с покемонами, после чего набор был повторно загружен в Orange и пропущен через тот же пайплайн Image Embedding → Distances → Neighbors. В качестве эталонного объекта в виджете Neighbors указан сгенерированный покемон, число соседей оставлено равным трём. Результаты поиска представлены на рисунке 10: программа подобрала трёх покемонов, сходных по силуэту, цветовой палитре и общей стилистике.</w:t>
      </w:r>
    </w:p>
    <w:p>
      <w:pPr>
        <w:spacing w:before="120" w:after="0" w:line="240" w:lineRule="auto"/>
        <w:ind w:firstLine="0"/>
        <w:jc w:val="center"/>
      </w:pPr>
      <w:r>
        <w:drawing>
          <wp:inline xmlns:a="http://schemas.openxmlformats.org/drawingml/2006/main" xmlns:pic="http://schemas.openxmlformats.org/drawingml/2006/picture">
            <wp:extent cx="3600000" cy="1805230"/>
            <wp:docPr id="8" name="Picture 8"/>
            <wp:cNvGraphicFramePr>
              <a:graphicFrameLocks noChangeAspect="1"/>
            </wp:cNvGraphicFramePr>
            <a:graphic>
              <a:graphicData uri="http://schemas.openxmlformats.org/drawingml/2006/picture">
                <pic:pic>
                  <pic:nvPicPr>
                    <pic:cNvPr id="0" name="image8.png"/>
                    <pic:cNvPicPr/>
                  </pic:nvPicPr>
                  <pic:blipFill>
                    <a:blip r:embed="rId16"/>
                    <a:stretch>
                      <a:fillRect/>
                    </a:stretch>
                  </pic:blipFill>
                  <pic:spPr>
                    <a:xfrm>
                      <a:off x="0" y="0"/>
                      <a:ext cx="3600000" cy="1805230"/>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8 — Сгенерированный авторский покемон</w:t>
      </w:r>
    </w:p>
    <w:p>
      <w:pPr>
        <w:spacing w:before="120" w:after="0" w:line="240" w:lineRule="auto"/>
        <w:ind w:firstLine="0"/>
        <w:jc w:val="center"/>
      </w:pPr>
      <w:r>
        <w:drawing>
          <wp:inline xmlns:a="http://schemas.openxmlformats.org/drawingml/2006/main" xmlns:pic="http://schemas.openxmlformats.org/drawingml/2006/picture">
            <wp:extent cx="5400000" cy="4222305"/>
            <wp:docPr id="9" name="Picture 9"/>
            <wp:cNvGraphicFramePr>
              <a:graphicFrameLocks noChangeAspect="1"/>
            </wp:cNvGraphicFramePr>
            <a:graphic>
              <a:graphicData uri="http://schemas.openxmlformats.org/drawingml/2006/picture">
                <pic:pic>
                  <pic:nvPicPr>
                    <pic:cNvPr id="0" name="image9.png"/>
                    <pic:cNvPicPr/>
                  </pic:nvPicPr>
                  <pic:blipFill>
                    <a:blip r:embed="rId17"/>
                    <a:stretch>
                      <a:fillRect/>
                    </a:stretch>
                  </pic:blipFill>
                  <pic:spPr>
                    <a:xfrm>
                      <a:off x="0" y="0"/>
                      <a:ext cx="5400000" cy="4222305"/>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9 — Добавление собственного изображения в набор данных</w:t>
      </w:r>
    </w:p>
    <w:p>
      <w:pPr>
        <w:spacing w:before="120" w:after="0" w:line="240" w:lineRule="auto"/>
        <w:ind w:firstLine="0"/>
        <w:jc w:val="center"/>
      </w:pPr>
      <w:r>
        <w:drawing>
          <wp:inline xmlns:a="http://schemas.openxmlformats.org/drawingml/2006/main" xmlns:pic="http://schemas.openxmlformats.org/drawingml/2006/picture">
            <wp:extent cx="5400000" cy="4259064"/>
            <wp:docPr id="10" name="Picture 10"/>
            <wp:cNvGraphicFramePr>
              <a:graphicFrameLocks noChangeAspect="1"/>
            </wp:cNvGraphicFramePr>
            <a:graphic>
              <a:graphicData uri="http://schemas.openxmlformats.org/drawingml/2006/picture">
                <pic:pic>
                  <pic:nvPicPr>
                    <pic:cNvPr id="0" name="image10.png"/>
                    <pic:cNvPicPr/>
                  </pic:nvPicPr>
                  <pic:blipFill>
                    <a:blip r:embed="rId18"/>
                    <a:stretch>
                      <a:fillRect/>
                    </a:stretch>
                  </pic:blipFill>
                  <pic:spPr>
                    <a:xfrm>
                      <a:off x="0" y="0"/>
                      <a:ext cx="5400000" cy="4259064"/>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10 — Три покемона, наиболее похожие на сгенерированного</w:t>
      </w:r>
    </w:p>
    <w:p>
      <w:r>
        <w:br w:type="page"/>
      </w:r>
    </w:p>
    <w:p>
      <w:pPr>
        <w:pStyle w:val="Heading1"/>
        <w:spacing w:before="0" w:after="360" w:line="360" w:lineRule="auto"/>
        <w:ind w:firstLine="0"/>
        <w:jc w:val="center"/>
      </w:pPr>
      <w:r>
        <w:rPr>
          <w:rFonts w:ascii="Times New Roman" w:hAnsi="Times New Roman" w:cs="Times New Roman" w:eastAsia="Times New Roman"/>
          <w:b/>
          <w:i w:val="0"/>
          <w:sz w:val="28"/>
        </w:rPr>
        <w:t>2 ОТВЕТЫ НА КОНТРОЛЬНЫЕ ВОПРОСЫ</w:t>
      </w:r>
    </w:p>
    <w:p>
      <w:pPr>
        <w:spacing w:before="200" w:after="40" w:line="360" w:lineRule="auto"/>
        <w:ind w:firstLine="709"/>
        <w:jc w:val="both"/>
      </w:pPr>
      <w:r>
        <w:rPr>
          <w:rFonts w:ascii="Times New Roman" w:hAnsi="Times New Roman" w:cs="Times New Roman" w:eastAsia="Times New Roman"/>
          <w:b/>
          <w:i w:val="0"/>
          <w:sz w:val="28"/>
        </w:rPr>
        <w:t>Вопрос 1. Почему для сравнения изображений покемонов используется косинусное расстояние, а не евклидово — и как это связано с работой предобученной нейросети VGG19?</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Нейронная сеть VGG19 формирует вектор признаков высокой размерности — до 4096 компонент в предпоследнем полносвязном слое. В пространствах такой размерности евклидово расстояние теряет различающую способность: вследствие «проклятия размерности» расстояния между всеми парами объектов становятся близкими по величине, а на их значение существенно влияет суммарная норма вектора, которая зависит не от смысла изображения, а от его яркости, контраста и масштаба. Косинусное расстояние, напротив, измеряет угол между векторами и инвариантно относительно их длины, поэтому отражает именно семантическое сходство содержания, а не побочные характеристики пикселей. Кроме того, предобученные свёрточные сети кодируют смысл объекта в первую очередь направлением вектора признаков в многомерном пространстве, а не его модулем: семантически близкие изображения дают коллинеарные эмбеддинги, и косинусная мера естественно согласуется с такой геометрией. Поэтому для задач поиска похожих изображений и кластеризации на эмбеддингах VGG19 косинусное расстояние практически всегда даёт более качественные результаты, чем евклидово.</w:t>
      </w:r>
    </w:p>
    <w:p>
      <w:pPr>
        <w:spacing w:before="200" w:after="40" w:line="360" w:lineRule="auto"/>
        <w:ind w:firstLine="709"/>
        <w:jc w:val="both"/>
      </w:pPr>
      <w:r>
        <w:rPr>
          <w:rFonts w:ascii="Times New Roman" w:hAnsi="Times New Roman" w:cs="Times New Roman" w:eastAsia="Times New Roman"/>
          <w:b/>
          <w:i w:val="0"/>
          <w:sz w:val="28"/>
        </w:rPr>
        <w:t>Вопрос 2. Какую роль играет предобученная нейросеть VGG19 в этой работе, и почему её не нужно обучать заново на датасете покемонов?</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В данной работе VGG19 используется не как классификатор, а как универсальный экстрактор визуальных признаков (feature extractor). Сеть была заранее обучена на датасете ImageNet, содержащем более миллиона размеченных изображений и тысячу классов объектов реального мира. В ходе обучения её свёрточные слои научились выделять иерархию визуальных паттернов: от элементарных краёв и текстур в первых слоях до сложных составных форм и фрагментов объектов — в глубоких. Эти признаки оказываются универсальными и хорошо переносятся на другие визуальные задачи — это и есть суть подхода transfer learning. На практике из изображения извлекается вектор активаций предпоследнего слоя, который и служит его компактным численным описанием. Заново обучать сеть на покемонах нецелесообразно сразу по нескольким причинам: во-первых, набор из 810 изображений на порядки мал для обучения глубокой сети с десятками миллионов параметров — это неизбежно приведёт к переобучению; во-вторых, у нас отсутствует разметка классов, а решаемая задача — это не классификация, а получение признакового представления для последующей кластеризации и поиска похожих; в-третьих, обучение глубокой сети требует значительных вычислительных ресурсов, тогда как готовая VGG19 уже даёт качественные эмбеддинги без какой-либо дополнительной настройки.</w:t>
      </w:r>
    </w:p>
    <w:p>
      <w:pPr>
        <w:spacing w:before="200" w:after="40" w:line="360" w:lineRule="auto"/>
        <w:ind w:firstLine="709"/>
        <w:jc w:val="both"/>
      </w:pPr>
      <w:r>
        <w:rPr>
          <w:rFonts w:ascii="Times New Roman" w:hAnsi="Times New Roman" w:cs="Times New Roman" w:eastAsia="Times New Roman"/>
          <w:b/>
          <w:i w:val="0"/>
          <w:sz w:val="28"/>
        </w:rPr>
        <w:t>Вопрос 3. Почему при добавлении вашего собственного фото в базу покемонов результаты поиска ближайших соседей могут быть неинтуитивными (например, лицо человека сопоставляется с покемоном-насекомым)?</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Главная причина — рассогласование доменов (domain shift). VGG19 обучалась на реалистичных фотографиях ImageNet, а покемоны представляют собой стилизованные иллюстрации с однотонным фоном, характерными контурами и упрощённой палитрой. Признаковые пространства фотографий и рисунков плохо совместимы: фотография человека проецируется в нетипичную для покемонов область, где соседства определяются не семантикой, а второстепенными визуальными признаками. Кроме того, сеть «видит» не категории «человек», «насекомое» или «огненный покемон», а низкоуровневые характеристики: доминирующие цвета, силуэт, симметрию, тип фона, соотношение светлых и тёмных областей. Поэтому ближайшим соседом фотографии может оказаться покемон, совпавший по цветовой палитре или общему контуру, а не по смыслу. Свою роль играет и то, что в ImageNet вообще нет класса «покемон», поэтому модель не имеет выученных представлений о таких объектах и интерпретирует их через наиболее близкие категории. Именно по этим соображениям в данной работе вместо личного фото была использована сгенерированная иллюстрация в стиле покемонов — это устраняет доменный сдвиг и делает результаты поиска осмысленными.</w:t>
      </w:r>
    </w:p>
    <w:p>
      <w:pPr>
        <w:spacing w:before="200" w:after="40" w:line="360" w:lineRule="auto"/>
        <w:ind w:firstLine="709"/>
        <w:jc w:val="both"/>
      </w:pPr>
      <w:r>
        <w:rPr>
          <w:rFonts w:ascii="Times New Roman" w:hAnsi="Times New Roman" w:cs="Times New Roman" w:eastAsia="Times New Roman"/>
          <w:b/>
          <w:i w:val="0"/>
          <w:sz w:val="28"/>
        </w:rPr>
        <w:t>Вопрос 4. Как выбрать оптимальное число кластеров для иерархической кластеризации изображений покемонов, если метрика Silhouette score недоступна в модуле иерархической кластеризации в Orange?</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Существует несколько практических способов. Во-первых, анализ дендрограммы: оптимальное разбиение соответствует горизонтальной линии, пересекающей наиболее длинные вертикальные ветви — то есть разрезу в области наибольшего скачка расстояний (правило самого длинного вертикального промежутка). Во-вторых, метод локтя: можно построить зависимость суммарного внутрикластерного расстояния от числа кластеров и найти точку перегиба, после которой добавление новых кластеров уже не даёт существенного снижения внутригрупповой дисперсии. В-третьих, доменные знания: число кластеров можно сопоставить с известным количеством типов покемонов (стихий), стадий эволюции, цветовых групп или художественных стилей. В-четвёртых, визуальная оценка качества разбиения: содержимое каждого кластера можно отдельно выгрузить в Image Viewer и убедиться в его однородности; если внутри одного кластера видны принципиально разные объекты, число кластеров следует увеличить, а если соседние кластеры выглядят одинаково — уменьшить. В-пятых, при необходимости получить именно численную метрику silhouette эмбеддинги VGG19 можно выгрузить из Orange в CSV и вычислить её во внешнем инструменте — например, в Python с помощью функции sklearn.metrics.silhouette_score. Наконец, разумной практикой является проверка устойчивости разбиения: стоит запустить кластеризацию для нескольких соседних значений k (например, 3, 4 и 5) и выбрать вариант, дающий наиболее интерпретируемые и согласованные результаты.</w:t>
      </w:r>
    </w:p>
    <w:p>
      <w:pPr>
        <w:spacing w:before="200" w:after="40" w:line="360" w:lineRule="auto"/>
        <w:ind w:firstLine="709"/>
        <w:jc w:val="both"/>
      </w:pPr>
      <w:r>
        <w:rPr>
          <w:rFonts w:ascii="Times New Roman" w:hAnsi="Times New Roman" w:cs="Times New Roman" w:eastAsia="Times New Roman"/>
          <w:b/>
          <w:i w:val="0"/>
          <w:sz w:val="28"/>
        </w:rPr>
        <w:t>Вопрос 5. Какие ограничения имеет подход «нейросеть + кластеризация» при работе с изображениями покемонов по сравнению с ручной классификацией по типам (водный, огненный, электрический и т.д.)?</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Подход «нейросеть + кластеризация» оперирует визуальным сходством, а не игровой семантикой. Тип покемона (водный, огненный, электрический) — это категория из мира игры, которая часто слабо коррелирует с внешним видом: огненные покемоны бывают красными, оранжевыми, жёлтыми и даже серыми; электрические — самых разных форм; водные могут не содержать в облике явных «водных» признаков. Нейронная сеть, напротив, объединяет объекты по цветовой палитре, форме силуэта, наличию характерных деталей (крылья, хвосты, конечности), типу фона и общей стилистике. Дополнительные ограничения этого подхода: разные эволюционные стадии одного и того же вида могут попадать в разные кластеры из-за изменений в размере и пропорциях; результаты чувствительны к качеству изображения, фону и ракурсу; полученные кластеры трудно интерпретировать — это «чёрный ящик», в котором сложно сформулировать чёткое правило отнесения объекта к группе; наконец, сеть не имеет доступа к контекстной информации (имя, характеристики, способности), которой пользуется человек при ручной классификации. Ручная разметка по типам, в свою очередь, опирается на доменные знания о вселенной покемонов, недоступные сети, и даёт семантически осмысленные категории. Тем не менее у автоматического подхода есть существенные преимущества: масштабируемость на десятки и сотни тысяч изображений, объективность и воспроизводимость результата, способность находить скрытые визуальные закономерности, не замеченные человеком, а также независимость от наличия экспертной разметки. Поэтому на практике эти два подхода не противопоставляются, а дополняют друг друга.</w:t>
      </w:r>
    </w:p>
    <w:p>
      <w:r>
        <w:br w:type="page"/>
      </w:r>
    </w:p>
    <w:p>
      <w:pPr>
        <w:pStyle w:val="Heading1"/>
        <w:spacing w:before="0" w:after="360" w:line="360" w:lineRule="auto"/>
        <w:ind w:firstLine="0"/>
        <w:jc w:val="center"/>
      </w:pPr>
      <w:r>
        <w:rPr>
          <w:rFonts w:ascii="Times New Roman" w:hAnsi="Times New Roman" w:cs="Times New Roman" w:eastAsia="Times New Roman"/>
          <w:b/>
          <w:i w:val="0"/>
          <w:sz w:val="28"/>
        </w:rPr>
        <w:t>ЗАКЛЮЧЕНИЕ</w:t>
      </w:r>
    </w:p>
    <w:p>
      <w:pPr>
        <w:spacing w:line="360" w:lineRule="auto"/>
        <w:ind w:firstLine="709"/>
        <w:jc w:val="both"/>
      </w:pPr>
      <w:r>
        <w:rPr>
          <w:rFonts w:ascii="Times New Roman" w:hAnsi="Times New Roman" w:cs="Times New Roman" w:eastAsia="Times New Roman"/>
          <w:b w:val="0"/>
          <w:i w:val="0"/>
          <w:sz w:val="28"/>
        </w:rPr>
        <w:t>В ходе лабораторной работы освоены инструменты обработки и анализа изображений в среде Orange Data Mining. Изучен принцип работы предобученной свёрточной нейронной сети VGG19 в роли экстрактора признаков, обоснован выбор косинусной метрики расстояния, выполнена иерархическая кластеризация набора из 810 изображений покемонов и по дендрограмме выбрано оптимальное число кластеров, равное четырём. С помощью виджета Neighbors реализован поиск трёх ближайших соседей для покемона Beldum, а также проведён аналогичный поиск для сгенерированного авторского изображения покемона, что позволило избежать доменного сдвига между фотографией и иллюстрацией. Сформулированы развёрнутые ответы на все пять контрольных вопросов. Цель работы достигнута.</w:t>
      </w:r>
    </w:p>
    <w:p>
      <w:r>
        <w:br w:type="page"/>
      </w:r>
    </w:p>
    <w:p>
      <w:pPr>
        <w:pStyle w:val="Heading1"/>
        <w:spacing w:before="0" w:after="360" w:line="360" w:lineRule="auto"/>
        <w:ind w:firstLine="0"/>
        <w:jc w:val="center"/>
      </w:pPr>
      <w:r>
        <w:rPr>
          <w:rFonts w:ascii="Times New Roman" w:hAnsi="Times New Roman" w:cs="Times New Roman" w:eastAsia="Times New Roman"/>
          <w:b/>
          <w:i w:val="0"/>
          <w:sz w:val="28"/>
        </w:rPr>
        <w:t>СПИСОК ИСПОЛЬЗОВАННЫХ ИСТОЧНИКОВ</w:t>
      </w:r>
    </w:p>
    <w:p>
      <w:pPr>
        <w:spacing w:line="360" w:lineRule="auto" w:after="120"/>
        <w:ind w:firstLine="0" w:left="425"/>
        <w:jc w:val="both"/>
      </w:pPr>
      <w:r>
        <w:rPr>
          <w:rFonts w:ascii="Times New Roman" w:hAnsi="Times New Roman" w:cs="Times New Roman" w:eastAsia="Times New Roman"/>
          <w:b w:val="0"/>
          <w:i w:val="0"/>
          <w:sz w:val="28"/>
        </w:rPr>
        <w:t>1 Orange Data Mining : официальная документация [Электронный ресурс]. — Режим доступа: https://orangedatamining.com/docs/ (дата обращения: 26.05.2026).</w:t>
      </w:r>
    </w:p>
    <w:p>
      <w:pPr>
        <w:spacing w:line="360" w:lineRule="auto" w:after="120"/>
        <w:ind w:firstLine="0" w:left="425"/>
        <w:jc w:val="both"/>
      </w:pPr>
      <w:r>
        <w:rPr>
          <w:rFonts w:ascii="Times New Roman" w:hAnsi="Times New Roman" w:cs="Times New Roman" w:eastAsia="Times New Roman"/>
          <w:b w:val="0"/>
          <w:i w:val="0"/>
          <w:sz w:val="28"/>
        </w:rPr>
        <w:t>2 Simonyan K., Zisserman A. Very Deep Convolutional Networks for Large-Scale Image Recognition // arXiv preprint arXiv:1409.1556. — 2014. — 14 p.</w:t>
      </w:r>
    </w:p>
    <w:p>
      <w:pPr>
        <w:spacing w:line="360" w:lineRule="auto" w:after="120"/>
        <w:ind w:firstLine="0" w:left="425"/>
        <w:jc w:val="both"/>
      </w:pPr>
      <w:r>
        <w:rPr>
          <w:rFonts w:ascii="Times New Roman" w:hAnsi="Times New Roman" w:cs="Times New Roman" w:eastAsia="Times New Roman"/>
          <w:b w:val="0"/>
          <w:i w:val="0"/>
          <w:sz w:val="28"/>
        </w:rPr>
        <w:t>3 Deng J., Dong W., Socher R. et al. ImageNet: A Large-Scale Hierarchical Image Database // 2009 IEEE Conference on Computer Vision and Pattern Recognition. — 2009. — P. 248–255.</w:t>
      </w:r>
    </w:p>
    <w:p>
      <w:pPr>
        <w:spacing w:line="360" w:lineRule="auto" w:after="120"/>
        <w:ind w:firstLine="0" w:left="425"/>
        <w:jc w:val="both"/>
      </w:pPr>
      <w:r>
        <w:rPr>
          <w:rFonts w:ascii="Times New Roman" w:hAnsi="Times New Roman" w:cs="Times New Roman" w:eastAsia="Times New Roman"/>
          <w:b w:val="0"/>
          <w:i w:val="0"/>
          <w:sz w:val="28"/>
        </w:rPr>
        <w:t>4 Aggarwal C. C., Hinneburg A., Keim D. A. On the Surprising Behavior of Distance Metrics in High Dimensional Space // Lecture Notes in Computer Science. — 2001. — Vol. 1973. — P. 420–434.</w:t>
      </w:r>
    </w:p>
    <w:p>
      <w:pPr>
        <w:spacing w:line="360" w:lineRule="auto" w:after="120"/>
        <w:ind w:firstLine="0" w:left="425"/>
        <w:jc w:val="both"/>
      </w:pPr>
      <w:r>
        <w:rPr>
          <w:rFonts w:ascii="Times New Roman" w:hAnsi="Times New Roman" w:cs="Times New Roman" w:eastAsia="Times New Roman"/>
          <w:b w:val="0"/>
          <w:i w:val="0"/>
          <w:sz w:val="28"/>
        </w:rPr>
        <w:t>5 Pan S. J., Yang Q. A Survey on Transfer Learning // IEEE Transactions on Knowledge and Data Engineering. — 2010. — Vol. 22, № 10. — P. 1345–1359.</w:t>
      </w:r>
    </w:p>
    <w:p>
      <w:pPr>
        <w:spacing w:line="360" w:lineRule="auto" w:after="120"/>
        <w:ind w:firstLine="0" w:left="425"/>
        <w:jc w:val="both"/>
      </w:pPr>
      <w:r>
        <w:rPr>
          <w:rFonts w:ascii="Times New Roman" w:hAnsi="Times New Roman" w:cs="Times New Roman" w:eastAsia="Times New Roman"/>
          <w:b w:val="0"/>
          <w:i w:val="0"/>
          <w:sz w:val="28"/>
        </w:rPr>
        <w:t>6 Набор данных с изображениями покемонов [Электронный ресурс]. — Режим доступа: https://drive.google.com/drive/folders/1PNQPTbd6Hk7mLxpnknxZ0GvALxotQXcN (дата обращения: 26.05.2026).</w:t>
      </w:r>
    </w:p>
    <w:p>
      <w:r>
        <w:br w:type="page"/>
      </w:r>
    </w:p>
    <w:p>
      <w:pPr>
        <w:pStyle w:val="Heading1"/>
        <w:spacing w:before="0" w:after="360" w:line="360" w:lineRule="auto"/>
        <w:ind w:firstLine="0"/>
        <w:jc w:val="center"/>
      </w:pPr>
      <w:r>
        <w:rPr>
          <w:rFonts w:ascii="Times New Roman" w:hAnsi="Times New Roman" w:cs="Times New Roman" w:eastAsia="Times New Roman"/>
          <w:b/>
          <w:i w:val="0"/>
          <w:sz w:val="28"/>
        </w:rPr>
        <w:t>ПРИЛОЖЕНИЕ А</w:t>
      </w:r>
    </w:p>
    <w:p>
      <w:pPr>
        <w:spacing w:after="240"/>
        <w:ind w:firstLine="0"/>
        <w:jc w:val="center"/>
      </w:pPr>
      <w:r>
        <w:rPr>
          <w:rFonts w:ascii="Times New Roman" w:hAnsi="Times New Roman" w:cs="Times New Roman" w:eastAsia="Times New Roman"/>
          <w:b w:val="0"/>
          <w:i/>
          <w:sz w:val="28"/>
        </w:rPr>
        <w:t>(справочное)</w:t>
      </w:r>
    </w:p>
    <w:p>
      <w:pPr>
        <w:spacing w:after="240"/>
        <w:ind w:firstLine="0"/>
        <w:jc w:val="center"/>
      </w:pPr>
      <w:r>
        <w:rPr>
          <w:rFonts w:ascii="Times New Roman" w:hAnsi="Times New Roman" w:cs="Times New Roman" w:eastAsia="Times New Roman"/>
          <w:b/>
          <w:i w:val="0"/>
          <w:sz w:val="28"/>
        </w:rPr>
        <w:t>Промпт для генерации авторского покемона</w:t>
      </w:r>
    </w:p>
    <w:p>
      <w:pPr>
        <w:spacing w:line="360" w:lineRule="auto"/>
        <w:ind w:firstLine="709" w:left="567" w:right="567"/>
        <w:jc w:val="both"/>
      </w:pPr>
      <w:r>
        <w:rPr>
          <w:rFonts w:ascii="Times New Roman" w:hAnsi="Times New Roman" w:cs="Times New Roman" w:eastAsia="Times New Roman"/>
          <w:b w:val="0"/>
          <w:i/>
          <w:sz w:val="28"/>
        </w:rPr>
        <w:t>«pokemon creature, quadruped animal-like, virgo zodiac theme, slender body covered in pale grey and soft lavender fur, wheat ear pattern on back and tail, small silver gears on shoulders and hips, intelligent calm eyes, clean sharp lines, no human face, no human clothes, official pokemon art style, ken sugimori watercolor, white background, full body shot, high resolution».</w:t>
      </w:r>
    </w:p>
    <w:p>
      <w:pPr>
        <w:spacing w:line="360" w:lineRule="auto"/>
        <w:ind w:firstLine="709"/>
        <w:jc w:val="both"/>
      </w:pPr>
      <w:r>
        <w:rPr>
          <w:rFonts w:ascii="Times New Roman" w:hAnsi="Times New Roman" w:cs="Times New Roman" w:eastAsia="Times New Roman"/>
          <w:b w:val="0"/>
          <w:i w:val="0"/>
          <w:sz w:val="28"/>
        </w:rPr>
        <w:t>Промпт ориентирован на воспроизведение официального стиля иллюстраций франшизы (Ken Sugimori), задаёт цветовую палитру и тематические элементы (символика знака Дева), а также явно запрещает антропоморфные черты, что обеспечивает корректное сравнение полученного изображения с эталонной базой покемонов в рамках лабораторной работы.</w:t>
      </w:r>
    </w:p>
    <w:sectPr w:rsidR="00FC693F" w:rsidRPr="0006063C" w:rsidSect="00034616">
      <w:footerReference w:type="default" r:id="rId1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