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56054" w14:textId="77777777" w:rsidR="00B4653F" w:rsidRPr="00D44B04" w:rsidRDefault="00B4653F" w:rsidP="00D44B04">
      <w:pPr>
        <w:pStyle w:val="Heading1"/>
        <w:jc w:val="center"/>
        <w:rPr>
          <w:b/>
          <w:bCs/>
        </w:rPr>
      </w:pPr>
      <w:r w:rsidRPr="00D44B04">
        <w:rPr>
          <w:b/>
          <w:bCs/>
          <w:color w:val="auto"/>
        </w:rPr>
        <w:t xml:space="preserve">Project Title: </w:t>
      </w:r>
      <w:r w:rsidRPr="00D44B04">
        <w:rPr>
          <w:color w:val="7030A0"/>
        </w:rPr>
        <w:t>Evaluation of the COVID-19 Vaccination and Public Health Response</w:t>
      </w:r>
    </w:p>
    <w:p w14:paraId="42F4442C" w14:textId="77777777" w:rsidR="00D44B04" w:rsidRPr="00B4653F" w:rsidRDefault="00D44B04" w:rsidP="00B4653F"/>
    <w:p w14:paraId="7080FC0E" w14:textId="4665970C" w:rsidR="00D44B04" w:rsidRPr="00B4653F" w:rsidRDefault="00B4653F" w:rsidP="00B4653F">
      <w:pPr>
        <w:rPr>
          <w:b/>
          <w:bCs/>
          <w:color w:val="7030A0"/>
        </w:rPr>
      </w:pPr>
      <w:r w:rsidRPr="00B4653F">
        <w:rPr>
          <w:b/>
          <w:bCs/>
          <w:color w:val="7030A0"/>
        </w:rPr>
        <w:t>Project Overview</w:t>
      </w:r>
    </w:p>
    <w:p w14:paraId="65322B87" w14:textId="77777777" w:rsidR="00B4653F" w:rsidRDefault="00B4653F" w:rsidP="00B4653F">
      <w:r w:rsidRPr="00B4653F">
        <w:t>The COVID-19 Vaccination and Public Health Response initiative was implemented by the Department of Health to manage the pandemic through vaccination campaigns, public health guidelines, and community outreach. This evaluation aimed to assess the effectiveness of the vaccination efforts, public compliance with health guidelines, and overall public health outcomes. The project provides policy recommendations based on the findings to enhance future public health responses.</w:t>
      </w:r>
    </w:p>
    <w:p w14:paraId="751D228F" w14:textId="77777777" w:rsidR="00D44B04" w:rsidRPr="00B4653F" w:rsidRDefault="00D44B04" w:rsidP="00B4653F"/>
    <w:p w14:paraId="148DBBC0" w14:textId="4B2786A7" w:rsidR="00D44B04" w:rsidRPr="00B4653F" w:rsidRDefault="00B4653F" w:rsidP="00B4653F">
      <w:pPr>
        <w:rPr>
          <w:b/>
          <w:bCs/>
          <w:color w:val="7030A0"/>
        </w:rPr>
      </w:pPr>
      <w:r w:rsidRPr="00B4653F">
        <w:rPr>
          <w:b/>
          <w:bCs/>
          <w:color w:val="7030A0"/>
        </w:rPr>
        <w:t>Objectives</w:t>
      </w:r>
    </w:p>
    <w:p w14:paraId="7389E88B" w14:textId="77777777" w:rsidR="00B4653F" w:rsidRPr="00B4653F" w:rsidRDefault="00B4653F" w:rsidP="00B4653F">
      <w:pPr>
        <w:numPr>
          <w:ilvl w:val="0"/>
          <w:numId w:val="1"/>
        </w:numPr>
      </w:pPr>
      <w:r w:rsidRPr="00B4653F">
        <w:t>Assess the impact of the COVID-19 vaccination campaign on infection rates.</w:t>
      </w:r>
    </w:p>
    <w:p w14:paraId="0CAB234C" w14:textId="77777777" w:rsidR="00B4653F" w:rsidRPr="00B4653F" w:rsidRDefault="00B4653F" w:rsidP="00B4653F">
      <w:pPr>
        <w:numPr>
          <w:ilvl w:val="0"/>
          <w:numId w:val="1"/>
        </w:numPr>
      </w:pPr>
      <w:r w:rsidRPr="00B4653F">
        <w:t>Evaluate public compliance with health guidelines and the effectiveness of communication strategies.</w:t>
      </w:r>
    </w:p>
    <w:p w14:paraId="1C75C565" w14:textId="77777777" w:rsidR="00B4653F" w:rsidRDefault="00B4653F" w:rsidP="00B4653F">
      <w:pPr>
        <w:numPr>
          <w:ilvl w:val="0"/>
          <w:numId w:val="1"/>
        </w:numPr>
      </w:pPr>
      <w:r w:rsidRPr="00B4653F">
        <w:t>Identify gaps and areas for improvement in vaccination distribution and public health messaging.</w:t>
      </w:r>
    </w:p>
    <w:p w14:paraId="648F4C9C" w14:textId="77777777" w:rsidR="00D44B04" w:rsidRPr="00B4653F" w:rsidRDefault="00D44B04" w:rsidP="00D44B04"/>
    <w:p w14:paraId="7DE1ECC9" w14:textId="050FD33D" w:rsidR="00D44B04" w:rsidRPr="00B4653F" w:rsidRDefault="00B4653F" w:rsidP="00B4653F">
      <w:pPr>
        <w:rPr>
          <w:b/>
          <w:bCs/>
          <w:color w:val="7030A0"/>
          <w:sz w:val="28"/>
          <w:szCs w:val="28"/>
          <w:u w:val="single"/>
        </w:rPr>
      </w:pPr>
      <w:r w:rsidRPr="00B4653F">
        <w:rPr>
          <w:b/>
          <w:bCs/>
          <w:color w:val="7030A0"/>
          <w:sz w:val="28"/>
          <w:szCs w:val="28"/>
          <w:u w:val="single"/>
        </w:rPr>
        <w:t>Methodology</w:t>
      </w:r>
    </w:p>
    <w:p w14:paraId="5FFB9ED4" w14:textId="77777777" w:rsidR="00B4653F" w:rsidRPr="00D44B04" w:rsidRDefault="00B4653F" w:rsidP="00B4653F">
      <w:pPr>
        <w:rPr>
          <w:b/>
          <w:bCs/>
          <w:color w:val="7030A0"/>
        </w:rPr>
      </w:pPr>
      <w:r w:rsidRPr="00B4653F">
        <w:rPr>
          <w:b/>
          <w:bCs/>
          <w:color w:val="7030A0"/>
        </w:rPr>
        <w:t>Data Collection:</w:t>
      </w:r>
    </w:p>
    <w:p w14:paraId="4CD1A242" w14:textId="77777777" w:rsidR="00D44B04" w:rsidRPr="00B4653F" w:rsidRDefault="00D44B04" w:rsidP="00B4653F"/>
    <w:p w14:paraId="53091A95" w14:textId="77777777" w:rsidR="00B4653F" w:rsidRPr="00B4653F" w:rsidRDefault="00B4653F" w:rsidP="00B4653F">
      <w:pPr>
        <w:numPr>
          <w:ilvl w:val="0"/>
          <w:numId w:val="2"/>
        </w:numPr>
      </w:pPr>
      <w:r w:rsidRPr="00B4653F">
        <w:rPr>
          <w:b/>
          <w:bCs/>
        </w:rPr>
        <w:t>Surveys:</w:t>
      </w:r>
      <w:r w:rsidRPr="00B4653F">
        <w:t xml:space="preserve"> Administered to healthcare providers, vaccinated individuals, and the </w:t>
      </w:r>
      <w:proofErr w:type="gramStart"/>
      <w:r w:rsidRPr="00B4653F">
        <w:t>general public</w:t>
      </w:r>
      <w:proofErr w:type="gramEnd"/>
      <w:r w:rsidRPr="00B4653F">
        <w:t>.</w:t>
      </w:r>
    </w:p>
    <w:p w14:paraId="1F4DB1BA" w14:textId="77777777" w:rsidR="00B4653F" w:rsidRPr="00B4653F" w:rsidRDefault="00B4653F" w:rsidP="00B4653F">
      <w:pPr>
        <w:numPr>
          <w:ilvl w:val="1"/>
          <w:numId w:val="2"/>
        </w:numPr>
      </w:pPr>
      <w:r w:rsidRPr="00B4653F">
        <w:rPr>
          <w:b/>
          <w:bCs/>
        </w:rPr>
        <w:t>Healthcare Providers:</w:t>
      </w:r>
      <w:r w:rsidRPr="00B4653F">
        <w:t xml:space="preserve"> Focused on vaccination administration processes, challenges faced, and perceived effectiveness.</w:t>
      </w:r>
    </w:p>
    <w:p w14:paraId="02A8001F" w14:textId="77777777" w:rsidR="00B4653F" w:rsidRPr="00B4653F" w:rsidRDefault="00B4653F" w:rsidP="00B4653F">
      <w:pPr>
        <w:numPr>
          <w:ilvl w:val="1"/>
          <w:numId w:val="2"/>
        </w:numPr>
      </w:pPr>
      <w:r w:rsidRPr="00B4653F">
        <w:rPr>
          <w:b/>
          <w:bCs/>
        </w:rPr>
        <w:t>Vaccinated Individuals:</w:t>
      </w:r>
      <w:r w:rsidRPr="00B4653F">
        <w:t xml:space="preserve"> Assessed accessibility to vaccination sites, satisfaction with the process, and any barriers encountered.</w:t>
      </w:r>
    </w:p>
    <w:p w14:paraId="021946AF" w14:textId="77777777" w:rsidR="00B4653F" w:rsidRPr="00B4653F" w:rsidRDefault="00B4653F" w:rsidP="00B4653F">
      <w:pPr>
        <w:numPr>
          <w:ilvl w:val="1"/>
          <w:numId w:val="2"/>
        </w:numPr>
      </w:pPr>
      <w:r w:rsidRPr="00B4653F">
        <w:rPr>
          <w:b/>
          <w:bCs/>
        </w:rPr>
        <w:lastRenderedPageBreak/>
        <w:t>General Public:</w:t>
      </w:r>
      <w:r w:rsidRPr="00B4653F">
        <w:t xml:space="preserve"> Evaluated awareness and compliance with public health guidelines and vaccination campaigns.</w:t>
      </w:r>
    </w:p>
    <w:p w14:paraId="1EB95B81" w14:textId="77777777" w:rsidR="00B4653F" w:rsidRPr="00B4653F" w:rsidRDefault="00B4653F" w:rsidP="00B4653F">
      <w:pPr>
        <w:numPr>
          <w:ilvl w:val="0"/>
          <w:numId w:val="2"/>
        </w:numPr>
      </w:pPr>
      <w:r w:rsidRPr="00B4653F">
        <w:rPr>
          <w:b/>
          <w:bCs/>
        </w:rPr>
        <w:t>Focus Groups:</w:t>
      </w:r>
      <w:r w:rsidRPr="00B4653F">
        <w:t xml:space="preserve"> Conducted with healthcare workers and community members to gain qualitative insights into their experiences and suggestions for improvement.</w:t>
      </w:r>
    </w:p>
    <w:p w14:paraId="47F8299E" w14:textId="77777777" w:rsidR="00B4653F" w:rsidRDefault="00B4653F" w:rsidP="00B4653F">
      <w:pPr>
        <w:numPr>
          <w:ilvl w:val="0"/>
          <w:numId w:val="2"/>
        </w:numPr>
      </w:pPr>
      <w:r w:rsidRPr="00B4653F">
        <w:rPr>
          <w:b/>
          <w:bCs/>
        </w:rPr>
        <w:t>Secondary Data Analysis:</w:t>
      </w:r>
      <w:r w:rsidRPr="00B4653F">
        <w:t xml:space="preserve"> Reviewed COVID-19 case data, vaccination rates, and public health compliance data from the Department of Health.</w:t>
      </w:r>
    </w:p>
    <w:p w14:paraId="48B71BAE" w14:textId="77777777" w:rsidR="00D44B04" w:rsidRPr="00B4653F" w:rsidRDefault="00D44B04" w:rsidP="00D44B04"/>
    <w:p w14:paraId="166168B8" w14:textId="77777777" w:rsidR="00B4653F" w:rsidRPr="00D44B04" w:rsidRDefault="00B4653F" w:rsidP="00B4653F">
      <w:pPr>
        <w:rPr>
          <w:b/>
          <w:bCs/>
          <w:color w:val="7030A0"/>
        </w:rPr>
      </w:pPr>
      <w:r w:rsidRPr="00B4653F">
        <w:rPr>
          <w:b/>
          <w:bCs/>
          <w:color w:val="7030A0"/>
        </w:rPr>
        <w:t>Analysis:</w:t>
      </w:r>
    </w:p>
    <w:p w14:paraId="2AFD116E" w14:textId="77777777" w:rsidR="00D44B04" w:rsidRPr="00B4653F" w:rsidRDefault="00D44B04" w:rsidP="00B4653F"/>
    <w:p w14:paraId="31FB17E9" w14:textId="77777777" w:rsidR="00B4653F" w:rsidRPr="00B4653F" w:rsidRDefault="00B4653F" w:rsidP="00B4653F">
      <w:pPr>
        <w:numPr>
          <w:ilvl w:val="0"/>
          <w:numId w:val="3"/>
        </w:numPr>
      </w:pPr>
      <w:r w:rsidRPr="00B4653F">
        <w:rPr>
          <w:b/>
          <w:bCs/>
        </w:rPr>
        <w:t>Quantitative Analysis:</w:t>
      </w:r>
      <w:r w:rsidRPr="00B4653F">
        <w:t xml:space="preserve"> Employed statistical techniques to analyze survey responses and infection rates.</w:t>
      </w:r>
    </w:p>
    <w:p w14:paraId="08D120E9" w14:textId="77777777" w:rsidR="00B4653F" w:rsidRPr="00B4653F" w:rsidRDefault="00B4653F" w:rsidP="00B4653F">
      <w:pPr>
        <w:numPr>
          <w:ilvl w:val="1"/>
          <w:numId w:val="3"/>
        </w:numPr>
      </w:pPr>
      <w:r w:rsidRPr="00B4653F">
        <w:rPr>
          <w:b/>
          <w:bCs/>
        </w:rPr>
        <w:t>Descriptive Statistics:</w:t>
      </w:r>
      <w:r w:rsidRPr="00B4653F">
        <w:t xml:space="preserve"> Summarized survey responses and demographic information.</w:t>
      </w:r>
    </w:p>
    <w:p w14:paraId="59E84743" w14:textId="77777777" w:rsidR="00B4653F" w:rsidRPr="00B4653F" w:rsidRDefault="00B4653F" w:rsidP="00B4653F">
      <w:pPr>
        <w:numPr>
          <w:ilvl w:val="1"/>
          <w:numId w:val="3"/>
        </w:numPr>
      </w:pPr>
      <w:r w:rsidRPr="00B4653F">
        <w:rPr>
          <w:b/>
          <w:bCs/>
        </w:rPr>
        <w:t>Inferential Statistics:</w:t>
      </w:r>
      <w:r w:rsidRPr="00B4653F">
        <w:t xml:space="preserve"> Used regression analysis to examine the relationship between vaccination rates and COVID-19 infection rates.</w:t>
      </w:r>
    </w:p>
    <w:p w14:paraId="3F02AD28" w14:textId="77777777" w:rsidR="00B4653F" w:rsidRDefault="00B4653F" w:rsidP="00B4653F">
      <w:pPr>
        <w:numPr>
          <w:ilvl w:val="0"/>
          <w:numId w:val="3"/>
        </w:numPr>
      </w:pPr>
      <w:r w:rsidRPr="00B4653F">
        <w:rPr>
          <w:b/>
          <w:bCs/>
        </w:rPr>
        <w:t>Qualitative Analysis:</w:t>
      </w:r>
      <w:r w:rsidRPr="00B4653F">
        <w:t xml:space="preserve"> Thematic analysis of focus group transcripts to identify common themes and insights.</w:t>
      </w:r>
    </w:p>
    <w:p w14:paraId="13D08E3C" w14:textId="77777777" w:rsidR="00D44B04" w:rsidRPr="00B4653F" w:rsidRDefault="00D44B04" w:rsidP="00D44B04"/>
    <w:p w14:paraId="64B9ACDF" w14:textId="77777777" w:rsidR="00B4653F" w:rsidRPr="00D44B04" w:rsidRDefault="00B4653F" w:rsidP="00B4653F">
      <w:pPr>
        <w:rPr>
          <w:b/>
          <w:bCs/>
          <w:color w:val="7030A0"/>
        </w:rPr>
      </w:pPr>
      <w:r w:rsidRPr="00B4653F">
        <w:rPr>
          <w:b/>
          <w:bCs/>
          <w:color w:val="7030A0"/>
        </w:rPr>
        <w:t>Key Findings</w:t>
      </w:r>
    </w:p>
    <w:p w14:paraId="25F081CA" w14:textId="77777777" w:rsidR="00D44B04" w:rsidRPr="00B4653F" w:rsidRDefault="00D44B04" w:rsidP="00B4653F">
      <w:pPr>
        <w:rPr>
          <w:b/>
          <w:bCs/>
        </w:rPr>
      </w:pPr>
    </w:p>
    <w:p w14:paraId="4229E2F1" w14:textId="77777777" w:rsidR="00B4653F" w:rsidRPr="00B4653F" w:rsidRDefault="00B4653F" w:rsidP="00B4653F">
      <w:pPr>
        <w:numPr>
          <w:ilvl w:val="0"/>
          <w:numId w:val="4"/>
        </w:numPr>
      </w:pPr>
      <w:r w:rsidRPr="00B4653F">
        <w:rPr>
          <w:b/>
          <w:bCs/>
        </w:rPr>
        <w:t>Vaccination Impact:</w:t>
      </w:r>
      <w:r w:rsidRPr="00B4653F">
        <w:t xml:space="preserve"> Areas with higher vaccination rates showed a significant decrease in COVID-19 infection rates compared to areas with lower vaccination rates.</w:t>
      </w:r>
    </w:p>
    <w:p w14:paraId="5BF42206" w14:textId="77777777" w:rsidR="00B4653F" w:rsidRPr="00B4653F" w:rsidRDefault="00B4653F" w:rsidP="00B4653F">
      <w:pPr>
        <w:numPr>
          <w:ilvl w:val="0"/>
          <w:numId w:val="4"/>
        </w:numPr>
      </w:pPr>
      <w:r w:rsidRPr="00B4653F">
        <w:rPr>
          <w:b/>
          <w:bCs/>
        </w:rPr>
        <w:t>Public Compliance:</w:t>
      </w:r>
      <w:r w:rsidRPr="00B4653F">
        <w:t xml:space="preserve"> 80% of the </w:t>
      </w:r>
      <w:proofErr w:type="gramStart"/>
      <w:r w:rsidRPr="00B4653F">
        <w:t>general public</w:t>
      </w:r>
      <w:proofErr w:type="gramEnd"/>
      <w:r w:rsidRPr="00B4653F">
        <w:t xml:space="preserve"> reported compliance with health guidelines, but 15% cited misinformation as a barrier to compliance.</w:t>
      </w:r>
    </w:p>
    <w:p w14:paraId="3FCA1E4A" w14:textId="77777777" w:rsidR="00B4653F" w:rsidRPr="00B4653F" w:rsidRDefault="00B4653F" w:rsidP="00B4653F">
      <w:pPr>
        <w:numPr>
          <w:ilvl w:val="0"/>
          <w:numId w:val="4"/>
        </w:numPr>
      </w:pPr>
      <w:r w:rsidRPr="00B4653F">
        <w:rPr>
          <w:b/>
          <w:bCs/>
        </w:rPr>
        <w:t>Healthcare Provider Challenges:</w:t>
      </w:r>
      <w:r w:rsidRPr="00B4653F">
        <w:t xml:space="preserve"> 70% of healthcare providers reported logistical challenges in vaccination distribution, including supply chain issues and staffing shortages.</w:t>
      </w:r>
    </w:p>
    <w:p w14:paraId="47F8DC1E" w14:textId="77777777" w:rsidR="00B4653F" w:rsidRPr="00B4653F" w:rsidRDefault="00B4653F" w:rsidP="00B4653F">
      <w:pPr>
        <w:numPr>
          <w:ilvl w:val="0"/>
          <w:numId w:val="4"/>
        </w:numPr>
      </w:pPr>
      <w:r w:rsidRPr="00B4653F">
        <w:rPr>
          <w:b/>
          <w:bCs/>
        </w:rPr>
        <w:t>Areas for Improvement:</w:t>
      </w:r>
    </w:p>
    <w:p w14:paraId="31213F92" w14:textId="77777777" w:rsidR="00B4653F" w:rsidRPr="00B4653F" w:rsidRDefault="00B4653F" w:rsidP="00B4653F">
      <w:pPr>
        <w:numPr>
          <w:ilvl w:val="1"/>
          <w:numId w:val="4"/>
        </w:numPr>
      </w:pPr>
      <w:r w:rsidRPr="00B4653F">
        <w:rPr>
          <w:b/>
          <w:bCs/>
        </w:rPr>
        <w:lastRenderedPageBreak/>
        <w:t>Communication Strategies:</w:t>
      </w:r>
      <w:r w:rsidRPr="00B4653F">
        <w:t xml:space="preserve"> Need for more targeted communication to address misinformation and improve public understanding of health guidelines.</w:t>
      </w:r>
    </w:p>
    <w:p w14:paraId="63908141" w14:textId="77777777" w:rsidR="00B4653F" w:rsidRDefault="00B4653F" w:rsidP="00B4653F">
      <w:pPr>
        <w:numPr>
          <w:ilvl w:val="1"/>
          <w:numId w:val="4"/>
        </w:numPr>
      </w:pPr>
      <w:r w:rsidRPr="00B4653F">
        <w:rPr>
          <w:b/>
          <w:bCs/>
        </w:rPr>
        <w:t>Vaccination Accessibility:</w:t>
      </w:r>
      <w:r w:rsidRPr="00B4653F">
        <w:t xml:space="preserve"> Some community members faced barriers to accessing vaccination sites, such as transportation and appointment availability.</w:t>
      </w:r>
    </w:p>
    <w:p w14:paraId="773B3616" w14:textId="77777777" w:rsidR="00D44B04" w:rsidRPr="00B4653F" w:rsidRDefault="00D44B04" w:rsidP="00D44B04"/>
    <w:p w14:paraId="39BB83D0" w14:textId="77777777" w:rsidR="00B4653F" w:rsidRPr="00D44B04" w:rsidRDefault="00B4653F" w:rsidP="00B4653F">
      <w:pPr>
        <w:rPr>
          <w:b/>
          <w:bCs/>
          <w:color w:val="7030A0"/>
        </w:rPr>
      </w:pPr>
      <w:r w:rsidRPr="00B4653F">
        <w:rPr>
          <w:b/>
          <w:bCs/>
          <w:color w:val="7030A0"/>
        </w:rPr>
        <w:t>Recommendations</w:t>
      </w:r>
    </w:p>
    <w:p w14:paraId="760B7B4B" w14:textId="77777777" w:rsidR="00D44B04" w:rsidRPr="00B4653F" w:rsidRDefault="00D44B04" w:rsidP="00B4653F">
      <w:pPr>
        <w:rPr>
          <w:b/>
          <w:bCs/>
        </w:rPr>
      </w:pPr>
    </w:p>
    <w:p w14:paraId="69BC9D4C" w14:textId="77777777" w:rsidR="00B4653F" w:rsidRPr="00B4653F" w:rsidRDefault="00B4653F" w:rsidP="00B4653F">
      <w:pPr>
        <w:numPr>
          <w:ilvl w:val="0"/>
          <w:numId w:val="5"/>
        </w:numPr>
      </w:pPr>
      <w:r w:rsidRPr="00B4653F">
        <w:rPr>
          <w:b/>
          <w:bCs/>
        </w:rPr>
        <w:t>Enhance Public Communication:</w:t>
      </w:r>
      <w:r w:rsidRPr="00B4653F">
        <w:t xml:space="preserve"> Develop targeted communication strategies to combat misinformation and improve public understanding of COVID-19 guidelines and vaccination benefits.</w:t>
      </w:r>
    </w:p>
    <w:p w14:paraId="03EB6B8B" w14:textId="77777777" w:rsidR="00B4653F" w:rsidRPr="00B4653F" w:rsidRDefault="00B4653F" w:rsidP="00B4653F">
      <w:pPr>
        <w:numPr>
          <w:ilvl w:val="0"/>
          <w:numId w:val="5"/>
        </w:numPr>
      </w:pPr>
      <w:r w:rsidRPr="00B4653F">
        <w:rPr>
          <w:b/>
          <w:bCs/>
        </w:rPr>
        <w:t>Improve Vaccination Accessibility:</w:t>
      </w:r>
      <w:r w:rsidRPr="00B4653F">
        <w:t xml:space="preserve"> Increase the number of vaccination sites in underserved areas and provide mobile vaccination units to reach remote populations.</w:t>
      </w:r>
    </w:p>
    <w:p w14:paraId="79895B6E" w14:textId="77777777" w:rsidR="00B4653F" w:rsidRPr="00B4653F" w:rsidRDefault="00B4653F" w:rsidP="00B4653F">
      <w:pPr>
        <w:numPr>
          <w:ilvl w:val="0"/>
          <w:numId w:val="5"/>
        </w:numPr>
      </w:pPr>
      <w:r w:rsidRPr="00B4653F">
        <w:rPr>
          <w:b/>
          <w:bCs/>
        </w:rPr>
        <w:t>Support Healthcare Providers:</w:t>
      </w:r>
      <w:r w:rsidRPr="00B4653F">
        <w:t xml:space="preserve"> Allocate additional resources to address logistical challenges in vaccination distribution, including staffing and supply chain support.</w:t>
      </w:r>
    </w:p>
    <w:p w14:paraId="2585840C" w14:textId="77777777" w:rsidR="00B4653F" w:rsidRDefault="00B4653F" w:rsidP="00B4653F">
      <w:pPr>
        <w:numPr>
          <w:ilvl w:val="0"/>
          <w:numId w:val="5"/>
        </w:numPr>
      </w:pPr>
      <w:r w:rsidRPr="00B4653F">
        <w:rPr>
          <w:b/>
          <w:bCs/>
        </w:rPr>
        <w:t>Ongoing Monitoring and Evaluation:</w:t>
      </w:r>
      <w:r w:rsidRPr="00B4653F">
        <w:t xml:space="preserve"> Implement continuous monitoring and evaluation processes to track the effectiveness of the response initiatives and make data-driven adjustments as needed.</w:t>
      </w:r>
    </w:p>
    <w:p w14:paraId="772F07BB" w14:textId="77777777" w:rsidR="00D44B04" w:rsidRPr="00B4653F" w:rsidRDefault="00D44B04" w:rsidP="00D44B04"/>
    <w:p w14:paraId="0E278838" w14:textId="77777777" w:rsidR="00B4653F" w:rsidRPr="00D44B04" w:rsidRDefault="00B4653F" w:rsidP="00B4653F">
      <w:pPr>
        <w:rPr>
          <w:b/>
          <w:bCs/>
          <w:color w:val="7030A0"/>
        </w:rPr>
      </w:pPr>
      <w:r w:rsidRPr="00B4653F">
        <w:rPr>
          <w:b/>
          <w:bCs/>
          <w:color w:val="7030A0"/>
        </w:rPr>
        <w:t>Conclusion</w:t>
      </w:r>
    </w:p>
    <w:p w14:paraId="1DA1873D" w14:textId="77777777" w:rsidR="00B4653F" w:rsidRPr="00B4653F" w:rsidRDefault="00B4653F" w:rsidP="00B4653F">
      <w:r w:rsidRPr="00B4653F">
        <w:t>The evaluation of the COVID-19 Vaccination and Public Health Response initiative demonstrates its effectiveness in reducing infection rates and highlights areas for improvement in communication and accessibility. By addressing these gaps and implementing the recommended strategies, the Department of Health can enhance its public health response and better manage future health crises.</w:t>
      </w:r>
    </w:p>
    <w:p w14:paraId="57E48CD7" w14:textId="77777777" w:rsidR="00B4653F" w:rsidRDefault="00B4653F"/>
    <w:sectPr w:rsidR="00B4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32F77"/>
    <w:multiLevelType w:val="multilevel"/>
    <w:tmpl w:val="5776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C4C13"/>
    <w:multiLevelType w:val="multilevel"/>
    <w:tmpl w:val="4F90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F0F08"/>
    <w:multiLevelType w:val="multilevel"/>
    <w:tmpl w:val="A646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C626A"/>
    <w:multiLevelType w:val="multilevel"/>
    <w:tmpl w:val="7566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C3EB8"/>
    <w:multiLevelType w:val="multilevel"/>
    <w:tmpl w:val="9AFE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951404">
    <w:abstractNumId w:val="3"/>
  </w:num>
  <w:num w:numId="2" w16cid:durableId="814644906">
    <w:abstractNumId w:val="4"/>
  </w:num>
  <w:num w:numId="3" w16cid:durableId="1672369757">
    <w:abstractNumId w:val="1"/>
  </w:num>
  <w:num w:numId="4" w16cid:durableId="419522797">
    <w:abstractNumId w:val="2"/>
  </w:num>
  <w:num w:numId="5" w16cid:durableId="4602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3F"/>
    <w:rsid w:val="00732DBF"/>
    <w:rsid w:val="00B4653F"/>
    <w:rsid w:val="00D4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76F38"/>
  <w15:chartTrackingRefBased/>
  <w15:docId w15:val="{1B93894D-7F2E-435C-82E3-3985EBEE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53F"/>
    <w:rPr>
      <w:rFonts w:eastAsiaTheme="majorEastAsia" w:cstheme="majorBidi"/>
      <w:color w:val="272727" w:themeColor="text1" w:themeTint="D8"/>
    </w:rPr>
  </w:style>
  <w:style w:type="paragraph" w:styleId="Title">
    <w:name w:val="Title"/>
    <w:basedOn w:val="Normal"/>
    <w:next w:val="Normal"/>
    <w:link w:val="TitleChar"/>
    <w:uiPriority w:val="10"/>
    <w:qFormat/>
    <w:rsid w:val="00B46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53F"/>
    <w:pPr>
      <w:spacing w:before="160"/>
      <w:jc w:val="center"/>
    </w:pPr>
    <w:rPr>
      <w:i/>
      <w:iCs/>
      <w:color w:val="404040" w:themeColor="text1" w:themeTint="BF"/>
    </w:rPr>
  </w:style>
  <w:style w:type="character" w:customStyle="1" w:styleId="QuoteChar">
    <w:name w:val="Quote Char"/>
    <w:basedOn w:val="DefaultParagraphFont"/>
    <w:link w:val="Quote"/>
    <w:uiPriority w:val="29"/>
    <w:rsid w:val="00B4653F"/>
    <w:rPr>
      <w:i/>
      <w:iCs/>
      <w:color w:val="404040" w:themeColor="text1" w:themeTint="BF"/>
    </w:rPr>
  </w:style>
  <w:style w:type="paragraph" w:styleId="ListParagraph">
    <w:name w:val="List Paragraph"/>
    <w:basedOn w:val="Normal"/>
    <w:uiPriority w:val="34"/>
    <w:qFormat/>
    <w:rsid w:val="00B4653F"/>
    <w:pPr>
      <w:ind w:left="720"/>
      <w:contextualSpacing/>
    </w:pPr>
  </w:style>
  <w:style w:type="character" w:styleId="IntenseEmphasis">
    <w:name w:val="Intense Emphasis"/>
    <w:basedOn w:val="DefaultParagraphFont"/>
    <w:uiPriority w:val="21"/>
    <w:qFormat/>
    <w:rsid w:val="00B4653F"/>
    <w:rPr>
      <w:i/>
      <w:iCs/>
      <w:color w:val="0F4761" w:themeColor="accent1" w:themeShade="BF"/>
    </w:rPr>
  </w:style>
  <w:style w:type="paragraph" w:styleId="IntenseQuote">
    <w:name w:val="Intense Quote"/>
    <w:basedOn w:val="Normal"/>
    <w:next w:val="Normal"/>
    <w:link w:val="IntenseQuoteChar"/>
    <w:uiPriority w:val="30"/>
    <w:qFormat/>
    <w:rsid w:val="00B46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53F"/>
    <w:rPr>
      <w:i/>
      <w:iCs/>
      <w:color w:val="0F4761" w:themeColor="accent1" w:themeShade="BF"/>
    </w:rPr>
  </w:style>
  <w:style w:type="character" w:styleId="IntenseReference">
    <w:name w:val="Intense Reference"/>
    <w:basedOn w:val="DefaultParagraphFont"/>
    <w:uiPriority w:val="32"/>
    <w:qFormat/>
    <w:rsid w:val="00B46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7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511</Words>
  <Characters>3493</Characters>
  <Application>Microsoft Office Word</Application>
  <DocSecurity>0</DocSecurity>
  <Lines>85</Lines>
  <Paragraphs>38</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AMOH ADJEI</dc:creator>
  <cp:keywords/>
  <dc:description/>
  <cp:lastModifiedBy>ERIC AMOH ADJEI</cp:lastModifiedBy>
  <cp:revision>2</cp:revision>
  <dcterms:created xsi:type="dcterms:W3CDTF">2024-06-09T16:15:00Z</dcterms:created>
  <dcterms:modified xsi:type="dcterms:W3CDTF">2024-06-09T16:19:00Z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58e743f5-21cb-4f8d-a003-804d8e2e1746</vt:lpwstr>
  </property>
</Properties>
</file>