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PROJECT VIF</w:t>
      </w:r>
    </w:p>
    <w:p>
      <w:pPr>
        <w:spacing w:after="700"/>
        <w:jc w:val="center"/>
      </w:pPr>
      <w:r>
        <w:rPr>
          <w:i/>
          <w:iCs/>
          <w:color w:val="595959"/>
          <w:sz w:val="22"/>
          <w:szCs w:val="22"/>
        </w:rPr>
        <w:t xml:space="preserve">The Real-Time Student Food Bridge</w:t>
      </w:r>
    </w:p>
    <w:p>
      <w:pPr>
        <w:spacing w:after="140"/>
        <w:jc w:val="center"/>
      </w:pPr>
      <w:r>
        <w:rPr>
          <w:b/>
          <w:bCs/>
          <w:color w:val="2E75B6"/>
          <w:sz w:val="24"/>
          <w:szCs w:val="24"/>
        </w:rPr>
        <w:t xml:space="preserve">REFERENCE DOCUMENT</w:t>
      </w:r>
    </w:p>
    <w:p>
      <w:pPr>
        <w:spacing w:after="60" w:line="540" w:lineRule="atLeast"/>
        <w:jc w:val="center"/>
      </w:pPr>
      <w:r>
        <w:rPr>
          <w:b/>
          <w:bCs/>
          <w:color w:val="1F3864"/>
          <w:sz w:val="48"/>
          <w:szCs w:val="48"/>
        </w:rPr>
        <w:t xml:space="preserve">Glossary &amp;</w:t>
      </w:r>
    </w:p>
    <w:p>
      <w:pPr>
        <w:pBdr>
          <w:bottom w:val="single" w:color="C55A11" w:sz="12" w:space="10"/>
        </w:pBdr>
        <w:spacing w:after="120" w:line="540" w:lineRule="atLeast"/>
        <w:jc w:val="center"/>
      </w:pPr>
      <w:r>
        <w:rPr>
          <w:b/>
          <w:bCs/>
          <w:color w:val="1F3864"/>
          <w:sz w:val="48"/>
          <w:szCs w:val="48"/>
        </w:rPr>
        <w:t xml:space="preserve">Acronyms</w:t>
      </w:r>
    </w:p>
    <w:p>
      <w:pPr>
        <w:spacing w:after="1600" w:before="200"/>
        <w:jc w:val="center"/>
      </w:pPr>
      <w:r>
        <w:rPr>
          <w:color w:val="595959"/>
          <w:sz w:val="24"/>
          <w:szCs w:val="24"/>
        </w:rPr>
        <w:t xml:space="preserve">A Single Reference for the Terms, Concepts
and Abbreviations Used Across Project Vif</w:t>
      </w:r>
    </w:p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EPITECH — Capstone / Innovative Project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Lead Engineer: Rao Muhammad Mueez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Paris, France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r>
        <w:t xml:space="preserve">Project Vif spans technology, French tax law, food-safety regulation, data protection and change management. Each field brings its own vocabulary. This document gathers every important term, concept and acronym into one reference so that any reader — a teammate, a jury member or a new contributor — can understand the project’s documentation without guessing.</w:t>
      </w:r>
    </w:p>
    <w:p>
      <w:r>
        <w:t xml:space="preserve">Terms are grouped by theme, and acronyms are listed together at the end for quick lookup.</w:t>
      </w:r>
    </w:p>
    <w:p>
      <w:pPr>
        <w:pStyle w:val="Heading1"/>
      </w:pPr>
      <w:r>
        <w:t xml:space="preserve">2. Vif Product &amp; Concept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Vif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project and platform; a real-time bridge between bakery surplus and students. “Vif” means lively or quick in French.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Pulse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surplus-donation event posted by a baker (item type, quantity, cost price). The central object of the platform.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Flash-Gift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user-facing name for the act of a baker offering surplus through a Pulse.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Claim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verified student’s reservation of a Pulse, valid for a limited time.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Karma Engine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system that runs the 20-minute claim timer and tracks each student’s reliability (completed pickups vs. no-shows).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No-show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claim that expires because the student did not collect the item in time.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Secure QR Handshake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challenge-response scan between the student’s app and the baker that confirms a pickup and prevents fraud.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Proof of Donation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record created when a claim is completed; the source data for the monthly tax document.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Pulse sniping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Abusing the system (e.g. via API manipulation) to claim Pulses unfairly, such as from outside the allowed radius.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Zone playbook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repeatable set of steps used to launch Vif in a new geographic area.</w:t>
            </w:r>
          </w:p>
        </w:tc>
      </w:tr>
    </w:tbl>
    <w:p>
      <w:pPr>
        <w:pStyle w:val="Heading1"/>
      </w:pPr>
      <w:r>
        <w:t xml:space="preserve">3. Technical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Native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framework used to build the Vif mobile app for both iOS and Android from one codebase.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Python web framework used for the Vif backend and its REST API.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relational database system that stores Vif’s data.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PostGIS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PostgreSQL extension adding geographic objects, used for location data and radius queries.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technology for real-time, two-way communication, used to push live Pulse updates.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architectural style for web services; the way the app and backend communicate.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specific URL on the backend that performs one operation (e.g. create a Pulse).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Geofencing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Defining a virtual geographic boundary — here, the 1 km radius for Pulse notifications.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Optical Character Recognition; reading text from an image, used to extract data from student IDs.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Presentation Attack Detection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Technology that detects fake identity documents, such as a photo of a screen.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Web Token; a secure token proving a user is logged in and carrying their role.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OAuth2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standard authorisation framework used for Vif login and token handling.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Universally Unique Identifier; the unique key format used for database records.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Object-Relational Mapping; lets the backend work with the database using code objects (via SQLAlchemy).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Restricting how often an endpoint can be called, to resist abuse and attacks.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TLS 1.3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current version of the protocol that encrypts data travelling over the internet.</w:t>
            </w:r>
          </w:p>
        </w:tc>
      </w:tr>
    </w:tbl>
    <w:p>
      <w:pPr>
        <w:pStyle w:val="Heading1"/>
      </w:pPr>
      <w:r>
        <w:t xml:space="preserve">4. Legal, Tax &amp; Food-Safety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Article 238 bis CGI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article of the French tax code granting a tax reduction for corporate donations, including donations in kind — the basis of Vif’s baker incentive.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Réduction d’impôt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tax reduction applied directly to the tax owed (distinct from a deduction from taxable profit). Vif’s mechanism is a réduction d’impôt.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Prix de revient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cost price of a good; the basis used to value an in-kind donation.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Don en nature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donation in kind — a gift of goods rather than money, such as surplus bread.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Cerfa n° 11580*05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official French form used as a donation receipt; Vif generates a monthly document in this format.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SIRET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unique identifier of a French business establishment, required on the donation document.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Loi Garot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Loi n° 2016-138 of 11 February 2016 against food waste; prioritises donating unsold food. Its donation obligation targets food stores over 400 m².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Organisme d’Intérêt Général (OIG)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recognised general-interest organisation; Vif partners with one so that donations qualify for the tax reduction.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Regulation (EC) 852/2004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European regulation on food hygiene that partner bakeries must respect.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EU Regulation 1169/2011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European regulation on food information, including allergen disclosure.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Cold chain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unbroken chain of refrigeration required to keep perishable food safe.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General Data Protection Regulation; EU law governing personal data.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CNIL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France’s data-protection authority, whose guidance Vif follows.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Building data protection into a system from the start — e.g. discarding ID images after OCR.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and keeping only the personal data strictly needed; a core GDPR principle.</w:t>
            </w:r>
          </w:p>
        </w:tc>
      </w:tr>
    </w:tbl>
    <w:p>
      <w:pPr>
        <w:pStyle w:val="Heading1"/>
      </w:pPr>
      <w:r>
        <w:t xml:space="preserve">5. Project &amp; Change-Management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Agile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iterative way of delivering software in short cycles with frequent feedback.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Scrum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specific Agile method using sprints, defined roles and regular ceremonies.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fixed-length work cycle; Vif uses three four-week sprints.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MoSCoW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prioritisation method: Must-have, Should-have, Could-have, Won’t-have.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Minimum Viable Product; the smallest version that delivers the core value.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Backlog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ordered list of all work items still to be done.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Stakeholder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person or group affected by, or able to affect, the project.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Power/Interest grid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tool that maps stakeholders by their influence and their interest to decide how to engage them.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Lewin model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change model with three stages: Unfreeze, Change, Refreeze.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ADKAR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change model describing five steps each individual needs: Awareness, Desire, Knowledge, Ability, Reinforcement.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Guiding coalition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 of early allies who help drive and spread a change.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Business Model Canvas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one-page framework describing how a project creates, delivers and captures value.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semi-fictional profile representing a real user type, used to guide design.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journey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map of a user’s experience through the product.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STRIDE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security threat-modelling method (Spoofing, Tampering, Repudiation, Information disclosure, Denial of service, Elevation of privilege).</w:t>
            </w:r>
          </w:p>
        </w:tc>
      </w:tr>
      <w:t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Break-even</w:t>
            </w:r>
          </w:p>
        </w:tc>
        <w:tc>
          <w:tcPr>
            <w:tcW w:type="dxa" w:w="7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where recurring revenue equals recurring cost.</w:t>
            </w:r>
          </w:p>
        </w:tc>
      </w:tr>
    </w:tbl>
    <w:p>
      <w:pPr>
        <w:pStyle w:val="Heading1"/>
      </w:pPr>
      <w:r>
        <w:t xml:space="preserve">6. Acronyms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ADKAR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Awareness, Desire, Knowledge, Ability, Reinforcement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ANSSI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Agence nationale de la sécurité des systèmes d’information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CGI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 Général des Impôts (French general tax code)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CNIL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Commission nationale de l’informatique et des libertés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CROUS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Centre régional des œuvres universitaires et scolaires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Dynamic Application Security Testing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DPA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Processing Agreement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FCM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Minimum Viable Product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Optical Character Recognition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OIG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Organisme d’Intérêt Général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Object-Relational Mapping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OWASP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Worldwide Application Security Project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Presentation Attack Detection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Personally Identifiable Information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Quality Assurance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SAST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Static Application Security Testing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SIRET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Système d’identification du répertoire des établissements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SRS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STRIDE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Spoofing, Tampering, Repudiation, Information disclosure, Denial of service, Elevation of privilege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TLS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Transport Layer Security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TOTP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Time-based One-Time Password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TTL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 To Live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Universally Unique Identifier</w:t>
            </w:r>
          </w:p>
        </w:tc>
      </w:tr>
    </w:tbl>
    <w:p>
      <w:pPr>
        <w:pStyle w:val="Heading1"/>
      </w:pPr>
      <w:r>
        <w:t xml:space="preserve">7. Note on Use</w:t>
      </w:r>
    </w:p>
    <w:p>
      <w:r>
        <w:t xml:space="preserve">This glossary is a living reference. As the project evolves, new terms should be added here rather than explained repeatedly across documents. When a document uses a specialised term for the first time, it can simply point the reader to this glossary.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EPITECH Capstone — Confidential Draft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b/>
        <w:bCs/>
        <w:color w:val="1F3864"/>
        <w:sz w:val="18"/>
        <w:szCs w:val="18"/>
      </w:rPr>
      <w:t xml:space="preserve">Project Vif</w:t>
    </w:r>
    <w:r>
      <w:rPr>
        <w:color w:val="595959"/>
        <w:sz w:val="18"/>
        <w:szCs w:val="18"/>
      </w:rPr>
      <w:t xml:space="preserve">	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8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  <w:style w:type="paragraph" w:styleId="Normal">
    <w:name w:val="Normal"/>
    <w:pPr>
      <w:spacing w:after="120" w:line="288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2026-05-26T05:23:16.668Z</dcterms:created>
  <dcterms:modified xsi:type="dcterms:W3CDTF">2026-05-26T05:23:16.669Z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